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6C" w:rsidRPr="00F4636C" w:rsidRDefault="00F4636C" w:rsidP="00F00B3C">
      <w:pPr>
        <w:jc w:val="both"/>
        <w:rPr>
          <w:b/>
          <w:bCs/>
          <w:sz w:val="26"/>
          <w:szCs w:val="26"/>
          <w:u w:val="single"/>
        </w:rPr>
      </w:pPr>
      <w:r w:rsidRPr="00F4636C">
        <w:rPr>
          <w:b/>
          <w:bCs/>
          <w:sz w:val="26"/>
          <w:szCs w:val="26"/>
          <w:u w:val="single"/>
        </w:rPr>
        <w:t xml:space="preserve">Création </w:t>
      </w:r>
      <w:r w:rsidRPr="00F4636C">
        <w:rPr>
          <w:b/>
          <w:bCs/>
          <w:sz w:val="24"/>
          <w:szCs w:val="24"/>
          <w:u w:val="single"/>
        </w:rPr>
        <w:t>d’une</w:t>
      </w:r>
      <w:r w:rsidRPr="00F4636C">
        <w:rPr>
          <w:b/>
          <w:bCs/>
          <w:sz w:val="26"/>
          <w:szCs w:val="26"/>
          <w:u w:val="single"/>
        </w:rPr>
        <w:t xml:space="preserve"> créance</w:t>
      </w:r>
    </w:p>
    <w:p w:rsidR="00F61AE5" w:rsidRDefault="00F61AE5" w:rsidP="0091408A">
      <w:pPr>
        <w:jc w:val="both"/>
      </w:pPr>
      <w:r>
        <w:t xml:space="preserve">Lors de la </w:t>
      </w:r>
      <w:r w:rsidR="00F00B3C">
        <w:t>création</w:t>
      </w:r>
      <w:r>
        <w:t xml:space="preserve"> d’une créance</w:t>
      </w:r>
      <w:r w:rsidR="00656D2F">
        <w:t>,</w:t>
      </w:r>
      <w:r>
        <w:t xml:space="preserve"> on saisie les informations suivantes </w:t>
      </w:r>
      <w:r w:rsidR="00F00B3C">
        <w:t xml:space="preserve">organisées en blocs </w:t>
      </w:r>
      <w:r w:rsidR="0091408A">
        <w:t>décris ci-dessous</w:t>
      </w:r>
      <w:r>
        <w:t>:</w:t>
      </w:r>
    </w:p>
    <w:p w:rsidR="00E74F3D" w:rsidRPr="001324DB" w:rsidRDefault="00E74F3D" w:rsidP="0096702E">
      <w:pPr>
        <w:jc w:val="both"/>
        <w:rPr>
          <w:b/>
          <w:bCs/>
          <w:u w:val="single"/>
        </w:rPr>
      </w:pPr>
      <w:r w:rsidRPr="001324DB">
        <w:rPr>
          <w:b/>
          <w:bCs/>
          <w:u w:val="single"/>
        </w:rPr>
        <w:t>Références de la créance</w:t>
      </w:r>
      <w:r w:rsidR="001324DB">
        <w:rPr>
          <w:b/>
          <w:bCs/>
          <w:u w:val="single"/>
        </w:rPr>
        <w:t> :</w:t>
      </w:r>
    </w:p>
    <w:p w:rsidR="00FF13AF" w:rsidRDefault="00FF13AF" w:rsidP="00F00B3C">
      <w:pPr>
        <w:pStyle w:val="Paragraphedeliste"/>
        <w:numPr>
          <w:ilvl w:val="0"/>
          <w:numId w:val="1"/>
        </w:numPr>
        <w:ind w:left="284" w:hanging="284"/>
        <w:jc w:val="both"/>
      </w:pPr>
      <w:r w:rsidRPr="00F00B3C">
        <w:rPr>
          <w:b/>
          <w:bCs/>
          <w:color w:val="C0504D" w:themeColor="accent2"/>
        </w:rPr>
        <w:t>Service émetteur</w:t>
      </w:r>
      <w:r>
        <w:t xml:space="preserve"> : </w:t>
      </w:r>
      <w:r w:rsidR="00C03058">
        <w:t>une fois la saisie commenc</w:t>
      </w:r>
      <w:r w:rsidR="00F00B3C">
        <w:t>e</w:t>
      </w:r>
      <w:r w:rsidR="00C03058">
        <w:t xml:space="preserve">, </w:t>
      </w:r>
      <w:proofErr w:type="gramStart"/>
      <w:r w:rsidR="004D0F60">
        <w:t>un</w:t>
      </w:r>
      <w:proofErr w:type="gramEnd"/>
      <w:r w:rsidR="00C03058">
        <w:t xml:space="preserve"> </w:t>
      </w:r>
      <w:r>
        <w:t>auto complète facilite le choix du bon ordonnateur</w:t>
      </w:r>
    </w:p>
    <w:p w:rsidR="009F2472" w:rsidRDefault="009F2472" w:rsidP="0096702E">
      <w:pPr>
        <w:jc w:val="both"/>
      </w:pPr>
      <w:r w:rsidRPr="009F2472">
        <w:drawing>
          <wp:inline distT="0" distB="0" distL="0" distR="0">
            <wp:extent cx="6661150" cy="1120377"/>
            <wp:effectExtent l="19050" t="0" r="6350" b="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018" t="33038" b="49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12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3AF" w:rsidRDefault="009F2472" w:rsidP="00B71F32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Dés que le service émetteur est renseigné le champ </w:t>
      </w:r>
      <w:r w:rsidRPr="00F00B3C">
        <w:rPr>
          <w:b/>
          <w:bCs/>
          <w:color w:val="C0504D" w:themeColor="accent2"/>
        </w:rPr>
        <w:t>nature</w:t>
      </w:r>
      <w:r>
        <w:t xml:space="preserve"> apparait</w:t>
      </w:r>
      <w:r w:rsidR="00FF13AF">
        <w:t> </w:t>
      </w:r>
      <w:r w:rsidR="00D13C57">
        <w:t>et</w:t>
      </w:r>
      <w:r w:rsidR="00FF13AF" w:rsidRPr="00FF13AF">
        <w:t xml:space="preserve"> </w:t>
      </w:r>
      <w:r w:rsidR="00C03058">
        <w:t>une fois la saisie</w:t>
      </w:r>
      <w:r w:rsidR="00CE7B6B">
        <w:t xml:space="preserve"> de </w:t>
      </w:r>
      <w:r w:rsidR="00534478">
        <w:t>ce champ</w:t>
      </w:r>
      <w:r w:rsidR="00C03058">
        <w:t xml:space="preserve"> commenc</w:t>
      </w:r>
      <w:r w:rsidR="00CE7B6B">
        <w:t>e</w:t>
      </w:r>
      <w:r w:rsidR="00C03058">
        <w:t xml:space="preserve">, </w:t>
      </w:r>
      <w:r w:rsidR="00656D2F">
        <w:t xml:space="preserve">de nouveau, </w:t>
      </w:r>
      <w:proofErr w:type="gramStart"/>
      <w:r w:rsidR="00C03058">
        <w:t>un</w:t>
      </w:r>
      <w:proofErr w:type="gramEnd"/>
      <w:r w:rsidR="00C03058">
        <w:t xml:space="preserve"> </w:t>
      </w:r>
      <w:r w:rsidR="00FF13AF">
        <w:t>auto complète facilite le choix d</w:t>
      </w:r>
      <w:r w:rsidR="00C03058">
        <w:t>e la bonne nature</w:t>
      </w:r>
      <w:r w:rsidR="00534478">
        <w:t> :</w:t>
      </w:r>
    </w:p>
    <w:p w:rsidR="008F015C" w:rsidRDefault="001324DB" w:rsidP="00B71F32">
      <w:pPr>
        <w:ind w:firstLine="284"/>
        <w:jc w:val="both"/>
      </w:pPr>
      <w:r>
        <w:t xml:space="preserve">Après cette saisie les deux champs </w:t>
      </w:r>
      <w:r w:rsidR="00534478">
        <w:t xml:space="preserve">(service émetteur et nature) </w:t>
      </w:r>
      <w:r>
        <w:t>sont grisés et ne peuvent être modifié</w:t>
      </w:r>
      <w:r w:rsidR="00F00B3C">
        <w:t>s</w:t>
      </w:r>
      <w:r>
        <w:t xml:space="preserve"> que si  on appui sur le bouton modifier ou l’icône : </w:t>
      </w:r>
      <w:r w:rsidR="008F015C" w:rsidRPr="008F015C">
        <w:drawing>
          <wp:inline distT="0" distB="0" distL="0" distR="0">
            <wp:extent cx="171450" cy="171450"/>
            <wp:effectExtent l="19050" t="0" r="0" b="0"/>
            <wp:docPr id="8" name="Image 2" descr="modifier ordonnateur">
              <a:hlinkClick xmlns:a="http://schemas.openxmlformats.org/drawingml/2006/main" r:id="rId7" tooltip="&quot;modifier ordonnateu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ifier ordonnateur">
                      <a:hlinkClick r:id="rId7" tooltip="&quot;modifier ordonnateu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5C" w:rsidRPr="008F015C" w:rsidRDefault="00534478" w:rsidP="0096702E">
      <w:pPr>
        <w:jc w:val="both"/>
      </w:pPr>
      <w:r>
        <w:rPr>
          <w:noProof/>
          <w:lang w:eastAsia="fr-FR"/>
        </w:rPr>
        <w:pict>
          <v:oval id="_x0000_s1026" style="position:absolute;left:0;text-align:left;margin-left:459.55pt;margin-top:.35pt;width:27pt;height:14.25pt;z-index:251658240" filled="f" strokecolor="red" strokeweight="1.25pt"/>
        </w:pict>
      </w:r>
      <w:r w:rsidR="009541C2">
        <w:rPr>
          <w:noProof/>
          <w:lang w:eastAsia="fr-FR"/>
        </w:rPr>
        <w:drawing>
          <wp:inline distT="0" distB="0" distL="0" distR="0">
            <wp:extent cx="6117648" cy="428625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504" t="35644" r="2645" b="57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48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16" w:rsidRDefault="00B375DC" w:rsidP="0096702E">
      <w:pPr>
        <w:jc w:val="both"/>
      </w:pPr>
      <w:r w:rsidRPr="00F4636C">
        <w:rPr>
          <w:b/>
          <w:bCs/>
          <w:u w:val="single"/>
        </w:rPr>
        <w:t>NB :</w:t>
      </w:r>
      <w:r>
        <w:t xml:space="preserve"> </w:t>
      </w:r>
      <w:r w:rsidR="00552D16">
        <w:t>Pour éviter la ressaisie du service émetteur et de la nature, une créance utilisée fréquemment doit être inscrite dans la liste des préférences GIR</w:t>
      </w:r>
      <w:r w:rsidR="00534478">
        <w:t xml:space="preserve"> (</w:t>
      </w:r>
      <w:r w:rsidR="00D13C57">
        <w:t>Cf.</w:t>
      </w:r>
      <w:r w:rsidR="00CE7B6B">
        <w:t> : fascicule préférences Utilisateur)</w:t>
      </w:r>
      <w:r w:rsidR="00552D16">
        <w:t>.</w:t>
      </w:r>
    </w:p>
    <w:p w:rsidR="008957FC" w:rsidRDefault="008957FC" w:rsidP="00B71F32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Le </w:t>
      </w:r>
      <w:r w:rsidRPr="00F00B3C">
        <w:rPr>
          <w:b/>
          <w:bCs/>
          <w:color w:val="C0504D" w:themeColor="accent2"/>
        </w:rPr>
        <w:t>support</w:t>
      </w:r>
      <w:r>
        <w:t xml:space="preserve"> est à choisir</w:t>
      </w:r>
      <w:r w:rsidR="00D13C57">
        <w:t xml:space="preserve"> à partir</w:t>
      </w:r>
      <w:r>
        <w:t xml:space="preserve"> d’une liste </w:t>
      </w:r>
      <w:r w:rsidR="00E74F3D">
        <w:t>déroulante</w:t>
      </w:r>
      <w:r w:rsidR="00D13C57">
        <w:t> ;</w:t>
      </w:r>
      <w:r>
        <w:t xml:space="preserve"> </w:t>
      </w:r>
      <w:r w:rsidR="00D13C57">
        <w:t>s</w:t>
      </w:r>
      <w:r>
        <w:t xml:space="preserve">i la nature a un seul </w:t>
      </w:r>
      <w:r w:rsidR="00E74F3D">
        <w:t>support,</w:t>
      </w:r>
      <w:r w:rsidR="00F00B3C">
        <w:t xml:space="preserve"> ce dernier</w:t>
      </w:r>
      <w:r>
        <w:t xml:space="preserve"> est </w:t>
      </w:r>
      <w:r w:rsidR="006D248C">
        <w:t>systémati</w:t>
      </w:r>
      <w:r w:rsidR="000D49E7">
        <w:t>que</w:t>
      </w:r>
      <w:r w:rsidR="00E74F3D">
        <w:t>ment</w:t>
      </w:r>
      <w:r>
        <w:t xml:space="preserve"> affiché</w:t>
      </w:r>
      <w:r w:rsidR="00B71F32">
        <w:t>.</w:t>
      </w:r>
    </w:p>
    <w:p w:rsidR="00E74F3D" w:rsidRDefault="008957FC" w:rsidP="00F4636C">
      <w:pPr>
        <w:pStyle w:val="Paragraphedeliste"/>
        <w:numPr>
          <w:ilvl w:val="0"/>
          <w:numId w:val="1"/>
        </w:numPr>
        <w:ind w:left="284" w:hanging="284"/>
        <w:jc w:val="both"/>
      </w:pPr>
      <w:r w:rsidRPr="00F00B3C">
        <w:rPr>
          <w:b/>
          <w:bCs/>
          <w:color w:val="C0504D" w:themeColor="accent2"/>
        </w:rPr>
        <w:t>L’exercice</w:t>
      </w:r>
      <w:r>
        <w:t xml:space="preserve"> est renseigné</w:t>
      </w:r>
      <w:r w:rsidR="00F4636C">
        <w:t>,</w:t>
      </w:r>
      <w:r>
        <w:t xml:space="preserve"> par défaut</w:t>
      </w:r>
      <w:r w:rsidR="00F4636C">
        <w:t>,</w:t>
      </w:r>
      <w:r>
        <w:t xml:space="preserve"> par </w:t>
      </w:r>
      <w:r w:rsidR="00E74F3D">
        <w:t>l’exercice courant</w:t>
      </w:r>
      <w:r w:rsidR="00552D16">
        <w:t>.</w:t>
      </w:r>
    </w:p>
    <w:p w:rsidR="00E74F3D" w:rsidRDefault="00E74F3D" w:rsidP="00B71F32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Le </w:t>
      </w:r>
      <w:r w:rsidRPr="00F00B3C">
        <w:rPr>
          <w:b/>
          <w:bCs/>
          <w:color w:val="C0504D" w:themeColor="accent2"/>
        </w:rPr>
        <w:t>numéro</w:t>
      </w:r>
      <w:r>
        <w:t xml:space="preserve"> de la créance est généré automatiquement pour des natures données, et saisissable pour les autres natures</w:t>
      </w:r>
      <w:r w:rsidR="00F00B3C">
        <w:t> :</w:t>
      </w:r>
    </w:p>
    <w:p w:rsidR="00B71F32" w:rsidRDefault="00B71F32" w:rsidP="00C75B29">
      <w:pPr>
        <w:pStyle w:val="Paragraphedeliste"/>
        <w:ind w:left="284"/>
        <w:jc w:val="both"/>
      </w:pPr>
      <w:r w:rsidRPr="00B71F32">
        <w:drawing>
          <wp:inline distT="0" distB="0" distL="0" distR="0">
            <wp:extent cx="6661150" cy="276225"/>
            <wp:effectExtent l="19050" t="0" r="6350" b="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018" t="46208" b="49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29" w:rsidRDefault="00C75B29" w:rsidP="00C75B29">
      <w:pPr>
        <w:pStyle w:val="Paragraphedeliste"/>
        <w:ind w:left="284"/>
        <w:jc w:val="both"/>
      </w:pPr>
    </w:p>
    <w:p w:rsidR="008957FC" w:rsidRDefault="00E74F3D" w:rsidP="00C75B29">
      <w:pPr>
        <w:pStyle w:val="Paragraphedeliste"/>
        <w:numPr>
          <w:ilvl w:val="0"/>
          <w:numId w:val="1"/>
        </w:numPr>
        <w:ind w:left="284" w:hanging="284"/>
        <w:jc w:val="both"/>
      </w:pPr>
      <w:r w:rsidRPr="00F00B3C">
        <w:rPr>
          <w:b/>
          <w:bCs/>
          <w:color w:val="C0504D" w:themeColor="accent2"/>
        </w:rPr>
        <w:t>L’objet</w:t>
      </w:r>
      <w:r>
        <w:t xml:space="preserve"> est renseigné par défaut par la nature de la créance</w:t>
      </w:r>
      <w:r w:rsidR="008957FC">
        <w:t>.</w:t>
      </w:r>
    </w:p>
    <w:p w:rsidR="00B71F32" w:rsidRDefault="00B71F32" w:rsidP="0096702E">
      <w:pPr>
        <w:jc w:val="both"/>
      </w:pPr>
      <w:r w:rsidRPr="00B71F32">
        <w:drawing>
          <wp:inline distT="0" distB="0" distL="0" distR="0">
            <wp:extent cx="6873794" cy="428625"/>
            <wp:effectExtent l="19050" t="0" r="3256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504" t="44982" r="3890" b="48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794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3D" w:rsidRPr="001324DB" w:rsidRDefault="00E74F3D" w:rsidP="0096702E">
      <w:pPr>
        <w:jc w:val="both"/>
        <w:rPr>
          <w:b/>
          <w:bCs/>
          <w:u w:val="single"/>
        </w:rPr>
      </w:pPr>
      <w:r w:rsidRPr="001324DB">
        <w:rPr>
          <w:b/>
          <w:bCs/>
          <w:u w:val="single"/>
        </w:rPr>
        <w:t>Eléments de liquidation</w:t>
      </w:r>
      <w:r w:rsidR="001324DB">
        <w:rPr>
          <w:b/>
          <w:bCs/>
          <w:u w:val="single"/>
        </w:rPr>
        <w:t> :</w:t>
      </w:r>
    </w:p>
    <w:p w:rsidR="00E74F3D" w:rsidRDefault="00E74F3D" w:rsidP="00F4636C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La </w:t>
      </w:r>
      <w:r w:rsidRPr="00F4636C">
        <w:rPr>
          <w:b/>
          <w:bCs/>
          <w:color w:val="C0504D" w:themeColor="accent2"/>
        </w:rPr>
        <w:t>date de constatation</w:t>
      </w:r>
      <w:r>
        <w:t xml:space="preserve"> est renseignée</w:t>
      </w:r>
      <w:r w:rsidR="00F4636C">
        <w:t>,</w:t>
      </w:r>
      <w:r>
        <w:t xml:space="preserve"> par défaut</w:t>
      </w:r>
      <w:r w:rsidR="00F4636C">
        <w:t>,</w:t>
      </w:r>
      <w:r>
        <w:t xml:space="preserve"> par la date du jour</w:t>
      </w:r>
      <w:r w:rsidR="00B71F32">
        <w:t>.</w:t>
      </w:r>
    </w:p>
    <w:p w:rsidR="008E4BA9" w:rsidRDefault="008E4BA9" w:rsidP="008E4BA9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Le </w:t>
      </w:r>
      <w:r w:rsidRPr="008E4BA9">
        <w:rPr>
          <w:b/>
          <w:bCs/>
          <w:color w:val="C0504D" w:themeColor="accent2"/>
        </w:rPr>
        <w:t>montant</w:t>
      </w:r>
      <w:r>
        <w:t xml:space="preserve"> est soit saisie, soit affiché si le montant de la créance est </w:t>
      </w:r>
      <w:r w:rsidR="0091408A">
        <w:t xml:space="preserve">connu et </w:t>
      </w:r>
      <w:r>
        <w:t>fixe, soit calculé à partir des éléments de liquidation (quantité, Nombre, …) de la créance.</w:t>
      </w:r>
    </w:p>
    <w:p w:rsidR="00E74F3D" w:rsidRDefault="001324DB" w:rsidP="00F4636C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La </w:t>
      </w:r>
      <w:r w:rsidRPr="00F4636C">
        <w:rPr>
          <w:b/>
          <w:bCs/>
          <w:color w:val="C0504D" w:themeColor="accent2"/>
        </w:rPr>
        <w:t>date d’exigibilité</w:t>
      </w:r>
      <w:r>
        <w:t xml:space="preserve"> est à saisir pour </w:t>
      </w:r>
      <w:r w:rsidR="00B71F32">
        <w:t>l</w:t>
      </w:r>
      <w:r>
        <w:t>es natures</w:t>
      </w:r>
      <w:r w:rsidR="000D49E7">
        <w:t xml:space="preserve"> qui le requièrent.</w:t>
      </w:r>
    </w:p>
    <w:p w:rsidR="000D49E7" w:rsidRDefault="000D49E7" w:rsidP="00F4636C">
      <w:pPr>
        <w:pStyle w:val="Paragraphedeliste"/>
        <w:numPr>
          <w:ilvl w:val="0"/>
          <w:numId w:val="1"/>
        </w:numPr>
        <w:ind w:left="284" w:hanging="284"/>
        <w:jc w:val="both"/>
      </w:pPr>
      <w:r>
        <w:t>Certaines natures exigent une « </w:t>
      </w:r>
      <w:r w:rsidRPr="00F4636C">
        <w:rPr>
          <w:b/>
          <w:bCs/>
          <w:color w:val="C0504D" w:themeColor="accent2"/>
        </w:rPr>
        <w:t>référence à imprimer</w:t>
      </w:r>
      <w:r>
        <w:t> » sur la quittance,  exemple :</w:t>
      </w:r>
      <w:r w:rsidR="00B71F32">
        <w:t> « </w:t>
      </w:r>
      <w:r>
        <w:t>numéro du chèque » en cas d’</w:t>
      </w:r>
      <w:r w:rsidR="00B71F32">
        <w:t>incident de payement ou</w:t>
      </w:r>
      <w:r>
        <w:t xml:space="preserve"> « paye pour le compte de » en cas de l’IR source</w:t>
      </w:r>
      <w:r w:rsidR="00B71F32">
        <w:t xml:space="preserve">. Ce champ </w:t>
      </w:r>
      <w:r>
        <w:t xml:space="preserve">apparait pour </w:t>
      </w:r>
      <w:r w:rsidR="00C75B29">
        <w:t>c</w:t>
      </w:r>
      <w:r w:rsidR="00B71F32">
        <w:t xml:space="preserve">es </w:t>
      </w:r>
      <w:r>
        <w:t>nature</w:t>
      </w:r>
      <w:r w:rsidR="00B71F32">
        <w:t>s</w:t>
      </w:r>
      <w:r>
        <w:t xml:space="preserve"> </w:t>
      </w:r>
      <w:r w:rsidR="00B71F32">
        <w:t>qui le requièrent.</w:t>
      </w:r>
    </w:p>
    <w:p w:rsidR="00656D2F" w:rsidRDefault="00656D2F" w:rsidP="00656D2F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Le </w:t>
      </w:r>
      <w:r w:rsidRPr="00656D2F">
        <w:rPr>
          <w:b/>
          <w:bCs/>
          <w:color w:val="C0504D" w:themeColor="accent2"/>
        </w:rPr>
        <w:t>régime</w:t>
      </w:r>
      <w:r>
        <w:t xml:space="preserve">, la </w:t>
      </w:r>
      <w:r w:rsidRPr="00656D2F">
        <w:rPr>
          <w:b/>
          <w:bCs/>
          <w:color w:val="C0504D" w:themeColor="accent2"/>
        </w:rPr>
        <w:t>période</w:t>
      </w:r>
      <w:r>
        <w:t xml:space="preserve">, la </w:t>
      </w:r>
      <w:r w:rsidRPr="00656D2F">
        <w:rPr>
          <w:b/>
          <w:bCs/>
          <w:color w:val="C0504D" w:themeColor="accent2"/>
        </w:rPr>
        <w:t>tranche</w:t>
      </w:r>
      <w:r>
        <w:t xml:space="preserve"> … sont des champs qui apparaissent selon la nature de créance choisie.</w:t>
      </w:r>
    </w:p>
    <w:p w:rsidR="00E74F3D" w:rsidRPr="001324DB" w:rsidRDefault="00E74F3D" w:rsidP="0096702E">
      <w:pPr>
        <w:jc w:val="both"/>
        <w:rPr>
          <w:b/>
          <w:bCs/>
          <w:u w:val="single"/>
        </w:rPr>
      </w:pPr>
      <w:r w:rsidRPr="001324DB">
        <w:rPr>
          <w:b/>
          <w:bCs/>
          <w:u w:val="single"/>
        </w:rPr>
        <w:t>Références du débiteur :</w:t>
      </w:r>
    </w:p>
    <w:p w:rsidR="0096702E" w:rsidRDefault="00B731B7" w:rsidP="00F4636C">
      <w:pPr>
        <w:pStyle w:val="Paragraphedeliste"/>
        <w:numPr>
          <w:ilvl w:val="0"/>
          <w:numId w:val="1"/>
        </w:numPr>
        <w:ind w:left="284" w:hanging="284"/>
        <w:jc w:val="both"/>
      </w:pPr>
      <w:r>
        <w:t xml:space="preserve">Lors du choix du </w:t>
      </w:r>
      <w:r w:rsidRPr="00656D2F">
        <w:rPr>
          <w:b/>
          <w:bCs/>
          <w:color w:val="C0504D" w:themeColor="accent2"/>
        </w:rPr>
        <w:t>type du tiers</w:t>
      </w:r>
      <w:r>
        <w:t xml:space="preserve"> : </w:t>
      </w:r>
    </w:p>
    <w:p w:rsidR="00307E4A" w:rsidRDefault="00307E4A" w:rsidP="0096702E">
      <w:pPr>
        <w:jc w:val="both"/>
      </w:pPr>
      <w:r w:rsidRPr="00307E4A">
        <w:drawing>
          <wp:inline distT="0" distB="0" distL="0" distR="0">
            <wp:extent cx="6661150" cy="276225"/>
            <wp:effectExtent l="19050" t="0" r="6350" b="0"/>
            <wp:docPr id="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469" t="60469" r="14233" b="3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0D" w:rsidRDefault="00307E4A" w:rsidP="00D00FA4">
      <w:pPr>
        <w:pStyle w:val="Paragraphedeliste"/>
        <w:numPr>
          <w:ilvl w:val="0"/>
          <w:numId w:val="2"/>
        </w:numPr>
        <w:ind w:left="284" w:hanging="284"/>
        <w:jc w:val="both"/>
      </w:pPr>
      <w:r>
        <w:t xml:space="preserve">Si la case cochée est  </w:t>
      </w:r>
      <w:r w:rsidR="00D00FA4">
        <w:t>P</w:t>
      </w:r>
      <w:r>
        <w:t xml:space="preserve">ersonne </w:t>
      </w:r>
      <w:r w:rsidR="00D00FA4">
        <w:t>P</w:t>
      </w:r>
      <w:r>
        <w:t xml:space="preserve">hysique : les deux champs </w:t>
      </w:r>
      <w:r w:rsidRPr="00656D2F">
        <w:rPr>
          <w:b/>
          <w:bCs/>
          <w:color w:val="C0504D" w:themeColor="accent2"/>
        </w:rPr>
        <w:t>CIN</w:t>
      </w:r>
      <w:r>
        <w:t xml:space="preserve"> et </w:t>
      </w:r>
      <w:r w:rsidR="00D00FA4" w:rsidRPr="00656D2F">
        <w:rPr>
          <w:b/>
          <w:bCs/>
          <w:color w:val="C0504D" w:themeColor="accent2"/>
        </w:rPr>
        <w:t xml:space="preserve">Numéro </w:t>
      </w:r>
      <w:r w:rsidRPr="00656D2F">
        <w:rPr>
          <w:b/>
          <w:bCs/>
          <w:color w:val="C0504D" w:themeColor="accent2"/>
        </w:rPr>
        <w:t>Permis</w:t>
      </w:r>
      <w:r>
        <w:t xml:space="preserve"> </w:t>
      </w:r>
      <w:r w:rsidR="00C75B29">
        <w:t xml:space="preserve">apparaissent au dessous </w:t>
      </w:r>
      <w:r>
        <w:t xml:space="preserve">pour </w:t>
      </w:r>
      <w:r w:rsidR="00C75B29">
        <w:t xml:space="preserve">permettre la </w:t>
      </w:r>
      <w:r>
        <w:t>saisi</w:t>
      </w:r>
      <w:r w:rsidR="00C75B29">
        <w:t xml:space="preserve">e de </w:t>
      </w:r>
      <w:r>
        <w:t>l’une des deux informations</w:t>
      </w:r>
      <w:r w:rsidR="00C75B29">
        <w:t xml:space="preserve">, si le débiteur est déjà </w:t>
      </w:r>
      <w:r w:rsidR="00E2300D">
        <w:t>saisi</w:t>
      </w:r>
      <w:r w:rsidR="00C75B29">
        <w:t xml:space="preserve"> sur GIR, son nom et prénom seront affichés comme suit</w:t>
      </w:r>
      <w:r w:rsidR="00E2300D">
        <w:t> :</w:t>
      </w:r>
    </w:p>
    <w:p w:rsidR="00232341" w:rsidRDefault="0091408A" w:rsidP="00232341">
      <w:pPr>
        <w:pStyle w:val="Paragraphedeliste"/>
        <w:ind w:left="284"/>
        <w:jc w:val="both"/>
      </w:pPr>
      <w:r w:rsidRPr="0091408A">
        <w:drawing>
          <wp:inline distT="0" distB="0" distL="0" distR="0">
            <wp:extent cx="5934075" cy="533400"/>
            <wp:effectExtent l="19050" t="0" r="9525" b="0"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469" t="60469" r="21388" b="3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8A" w:rsidRDefault="0091408A" w:rsidP="00232341">
      <w:pPr>
        <w:pStyle w:val="Paragraphedeliste"/>
        <w:ind w:left="284"/>
        <w:jc w:val="both"/>
      </w:pPr>
    </w:p>
    <w:p w:rsidR="00D00FA4" w:rsidRDefault="00D00FA4" w:rsidP="00232341">
      <w:pPr>
        <w:pStyle w:val="Paragraphedeliste"/>
        <w:numPr>
          <w:ilvl w:val="0"/>
          <w:numId w:val="2"/>
        </w:numPr>
        <w:ind w:left="284" w:hanging="284"/>
        <w:jc w:val="both"/>
      </w:pPr>
      <w:r>
        <w:t xml:space="preserve">Si la case cochée est </w:t>
      </w:r>
      <w:r w:rsidR="00232341">
        <w:t xml:space="preserve"> P</w:t>
      </w:r>
      <w:r>
        <w:t xml:space="preserve">ersonne Morale Privée : les champs </w:t>
      </w:r>
      <w:r w:rsidR="00232341" w:rsidRPr="00656D2F">
        <w:rPr>
          <w:b/>
          <w:bCs/>
          <w:color w:val="C0504D" w:themeColor="accent2"/>
        </w:rPr>
        <w:t>CNSS</w:t>
      </w:r>
      <w:r>
        <w:t xml:space="preserve"> et </w:t>
      </w:r>
      <w:r w:rsidR="00232341">
        <w:t xml:space="preserve">… </w:t>
      </w:r>
      <w:r>
        <w:t xml:space="preserve"> apparaissent au dessous pour permettre la saisie de l’une de</w:t>
      </w:r>
      <w:r w:rsidR="00232341">
        <w:t xml:space="preserve"> ces</w:t>
      </w:r>
      <w:r>
        <w:t xml:space="preserve"> informations, si le débiteur est déjà saisi sur GIR, son </w:t>
      </w:r>
      <w:r w:rsidR="00232341">
        <w:t>…</w:t>
      </w:r>
      <w:r>
        <w:t xml:space="preserve"> et </w:t>
      </w:r>
      <w:r w:rsidR="00232341">
        <w:t>…</w:t>
      </w:r>
      <w:r>
        <w:t xml:space="preserve"> seront affichés comme suit :</w:t>
      </w:r>
    </w:p>
    <w:p w:rsidR="00E2300D" w:rsidRDefault="00E2300D" w:rsidP="00E2300D">
      <w:pPr>
        <w:pStyle w:val="Paragraphedeliste"/>
        <w:ind w:left="284"/>
        <w:jc w:val="both"/>
      </w:pPr>
    </w:p>
    <w:p w:rsidR="00232341" w:rsidRDefault="00232341" w:rsidP="00232341">
      <w:pPr>
        <w:pStyle w:val="Paragraphedeliste"/>
        <w:numPr>
          <w:ilvl w:val="0"/>
          <w:numId w:val="2"/>
        </w:numPr>
        <w:ind w:left="284" w:hanging="284"/>
        <w:jc w:val="both"/>
      </w:pPr>
      <w:r>
        <w:t xml:space="preserve">Si la case cochée est  Personne Morale Publique : les champs </w:t>
      </w:r>
      <w:r w:rsidRPr="00656D2F">
        <w:rPr>
          <w:b/>
          <w:bCs/>
          <w:color w:val="C0504D" w:themeColor="accent2"/>
        </w:rPr>
        <w:t>CNSS</w:t>
      </w:r>
      <w:r>
        <w:t xml:space="preserve"> et …  apparaissent au dessous pour permettre la saisie de l’une de ces informations, si le débiteur est déjà saisi sur GIR, son … et … seront affichés comme suit :</w:t>
      </w:r>
    </w:p>
    <w:p w:rsidR="00232341" w:rsidRDefault="00232341" w:rsidP="00E2300D">
      <w:pPr>
        <w:pStyle w:val="Paragraphedeliste"/>
        <w:ind w:left="284"/>
        <w:jc w:val="both"/>
      </w:pPr>
    </w:p>
    <w:p w:rsidR="00E2300D" w:rsidRDefault="00E2300D" w:rsidP="006D675D">
      <w:pPr>
        <w:pStyle w:val="Paragraphedeliste"/>
        <w:ind w:left="284"/>
        <w:jc w:val="both"/>
      </w:pPr>
      <w:r>
        <w:t xml:space="preserve">Pour les trois types de tiers, on peut </w:t>
      </w:r>
      <w:r w:rsidR="00C75B29">
        <w:t xml:space="preserve">s’assurer d’avantage qu’il s’agit bien de la bonne </w:t>
      </w:r>
      <w:r>
        <w:t xml:space="preserve">personne en utilisant </w:t>
      </w:r>
      <w:r w:rsidR="00C75B29">
        <w:t xml:space="preserve"> le bouton « </w:t>
      </w:r>
      <w:r>
        <w:t>A</w:t>
      </w:r>
      <w:r w:rsidR="00C75B29">
        <w:t>fficher détail</w:t>
      </w:r>
      <w:r>
        <w:t>s</w:t>
      </w:r>
      <w:r w:rsidR="00C75B29">
        <w:t xml:space="preserve"> » </w:t>
      </w:r>
      <w:r w:rsidR="00307E4A">
        <w:t xml:space="preserve"> </w:t>
      </w:r>
      <w:r>
        <w:t xml:space="preserve">qui permet d’afficher les informations complémentaires relatives au tiers. </w:t>
      </w:r>
    </w:p>
    <w:p w:rsidR="006D675D" w:rsidRDefault="006D675D" w:rsidP="00E2300D">
      <w:pPr>
        <w:pStyle w:val="Paragraphedeliste"/>
        <w:ind w:left="284"/>
        <w:jc w:val="both"/>
      </w:pPr>
    </w:p>
    <w:p w:rsidR="00307E4A" w:rsidRPr="00656D2F" w:rsidRDefault="00E2300D" w:rsidP="006D675D">
      <w:pPr>
        <w:pStyle w:val="Paragraphedeliste"/>
        <w:numPr>
          <w:ilvl w:val="0"/>
          <w:numId w:val="3"/>
        </w:numPr>
        <w:jc w:val="both"/>
        <w:rPr>
          <w:color w:val="C0504D" w:themeColor="accent2"/>
        </w:rPr>
      </w:pPr>
      <w:r w:rsidRPr="00656D2F">
        <w:rPr>
          <w:color w:val="C0504D" w:themeColor="accent2"/>
        </w:rPr>
        <w:t xml:space="preserve">Donc, si le débiteur est déjà saisi sur le système GIR, la manipulation ci-dessus, permet de l’afficher </w:t>
      </w:r>
      <w:r w:rsidR="00307E4A" w:rsidRPr="00656D2F">
        <w:rPr>
          <w:color w:val="C0504D" w:themeColor="accent2"/>
        </w:rPr>
        <w:t>sans être obligé de passer par le bouton « Rechercher tiers »</w:t>
      </w:r>
      <w:r w:rsidRPr="00656D2F">
        <w:rPr>
          <w:color w:val="C0504D" w:themeColor="accent2"/>
        </w:rPr>
        <w:t>.</w:t>
      </w:r>
    </w:p>
    <w:p w:rsidR="00656D2F" w:rsidRPr="00656D2F" w:rsidRDefault="00656D2F" w:rsidP="006D675D">
      <w:pPr>
        <w:pStyle w:val="Paragraphedeliste"/>
        <w:numPr>
          <w:ilvl w:val="0"/>
          <w:numId w:val="3"/>
        </w:numPr>
        <w:jc w:val="both"/>
        <w:rPr>
          <w:color w:val="C0504D" w:themeColor="accent2"/>
        </w:rPr>
      </w:pPr>
      <w:r w:rsidRPr="00656D2F">
        <w:rPr>
          <w:color w:val="C0504D" w:themeColor="accent2"/>
        </w:rPr>
        <w:t>Sinon, le bouton « Nouveau Débiteur » permet de le créer</w:t>
      </w:r>
      <w:r>
        <w:rPr>
          <w:color w:val="C0504D" w:themeColor="accent2"/>
        </w:rPr>
        <w:t>.</w:t>
      </w:r>
    </w:p>
    <w:p w:rsidR="006D675D" w:rsidRPr="001324DB" w:rsidRDefault="006D675D" w:rsidP="006D675D">
      <w:pPr>
        <w:jc w:val="both"/>
        <w:rPr>
          <w:b/>
          <w:bCs/>
          <w:u w:val="single"/>
        </w:rPr>
      </w:pPr>
      <w:r w:rsidRPr="001324DB">
        <w:rPr>
          <w:b/>
          <w:bCs/>
          <w:u w:val="single"/>
        </w:rPr>
        <w:t xml:space="preserve">Références du </w:t>
      </w:r>
      <w:r>
        <w:rPr>
          <w:b/>
          <w:bCs/>
          <w:u w:val="single"/>
        </w:rPr>
        <w:t>Bien</w:t>
      </w:r>
      <w:r w:rsidRPr="001324DB">
        <w:rPr>
          <w:b/>
          <w:bCs/>
          <w:u w:val="single"/>
        </w:rPr>
        <w:t> :</w:t>
      </w:r>
    </w:p>
    <w:p w:rsidR="006D675D" w:rsidRPr="006D675D" w:rsidRDefault="006D675D" w:rsidP="008E4BA9">
      <w:pPr>
        <w:pStyle w:val="Paragraphedeliste"/>
        <w:ind w:left="284"/>
        <w:jc w:val="both"/>
      </w:pPr>
      <w:r w:rsidRPr="006D675D">
        <w:t xml:space="preserve">Pour le bien c’est le même principe utilisé </w:t>
      </w:r>
      <w:r>
        <w:t>dans le bloc « Référence du Débiteur »</w:t>
      </w:r>
      <w:r w:rsidR="00656D2F">
        <w:t>.</w:t>
      </w:r>
    </w:p>
    <w:p w:rsidR="00CA50E4" w:rsidRDefault="00CA50E4" w:rsidP="008E4BA9">
      <w:pPr>
        <w:pStyle w:val="Paragraphedeliste"/>
        <w:ind w:left="284"/>
        <w:jc w:val="both"/>
      </w:pPr>
    </w:p>
    <w:p w:rsidR="000939E8" w:rsidRDefault="008E4BA9" w:rsidP="000939E8">
      <w:pPr>
        <w:pStyle w:val="Paragraphedeliste"/>
        <w:ind w:left="0" w:firstLine="284"/>
        <w:jc w:val="both"/>
      </w:pPr>
      <w:r w:rsidRPr="008E4BA9">
        <w:t xml:space="preserve">Après la saisie de tous les champs </w:t>
      </w:r>
      <w:r>
        <w:t>relatifs à une créance</w:t>
      </w:r>
      <w:r w:rsidR="009547A0">
        <w:t xml:space="preserve"> soit on encaisse directement la créance par le mode de règlement présenté (numéraire ou chèque) soit on valide la créance pour l’encaisser ultérieurement</w:t>
      </w:r>
      <w:r w:rsidR="000939E8">
        <w:t>.</w:t>
      </w:r>
    </w:p>
    <w:p w:rsidR="0091408A" w:rsidRDefault="0091408A" w:rsidP="000939E8">
      <w:pPr>
        <w:pStyle w:val="Paragraphedeliste"/>
        <w:ind w:left="0" w:firstLine="284"/>
        <w:jc w:val="both"/>
      </w:pPr>
    </w:p>
    <w:p w:rsidR="00CA50E4" w:rsidRPr="008E4BA9" w:rsidRDefault="000939E8" w:rsidP="000939E8">
      <w:pPr>
        <w:pStyle w:val="Paragraphedeliste"/>
        <w:ind w:left="0" w:firstLine="284"/>
        <w:jc w:val="both"/>
      </w:pPr>
      <w:r>
        <w:t>C</w:t>
      </w:r>
      <w:r w:rsidR="009547A0">
        <w:t>e</w:t>
      </w:r>
      <w:r w:rsidR="00CA50E4">
        <w:t>tte dernière option</w:t>
      </w:r>
      <w:r>
        <w:t xml:space="preserve"> « Valider »</w:t>
      </w:r>
      <w:r w:rsidR="009547A0">
        <w:t xml:space="preserve"> est très utile dans le </w:t>
      </w:r>
      <w:r w:rsidR="009547A0" w:rsidRPr="00D760EC">
        <w:rPr>
          <w:b/>
          <w:bCs/>
          <w:color w:val="C0504D" w:themeColor="accent2"/>
        </w:rPr>
        <w:t xml:space="preserve">cas où un débiteur  se présente </w:t>
      </w:r>
      <w:r w:rsidR="00CA50E4" w:rsidRPr="00D760EC">
        <w:rPr>
          <w:b/>
          <w:bCs/>
          <w:color w:val="C0504D" w:themeColor="accent2"/>
        </w:rPr>
        <w:t>pour payer plusieurs créances par un seul mode de règlement</w:t>
      </w:r>
      <w:r>
        <w:t xml:space="preserve"> : </w:t>
      </w:r>
      <w:r w:rsidR="00CA50E4">
        <w:t xml:space="preserve">Les créances </w:t>
      </w:r>
      <w:r w:rsidR="00F247EF">
        <w:t xml:space="preserve">devront être  saisies et validées une par une, et ce n’est qu’à la dernière créance qu’on appui le bouton « Encaisser en numéraire » </w:t>
      </w:r>
      <w:r>
        <w:t>ou « Encaisser par chèque »</w:t>
      </w:r>
      <w:r w:rsidR="000D5D5F">
        <w:t xml:space="preserve"> selon le mode présenté</w:t>
      </w:r>
      <w:r w:rsidR="0091408A">
        <w:t>, pour encaisser l’ensemble des créances validées.</w:t>
      </w:r>
    </w:p>
    <w:p w:rsidR="006D675D" w:rsidRPr="00BC32BD" w:rsidRDefault="006D675D" w:rsidP="006D675D">
      <w:pPr>
        <w:jc w:val="both"/>
        <w:rPr>
          <w:b/>
          <w:bCs/>
        </w:rPr>
      </w:pPr>
      <w:r w:rsidRPr="00BC32BD">
        <w:rPr>
          <w:b/>
          <w:bCs/>
        </w:rPr>
        <w:t>Divers :</w:t>
      </w:r>
    </w:p>
    <w:p w:rsidR="006D675D" w:rsidRDefault="006D675D" w:rsidP="00A34D5C">
      <w:pPr>
        <w:jc w:val="both"/>
      </w:pPr>
      <w:r>
        <w:t>Le bouton « tabulation » permet de se déplacer d’</w:t>
      </w:r>
      <w:r w:rsidR="00A34D5C">
        <w:t>un champ vers le champ suivant.</w:t>
      </w:r>
    </w:p>
    <w:p w:rsidR="006D675D" w:rsidRPr="00F4636C" w:rsidRDefault="006D675D" w:rsidP="00F4636C">
      <w:pPr>
        <w:pStyle w:val="Paragraphedeliste"/>
        <w:ind w:left="284"/>
        <w:jc w:val="both"/>
      </w:pPr>
    </w:p>
    <w:sectPr w:rsidR="006D675D" w:rsidRPr="00F4636C" w:rsidSect="00307E4A">
      <w:pgSz w:w="11906" w:h="16838"/>
      <w:pgMar w:top="993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7E60"/>
    <w:multiLevelType w:val="hybridMultilevel"/>
    <w:tmpl w:val="1EA64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84F07"/>
    <w:multiLevelType w:val="hybridMultilevel"/>
    <w:tmpl w:val="72A810A8"/>
    <w:lvl w:ilvl="0" w:tplc="A6685F2C">
      <w:start w:val="2"/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38C0BC9"/>
    <w:multiLevelType w:val="hybridMultilevel"/>
    <w:tmpl w:val="D5385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387"/>
    <w:rsid w:val="000939E8"/>
    <w:rsid w:val="000D3387"/>
    <w:rsid w:val="000D49E7"/>
    <w:rsid w:val="000D5D5F"/>
    <w:rsid w:val="001324DB"/>
    <w:rsid w:val="00195277"/>
    <w:rsid w:val="001F107F"/>
    <w:rsid w:val="00232341"/>
    <w:rsid w:val="00307E4A"/>
    <w:rsid w:val="00465037"/>
    <w:rsid w:val="004D0F60"/>
    <w:rsid w:val="00517F0F"/>
    <w:rsid w:val="00534478"/>
    <w:rsid w:val="00552D16"/>
    <w:rsid w:val="005E603E"/>
    <w:rsid w:val="005F29FB"/>
    <w:rsid w:val="00625B4B"/>
    <w:rsid w:val="00656D2F"/>
    <w:rsid w:val="006D248C"/>
    <w:rsid w:val="006D675D"/>
    <w:rsid w:val="00846F1F"/>
    <w:rsid w:val="008957FC"/>
    <w:rsid w:val="008E4BA9"/>
    <w:rsid w:val="008F015C"/>
    <w:rsid w:val="0091408A"/>
    <w:rsid w:val="009541C2"/>
    <w:rsid w:val="009547A0"/>
    <w:rsid w:val="0096702E"/>
    <w:rsid w:val="00975FFE"/>
    <w:rsid w:val="00993DF9"/>
    <w:rsid w:val="009A5413"/>
    <w:rsid w:val="009B7292"/>
    <w:rsid w:val="009F2472"/>
    <w:rsid w:val="00A34D5C"/>
    <w:rsid w:val="00A70291"/>
    <w:rsid w:val="00A95C4F"/>
    <w:rsid w:val="00B30438"/>
    <w:rsid w:val="00B375DC"/>
    <w:rsid w:val="00B71F32"/>
    <w:rsid w:val="00B731B7"/>
    <w:rsid w:val="00BC32BD"/>
    <w:rsid w:val="00C03058"/>
    <w:rsid w:val="00C75B29"/>
    <w:rsid w:val="00CA50E4"/>
    <w:rsid w:val="00CE7B6B"/>
    <w:rsid w:val="00D00FA4"/>
    <w:rsid w:val="00D13C57"/>
    <w:rsid w:val="00D760EC"/>
    <w:rsid w:val="00D87036"/>
    <w:rsid w:val="00DC7C81"/>
    <w:rsid w:val="00E2300D"/>
    <w:rsid w:val="00E74F3D"/>
    <w:rsid w:val="00F00B3C"/>
    <w:rsid w:val="00F247EF"/>
    <w:rsid w:val="00F4636C"/>
    <w:rsid w:val="00F61AE5"/>
    <w:rsid w:val="00FA46D8"/>
    <w:rsid w:val="00FF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1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1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://10.96.8.96/GIRQUALIF.Web/initCreerCreanceAction.a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C6B25-6893-470F-9CAF-9C3EE561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S.MOUHAJRI</dc:creator>
  <cp:keywords/>
  <dc:description/>
  <cp:lastModifiedBy>S.MOUHAJRI</cp:lastModifiedBy>
  <cp:revision>46</cp:revision>
  <dcterms:created xsi:type="dcterms:W3CDTF">2011-03-30T12:06:00Z</dcterms:created>
  <dcterms:modified xsi:type="dcterms:W3CDTF">2011-03-30T18:26:00Z</dcterms:modified>
</cp:coreProperties>
</file>