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95" w:rsidRPr="006E6084" w:rsidRDefault="00BC7095" w:rsidP="006E6084">
      <w:pPr>
        <w:jc w:val="center"/>
        <w:rPr>
          <w:rFonts w:ascii="Comic Sans MS" w:hAnsi="Comic Sans MS"/>
          <w:b/>
          <w:bCs/>
        </w:rPr>
      </w:pPr>
      <w:r w:rsidRPr="006E6084">
        <w:rPr>
          <w:rFonts w:ascii="Comic Sans MS" w:hAnsi="Comic Sans MS"/>
          <w:b/>
          <w:bCs/>
        </w:rPr>
        <w:t>Guides d’utilisation des annexes comptables.</w:t>
      </w:r>
    </w:p>
    <w:p w:rsidR="006E6084" w:rsidRDefault="006E6084" w:rsidP="00BC7095">
      <w:pPr>
        <w:rPr>
          <w:rFonts w:ascii="Comic Sans MS" w:hAnsi="Comic Sans MS"/>
          <w:b/>
          <w:bCs/>
          <w:sz w:val="22"/>
          <w:szCs w:val="22"/>
        </w:rPr>
      </w:pPr>
    </w:p>
    <w:p w:rsidR="00B85B66" w:rsidRDefault="00B85B66" w:rsidP="00B85B66">
      <w:pPr>
        <w:ind w:firstLine="709"/>
        <w:jc w:val="both"/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sz w:val="21"/>
          <w:szCs w:val="21"/>
        </w:rPr>
        <w:t>E</w:t>
      </w:r>
      <w:r w:rsidRPr="00E41EE6">
        <w:rPr>
          <w:rFonts w:ascii="Comic Sans MS" w:hAnsi="Comic Sans MS"/>
          <w:sz w:val="21"/>
          <w:szCs w:val="21"/>
        </w:rPr>
        <w:t>n attendant l’alimentation automatique du système comptable, les écritures comptables afférentes aux opérations effectuées sur le système GiR</w:t>
      </w:r>
      <w:r>
        <w:rPr>
          <w:rFonts w:ascii="Comic Sans MS" w:hAnsi="Comic Sans MS"/>
          <w:sz w:val="21"/>
          <w:szCs w:val="21"/>
        </w:rPr>
        <w:t>,</w:t>
      </w:r>
      <w:r w:rsidRPr="00E41EE6">
        <w:rPr>
          <w:rFonts w:ascii="Comic Sans MS" w:hAnsi="Comic Sans MS"/>
          <w:sz w:val="21"/>
          <w:szCs w:val="21"/>
        </w:rPr>
        <w:t xml:space="preserve"> seront passées manuellement </w:t>
      </w:r>
      <w:r w:rsidRPr="00B85B66">
        <w:rPr>
          <w:rFonts w:ascii="Comic Sans MS" w:hAnsi="Comic Sans MS"/>
          <w:sz w:val="21"/>
          <w:szCs w:val="21"/>
        </w:rPr>
        <w:t>dans l’application comptabilité</w:t>
      </w:r>
      <w:r w:rsidRPr="008A49D7">
        <w:rPr>
          <w:rFonts w:ascii="Comic Sans MS" w:hAnsi="Comic Sans MS"/>
          <w:color w:val="00B050"/>
          <w:sz w:val="21"/>
          <w:szCs w:val="21"/>
        </w:rPr>
        <w:t xml:space="preserve"> </w:t>
      </w:r>
      <w:r w:rsidRPr="00E41EE6">
        <w:rPr>
          <w:rFonts w:ascii="Comic Sans MS" w:hAnsi="Comic Sans MS"/>
          <w:sz w:val="21"/>
          <w:szCs w:val="21"/>
        </w:rPr>
        <w:t xml:space="preserve">sur la base des éditions </w:t>
      </w:r>
      <w:r>
        <w:rPr>
          <w:rFonts w:ascii="Comic Sans MS" w:hAnsi="Comic Sans MS"/>
          <w:sz w:val="21"/>
          <w:szCs w:val="21"/>
        </w:rPr>
        <w:t xml:space="preserve">(Annexes) </w:t>
      </w:r>
      <w:r w:rsidRPr="00E41EE6">
        <w:rPr>
          <w:rFonts w:ascii="Comic Sans MS" w:hAnsi="Comic Sans MS"/>
          <w:sz w:val="21"/>
          <w:szCs w:val="21"/>
        </w:rPr>
        <w:t>produites par ledit système</w:t>
      </w:r>
      <w:r>
        <w:rPr>
          <w:rFonts w:ascii="Comic Sans MS" w:hAnsi="Comic Sans MS"/>
          <w:sz w:val="21"/>
          <w:szCs w:val="21"/>
        </w:rPr>
        <w:t>.</w:t>
      </w:r>
    </w:p>
    <w:p w:rsidR="00B85B66" w:rsidRDefault="00B85B66" w:rsidP="00B85B66">
      <w:pPr>
        <w:jc w:val="both"/>
        <w:rPr>
          <w:rFonts w:ascii="Comic Sans MS" w:hAnsi="Comic Sans MS"/>
          <w:sz w:val="21"/>
          <w:szCs w:val="21"/>
        </w:rPr>
      </w:pPr>
    </w:p>
    <w:p w:rsidR="006E6084" w:rsidRDefault="00B85B66" w:rsidP="00B85B66">
      <w:pPr>
        <w:ind w:firstLine="709"/>
        <w:jc w:val="both"/>
        <w:rPr>
          <w:rFonts w:ascii="Comic Sans MS" w:hAnsi="Comic Sans MS"/>
          <w:sz w:val="21"/>
          <w:szCs w:val="21"/>
        </w:rPr>
      </w:pPr>
      <w:r w:rsidRPr="00B85B66">
        <w:rPr>
          <w:rFonts w:ascii="Comic Sans MS" w:hAnsi="Comic Sans MS"/>
          <w:sz w:val="21"/>
          <w:szCs w:val="21"/>
        </w:rPr>
        <w:t>Ce document a pour but d’expliquer l’utilisation des annexes pour alimenter le système de la comptabilité</w:t>
      </w:r>
      <w:r>
        <w:rPr>
          <w:rFonts w:ascii="Comic Sans MS" w:hAnsi="Comic Sans MS"/>
          <w:b/>
          <w:bCs/>
          <w:sz w:val="22"/>
          <w:szCs w:val="22"/>
        </w:rPr>
        <w:t xml:space="preserve">. </w:t>
      </w:r>
      <w:r w:rsidR="006E6084" w:rsidRPr="00B85B66">
        <w:rPr>
          <w:rFonts w:ascii="Comic Sans MS" w:hAnsi="Comic Sans MS"/>
          <w:sz w:val="21"/>
          <w:szCs w:val="21"/>
        </w:rPr>
        <w:t>Il est organisé comme suit :</w:t>
      </w:r>
    </w:p>
    <w:p w:rsidR="008049CD" w:rsidRPr="00B85B66" w:rsidRDefault="008049CD" w:rsidP="00B85B66">
      <w:pPr>
        <w:ind w:firstLine="709"/>
        <w:jc w:val="both"/>
        <w:rPr>
          <w:rFonts w:ascii="Comic Sans MS" w:hAnsi="Comic Sans MS"/>
          <w:sz w:val="21"/>
          <w:szCs w:val="21"/>
        </w:rPr>
      </w:pPr>
    </w:p>
    <w:p w:rsidR="006E6084" w:rsidRPr="00B85B66" w:rsidRDefault="006E6084" w:rsidP="00B85B66">
      <w:pPr>
        <w:ind w:firstLine="709"/>
        <w:jc w:val="both"/>
        <w:rPr>
          <w:rFonts w:ascii="Comic Sans MS" w:hAnsi="Comic Sans MS"/>
          <w:sz w:val="21"/>
          <w:szCs w:val="21"/>
        </w:rPr>
      </w:pPr>
      <w:r w:rsidRPr="00B85B66">
        <w:rPr>
          <w:rFonts w:ascii="Comic Sans MS" w:hAnsi="Comic Sans MS"/>
          <w:sz w:val="21"/>
          <w:szCs w:val="21"/>
        </w:rPr>
        <w:t>Liste des annexes</w:t>
      </w:r>
    </w:p>
    <w:p w:rsidR="006E6084" w:rsidRDefault="006E6084" w:rsidP="00B85B66">
      <w:pPr>
        <w:ind w:firstLine="709"/>
        <w:jc w:val="both"/>
        <w:rPr>
          <w:rFonts w:ascii="Comic Sans MS" w:hAnsi="Comic Sans MS"/>
          <w:sz w:val="21"/>
          <w:szCs w:val="21"/>
        </w:rPr>
      </w:pPr>
      <w:r w:rsidRPr="00B85B66">
        <w:rPr>
          <w:rFonts w:ascii="Comic Sans MS" w:hAnsi="Comic Sans MS"/>
          <w:sz w:val="21"/>
          <w:szCs w:val="21"/>
        </w:rPr>
        <w:t>Abréviations</w:t>
      </w:r>
    </w:p>
    <w:p w:rsidR="0038517C" w:rsidRPr="00B85B66" w:rsidRDefault="0038517C" w:rsidP="00B85B66">
      <w:pPr>
        <w:ind w:firstLine="709"/>
        <w:jc w:val="both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>Utilisation des Annexes</w:t>
      </w:r>
    </w:p>
    <w:p w:rsidR="006E6084" w:rsidRDefault="006E6084" w:rsidP="00BC7095">
      <w:pPr>
        <w:rPr>
          <w:rFonts w:ascii="Comic Sans MS" w:hAnsi="Comic Sans MS"/>
          <w:b/>
          <w:bCs/>
          <w:sz w:val="22"/>
          <w:szCs w:val="22"/>
        </w:rPr>
      </w:pPr>
    </w:p>
    <w:p w:rsidR="006E6084" w:rsidRPr="00BC7095" w:rsidRDefault="006E6084" w:rsidP="006E6084">
      <w:pPr>
        <w:pStyle w:val="Paragraphedeliste"/>
        <w:ind w:left="0"/>
        <w:rPr>
          <w:rFonts w:ascii="Comic Sans MS" w:hAnsi="Comic Sans MS"/>
          <w:b/>
          <w:sz w:val="21"/>
          <w:szCs w:val="21"/>
          <w:u w:val="single"/>
        </w:rPr>
      </w:pPr>
      <w:r w:rsidRPr="00BC7095">
        <w:rPr>
          <w:rFonts w:ascii="Comic Sans MS" w:hAnsi="Comic Sans MS"/>
          <w:b/>
          <w:sz w:val="21"/>
          <w:szCs w:val="21"/>
          <w:u w:val="single"/>
        </w:rPr>
        <w:t>Liste des annexes</w:t>
      </w:r>
      <w:r>
        <w:rPr>
          <w:rFonts w:ascii="Comic Sans MS" w:hAnsi="Comic Sans MS"/>
          <w:b/>
          <w:sz w:val="21"/>
          <w:szCs w:val="21"/>
          <w:u w:val="single"/>
        </w:rPr>
        <w:t> </w:t>
      </w:r>
    </w:p>
    <w:tbl>
      <w:tblPr>
        <w:tblStyle w:val="Grilledutableau"/>
        <w:tblW w:w="10031" w:type="dxa"/>
        <w:tblLook w:val="04A0"/>
      </w:tblPr>
      <w:tblGrid>
        <w:gridCol w:w="1387"/>
        <w:gridCol w:w="4675"/>
        <w:gridCol w:w="3969"/>
      </w:tblGrid>
      <w:tr w:rsidR="009F7C7E" w:rsidRPr="00DA0E28" w:rsidTr="009F7C7E">
        <w:trPr>
          <w:trHeight w:val="401"/>
        </w:trPr>
        <w:tc>
          <w:tcPr>
            <w:tcW w:w="1387" w:type="dxa"/>
          </w:tcPr>
          <w:p w:rsidR="009F7C7E" w:rsidRPr="00DA0E28" w:rsidRDefault="009F7C7E" w:rsidP="00D3319B">
            <w:pPr>
              <w:jc w:val="center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DA0E28">
              <w:rPr>
                <w:rFonts w:ascii="Comic Sans MS" w:hAnsi="Comic Sans MS"/>
                <w:color w:val="0070C0"/>
                <w:sz w:val="20"/>
                <w:szCs w:val="20"/>
              </w:rPr>
              <w:t>Annexe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center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DA0E28">
              <w:rPr>
                <w:rFonts w:ascii="Comic Sans MS" w:hAnsi="Comic Sans MS"/>
                <w:color w:val="0070C0"/>
                <w:sz w:val="20"/>
                <w:szCs w:val="20"/>
              </w:rPr>
              <w:t>Désignation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center"/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DA0E28">
              <w:rPr>
                <w:rFonts w:ascii="Comic Sans MS" w:hAnsi="Comic Sans MS"/>
                <w:color w:val="0070C0"/>
                <w:sz w:val="20"/>
                <w:szCs w:val="20"/>
              </w:rPr>
              <w:t>Type acteur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 1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encaissées pour son propre compte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TM,TP,TPV, Perception,RC,TC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 2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reçues d’autres comptables (pour imputation définitive)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TM,TP</w:t>
            </w:r>
            <w:r>
              <w:rPr>
                <w:rFonts w:ascii="Comic Sans MS" w:hAnsi="Comic Sans MS"/>
                <w:sz w:val="20"/>
                <w:szCs w:val="20"/>
              </w:rPr>
              <w:t>,TPV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 2bis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reçues du comptable de rattachement (pour imputation définitive)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Perception,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DA0E28">
              <w:rPr>
                <w:rFonts w:ascii="Comic Sans MS" w:hAnsi="Comic Sans MS"/>
                <w:sz w:val="20"/>
                <w:szCs w:val="20"/>
              </w:rPr>
              <w:t>RC,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DA0E28">
              <w:rPr>
                <w:rFonts w:ascii="Comic Sans MS" w:hAnsi="Comic Sans MS"/>
                <w:sz w:val="20"/>
                <w:szCs w:val="20"/>
              </w:rPr>
              <w:t xml:space="preserve">TC 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Annexe2ter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reçues des comptables de base (pour imputation définitive)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TP,TPV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Annexe3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à transférer à d’autres comptables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TM,TP</w:t>
            </w:r>
            <w:r>
              <w:rPr>
                <w:rFonts w:ascii="Comic Sans MS" w:hAnsi="Comic Sans MS"/>
                <w:sz w:val="20"/>
                <w:szCs w:val="20"/>
              </w:rPr>
              <w:t>,TPV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Annexe3bis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reçues des comptables de base destinées à d’autres comptables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TP,TPV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Annexe4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à transférer au comptable de rattachement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Perception,RC,TC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</w:t>
            </w:r>
            <w:r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recettes encaissées par le TP et destinées aux comptables de base de sa circonscription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TP,TPV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Annexe5</w:t>
            </w:r>
            <w:r>
              <w:rPr>
                <w:rFonts w:ascii="Comic Sans MS" w:hAnsi="Comic Sans MS"/>
                <w:sz w:val="20"/>
                <w:szCs w:val="20"/>
              </w:rPr>
              <w:t>bis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 Recettes encaissées par les comptables de base rattachés au TP et destinées aux comptables de base de sa circonscription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TP,TPV</w:t>
            </w:r>
          </w:p>
        </w:tc>
      </w:tr>
      <w:tr w:rsidR="009F7C7E" w:rsidRPr="00DA0E28" w:rsidTr="009F7C7E">
        <w:tc>
          <w:tcPr>
            <w:tcW w:w="1387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Annexe5</w:t>
            </w:r>
            <w:r>
              <w:rPr>
                <w:rFonts w:ascii="Comic Sans MS" w:hAnsi="Comic Sans MS"/>
                <w:sz w:val="20"/>
                <w:szCs w:val="20"/>
              </w:rPr>
              <w:t>ter</w:t>
            </w:r>
          </w:p>
        </w:tc>
        <w:tc>
          <w:tcPr>
            <w:tcW w:w="4675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Etat quotidien des  Recettes encaissées par d’autres comptables TP/TM et destinées aux comptables de base de sa circonscription</w:t>
            </w:r>
          </w:p>
        </w:tc>
        <w:tc>
          <w:tcPr>
            <w:tcW w:w="3969" w:type="dxa"/>
          </w:tcPr>
          <w:p w:rsidR="009F7C7E" w:rsidRPr="00DA0E28" w:rsidRDefault="009F7C7E" w:rsidP="00D3319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DA0E28">
              <w:rPr>
                <w:rFonts w:ascii="Comic Sans MS" w:hAnsi="Comic Sans MS"/>
                <w:sz w:val="20"/>
                <w:szCs w:val="20"/>
              </w:rPr>
              <w:t>TP,TPV</w:t>
            </w:r>
          </w:p>
        </w:tc>
      </w:tr>
    </w:tbl>
    <w:p w:rsidR="006E6084" w:rsidRDefault="006E6084" w:rsidP="006E6084"/>
    <w:p w:rsidR="00BC7095" w:rsidRPr="00B16A12" w:rsidRDefault="00BC7095" w:rsidP="00B16A12">
      <w:pPr>
        <w:pStyle w:val="Paragraphedeliste"/>
        <w:ind w:left="0"/>
        <w:rPr>
          <w:rFonts w:ascii="Comic Sans MS" w:hAnsi="Comic Sans MS"/>
          <w:b/>
          <w:sz w:val="21"/>
          <w:szCs w:val="21"/>
          <w:u w:val="single"/>
        </w:rPr>
      </w:pPr>
      <w:r w:rsidRPr="00B16A12">
        <w:rPr>
          <w:rFonts w:ascii="Comic Sans MS" w:hAnsi="Comic Sans MS"/>
          <w:b/>
          <w:sz w:val="21"/>
          <w:szCs w:val="21"/>
          <w:u w:val="single"/>
        </w:rPr>
        <w:t>Abréviations :</w:t>
      </w:r>
    </w:p>
    <w:p w:rsidR="00BC7095" w:rsidRPr="00AE61FF" w:rsidRDefault="00BC7095" w:rsidP="00BC7095">
      <w:pPr>
        <w:rPr>
          <w:rFonts w:ascii="Comic Sans MS" w:hAnsi="Comic Sans MS"/>
          <w:sz w:val="21"/>
          <w:szCs w:val="21"/>
        </w:rPr>
      </w:pPr>
      <w:r w:rsidRPr="00AE61FF">
        <w:rPr>
          <w:rFonts w:ascii="Comic Sans MS" w:hAnsi="Comic Sans MS"/>
          <w:sz w:val="21"/>
          <w:szCs w:val="21"/>
        </w:rPr>
        <w:t>CE : Comptable Encaisseur.</w:t>
      </w:r>
    </w:p>
    <w:p w:rsidR="00BC7095" w:rsidRPr="00AE61FF" w:rsidRDefault="00BC7095" w:rsidP="00BC7095">
      <w:pPr>
        <w:rPr>
          <w:rFonts w:ascii="Comic Sans MS" w:hAnsi="Comic Sans MS"/>
          <w:sz w:val="21"/>
          <w:szCs w:val="21"/>
        </w:rPr>
      </w:pPr>
      <w:r w:rsidRPr="00AE61FF">
        <w:rPr>
          <w:rFonts w:ascii="Comic Sans MS" w:hAnsi="Comic Sans MS"/>
          <w:sz w:val="21"/>
          <w:szCs w:val="21"/>
        </w:rPr>
        <w:t>CRCE : Comptable de Rattachement du Comptable Encaisseur.</w:t>
      </w:r>
    </w:p>
    <w:p w:rsidR="00BC7095" w:rsidRPr="00AE61FF" w:rsidRDefault="00BC7095" w:rsidP="00BC7095">
      <w:pPr>
        <w:rPr>
          <w:rFonts w:ascii="Comic Sans MS" w:hAnsi="Comic Sans MS"/>
          <w:sz w:val="21"/>
          <w:szCs w:val="21"/>
        </w:rPr>
      </w:pPr>
      <w:r w:rsidRPr="00AE61FF">
        <w:rPr>
          <w:rFonts w:ascii="Comic Sans MS" w:hAnsi="Comic Sans MS"/>
          <w:sz w:val="21"/>
          <w:szCs w:val="21"/>
        </w:rPr>
        <w:t>CA : Comptable Assignataire.</w:t>
      </w:r>
    </w:p>
    <w:p w:rsidR="00BC7095" w:rsidRPr="00AE61FF" w:rsidRDefault="00BC7095" w:rsidP="00BC7095">
      <w:pPr>
        <w:rPr>
          <w:rFonts w:ascii="Comic Sans MS" w:hAnsi="Comic Sans MS"/>
          <w:sz w:val="21"/>
          <w:szCs w:val="21"/>
        </w:rPr>
      </w:pPr>
      <w:r w:rsidRPr="00AE61FF">
        <w:rPr>
          <w:rFonts w:ascii="Comic Sans MS" w:hAnsi="Comic Sans MS"/>
          <w:sz w:val="21"/>
          <w:szCs w:val="21"/>
        </w:rPr>
        <w:t>CRCA : Comptable de Rattachement du Comptable Assignataire.</w:t>
      </w:r>
    </w:p>
    <w:p w:rsidR="00BC7095" w:rsidRPr="00AE61FF" w:rsidRDefault="00620059" w:rsidP="00620059">
      <w:pPr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lastRenderedPageBreak/>
        <w:t>TE : Trésori</w:t>
      </w:r>
      <w:r w:rsidR="00BC7095" w:rsidRPr="00AE61FF">
        <w:rPr>
          <w:rFonts w:ascii="Comic Sans MS" w:hAnsi="Comic Sans MS"/>
          <w:sz w:val="21"/>
          <w:szCs w:val="21"/>
        </w:rPr>
        <w:t>e</w:t>
      </w:r>
      <w:r>
        <w:rPr>
          <w:rFonts w:ascii="Comic Sans MS" w:hAnsi="Comic Sans MS"/>
          <w:sz w:val="21"/>
          <w:szCs w:val="21"/>
        </w:rPr>
        <w:t>r</w:t>
      </w:r>
      <w:r w:rsidR="00BC7095" w:rsidRPr="00AE61FF">
        <w:rPr>
          <w:rFonts w:ascii="Comic Sans MS" w:hAnsi="Comic Sans MS"/>
          <w:sz w:val="21"/>
          <w:szCs w:val="21"/>
        </w:rPr>
        <w:t xml:space="preserve"> Encaisseur</w:t>
      </w:r>
    </w:p>
    <w:p w:rsidR="00BC7095" w:rsidRDefault="00BC7095" w:rsidP="00BC7095">
      <w:pPr>
        <w:rPr>
          <w:rFonts w:ascii="Comic Sans MS" w:hAnsi="Comic Sans MS"/>
          <w:b/>
          <w:bCs/>
          <w:sz w:val="22"/>
          <w:szCs w:val="22"/>
        </w:rPr>
      </w:pPr>
    </w:p>
    <w:p w:rsidR="00BC7095" w:rsidRPr="00B16A12" w:rsidRDefault="00D74759" w:rsidP="00B16A12">
      <w:pPr>
        <w:pStyle w:val="Paragraphedeliste"/>
        <w:ind w:left="0"/>
        <w:rPr>
          <w:rFonts w:ascii="Comic Sans MS" w:hAnsi="Comic Sans MS"/>
          <w:b/>
          <w:sz w:val="21"/>
          <w:szCs w:val="21"/>
          <w:u w:val="single"/>
        </w:rPr>
      </w:pPr>
      <w:r w:rsidRPr="00B16A12">
        <w:rPr>
          <w:rFonts w:ascii="Comic Sans MS" w:hAnsi="Comic Sans MS"/>
          <w:b/>
          <w:sz w:val="21"/>
          <w:szCs w:val="21"/>
          <w:u w:val="single"/>
        </w:rPr>
        <w:t>Utilisation des Annexes :</w:t>
      </w:r>
    </w:p>
    <w:p w:rsidR="00D74759" w:rsidRDefault="0038517C" w:rsidP="00303D46">
      <w:pPr>
        <w:rPr>
          <w:rFonts w:ascii="Comic Sans MS" w:hAnsi="Comic Sans MS"/>
          <w:sz w:val="21"/>
          <w:szCs w:val="21"/>
        </w:rPr>
      </w:pPr>
      <w:r w:rsidRPr="0038517C">
        <w:rPr>
          <w:rFonts w:ascii="Comic Sans MS" w:hAnsi="Comic Sans MS"/>
          <w:sz w:val="21"/>
          <w:szCs w:val="21"/>
        </w:rPr>
        <w:t>Ci-dessous,</w:t>
      </w:r>
      <w:r>
        <w:rPr>
          <w:rFonts w:ascii="Comic Sans MS" w:hAnsi="Comic Sans MS"/>
          <w:sz w:val="21"/>
          <w:szCs w:val="21"/>
        </w:rPr>
        <w:t xml:space="preserve"> on énumère </w:t>
      </w:r>
      <w:r w:rsidRPr="0038517C">
        <w:rPr>
          <w:rFonts w:ascii="Comic Sans MS" w:hAnsi="Comic Sans MS"/>
          <w:sz w:val="21"/>
          <w:szCs w:val="21"/>
        </w:rPr>
        <w:t xml:space="preserve">9 cas </w:t>
      </w:r>
      <w:r>
        <w:rPr>
          <w:rFonts w:ascii="Comic Sans MS" w:hAnsi="Comic Sans MS"/>
          <w:sz w:val="21"/>
          <w:szCs w:val="21"/>
        </w:rPr>
        <w:t xml:space="preserve">d’utilisation des annexes pour alimenter la comptabilité. </w:t>
      </w:r>
      <w:r w:rsidR="008F458E">
        <w:rPr>
          <w:rFonts w:ascii="Comic Sans MS" w:hAnsi="Comic Sans MS"/>
          <w:sz w:val="21"/>
          <w:szCs w:val="21"/>
        </w:rPr>
        <w:t>Les cinq premiers cas traitent les encaissements qui s’effectuent au niveau des postes de base (</w:t>
      </w:r>
      <w:r w:rsidR="008F458E" w:rsidRPr="00DA0E28">
        <w:rPr>
          <w:rFonts w:ascii="Comic Sans MS" w:hAnsi="Comic Sans MS"/>
          <w:sz w:val="20"/>
          <w:szCs w:val="20"/>
        </w:rPr>
        <w:t>Perception,</w:t>
      </w:r>
      <w:r w:rsidR="008F458E">
        <w:rPr>
          <w:rFonts w:ascii="Comic Sans MS" w:hAnsi="Comic Sans MS"/>
          <w:sz w:val="20"/>
          <w:szCs w:val="20"/>
        </w:rPr>
        <w:t xml:space="preserve"> </w:t>
      </w:r>
      <w:r w:rsidR="008F458E" w:rsidRPr="00DA0E28">
        <w:rPr>
          <w:rFonts w:ascii="Comic Sans MS" w:hAnsi="Comic Sans MS"/>
          <w:sz w:val="20"/>
          <w:szCs w:val="20"/>
        </w:rPr>
        <w:t>RC,</w:t>
      </w:r>
      <w:r w:rsidR="008F458E">
        <w:rPr>
          <w:rFonts w:ascii="Comic Sans MS" w:hAnsi="Comic Sans MS"/>
          <w:sz w:val="20"/>
          <w:szCs w:val="20"/>
        </w:rPr>
        <w:t xml:space="preserve"> </w:t>
      </w:r>
      <w:r w:rsidR="008F458E" w:rsidRPr="00DA0E28">
        <w:rPr>
          <w:rFonts w:ascii="Comic Sans MS" w:hAnsi="Comic Sans MS"/>
          <w:sz w:val="20"/>
          <w:szCs w:val="20"/>
        </w:rPr>
        <w:t>TC</w:t>
      </w:r>
      <w:r w:rsidR="008F458E">
        <w:rPr>
          <w:rFonts w:ascii="Comic Sans MS" w:hAnsi="Comic Sans MS"/>
          <w:sz w:val="21"/>
          <w:szCs w:val="21"/>
        </w:rPr>
        <w:t>)</w:t>
      </w:r>
      <w:r>
        <w:rPr>
          <w:rFonts w:ascii="Comic Sans MS" w:hAnsi="Comic Sans MS"/>
          <w:sz w:val="21"/>
          <w:szCs w:val="21"/>
        </w:rPr>
        <w:t xml:space="preserve"> et les quatre derniers cas </w:t>
      </w:r>
      <w:r w:rsidR="00D74759">
        <w:rPr>
          <w:rFonts w:ascii="Comic Sans MS" w:hAnsi="Comic Sans MS"/>
          <w:sz w:val="21"/>
          <w:szCs w:val="21"/>
        </w:rPr>
        <w:t>traitent les encaissements qui s’effectuent au niveau des postes de rattachement (TP</w:t>
      </w:r>
      <w:r w:rsidR="00303D46">
        <w:rPr>
          <w:rFonts w:ascii="Comic Sans MS" w:hAnsi="Comic Sans MS"/>
          <w:sz w:val="21"/>
          <w:szCs w:val="21"/>
        </w:rPr>
        <w:t> : Trésorerie Préfectorale</w:t>
      </w:r>
      <w:r w:rsidR="00D74759">
        <w:rPr>
          <w:rFonts w:ascii="Comic Sans MS" w:hAnsi="Comic Sans MS"/>
          <w:sz w:val="21"/>
          <w:szCs w:val="21"/>
        </w:rPr>
        <w:t>,</w:t>
      </w:r>
      <w:r w:rsidR="00D74759" w:rsidRPr="00DA0E28">
        <w:rPr>
          <w:rFonts w:ascii="Comic Sans MS" w:hAnsi="Comic Sans MS"/>
          <w:sz w:val="20"/>
          <w:szCs w:val="20"/>
        </w:rPr>
        <w:t xml:space="preserve"> TPV</w:t>
      </w:r>
      <w:r w:rsidR="00303D46">
        <w:rPr>
          <w:rFonts w:ascii="Comic Sans MS" w:hAnsi="Comic Sans MS"/>
          <w:sz w:val="20"/>
          <w:szCs w:val="20"/>
        </w:rPr>
        <w:t xml:space="preserve"> : </w:t>
      </w:r>
      <w:r w:rsidR="00303D46">
        <w:rPr>
          <w:rFonts w:ascii="Comic Sans MS" w:hAnsi="Comic Sans MS"/>
          <w:sz w:val="21"/>
          <w:szCs w:val="21"/>
        </w:rPr>
        <w:t>Trésorerie Provinciale</w:t>
      </w:r>
      <w:r w:rsidR="00D74759">
        <w:rPr>
          <w:rFonts w:ascii="Comic Sans MS" w:hAnsi="Comic Sans MS"/>
          <w:sz w:val="20"/>
          <w:szCs w:val="20"/>
        </w:rPr>
        <w:t>)</w:t>
      </w:r>
      <w:r w:rsidR="00D74759">
        <w:rPr>
          <w:rFonts w:ascii="Comic Sans MS" w:hAnsi="Comic Sans MS"/>
          <w:sz w:val="21"/>
          <w:szCs w:val="21"/>
        </w:rPr>
        <w:t>.</w:t>
      </w:r>
    </w:p>
    <w:p w:rsidR="008F458E" w:rsidRDefault="008F458E" w:rsidP="00BC7095">
      <w:pPr>
        <w:rPr>
          <w:rFonts w:ascii="Comic Sans MS" w:hAnsi="Comic Sans MS"/>
          <w:b/>
          <w:bCs/>
          <w:sz w:val="22"/>
          <w:szCs w:val="22"/>
        </w:rPr>
      </w:pPr>
    </w:p>
    <w:p w:rsidR="00BC7095" w:rsidRPr="0038517C" w:rsidRDefault="00BC7095" w:rsidP="00BC7095">
      <w:pPr>
        <w:rPr>
          <w:rFonts w:ascii="Comic Sans MS" w:hAnsi="Comic Sans MS"/>
          <w:b/>
          <w:bCs/>
          <w:sz w:val="21"/>
          <w:szCs w:val="21"/>
        </w:rPr>
      </w:pPr>
      <w:r w:rsidRPr="0038517C">
        <w:rPr>
          <w:rFonts w:ascii="Comic Sans MS" w:hAnsi="Comic Sans MS"/>
          <w:b/>
          <w:bCs/>
          <w:sz w:val="21"/>
          <w:szCs w:val="21"/>
        </w:rPr>
        <w:t>Encaissement au niveau d’un comptable de base :</w:t>
      </w:r>
    </w:p>
    <w:p w:rsidR="008F458E" w:rsidRDefault="008F458E" w:rsidP="00BC7095">
      <w:pPr>
        <w:rPr>
          <w:rFonts w:ascii="Comic Sans MS" w:hAnsi="Comic Sans MS"/>
          <w:b/>
          <w:bCs/>
          <w:sz w:val="21"/>
          <w:szCs w:val="21"/>
          <w:u w:val="single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>Cas 1 : CE=CA</w:t>
      </w:r>
    </w:p>
    <w:p w:rsidR="00BC7095" w:rsidRPr="00577BA9" w:rsidRDefault="00BC7095" w:rsidP="00BC7095">
      <w:pPr>
        <w:jc w:val="both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jc w:val="both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Dans le cas ou un comptable de base est comptable assignataire d’une recette qu’il a </w:t>
      </w:r>
      <w:r w:rsidR="009F7C7E" w:rsidRPr="00577BA9">
        <w:rPr>
          <w:rFonts w:ascii="Comic Sans MS" w:hAnsi="Comic Sans MS"/>
          <w:sz w:val="20"/>
          <w:szCs w:val="20"/>
        </w:rPr>
        <w:t>encaissée</w:t>
      </w:r>
      <w:r w:rsidRPr="00577BA9">
        <w:rPr>
          <w:rFonts w:ascii="Comic Sans MS" w:hAnsi="Comic Sans MS"/>
          <w:sz w:val="20"/>
          <w:szCs w:val="20"/>
        </w:rPr>
        <w:t xml:space="preserve"> </w:t>
      </w:r>
      <w:r w:rsidRPr="00577BA9">
        <w:rPr>
          <w:rFonts w:ascii="Comic Sans MS" w:hAnsi="Comic Sans MS"/>
          <w:color w:val="FF0000"/>
          <w:sz w:val="20"/>
          <w:szCs w:val="20"/>
        </w:rPr>
        <w:t>le jour j</w:t>
      </w:r>
      <w:r w:rsidRPr="00577BA9">
        <w:rPr>
          <w:rFonts w:ascii="Comic Sans MS" w:hAnsi="Comic Sans MS"/>
          <w:sz w:val="20"/>
          <w:szCs w:val="20"/>
        </w:rPr>
        <w:t xml:space="preserve"> (Cas d’une RC) :</w:t>
      </w: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</w:p>
    <w:p w:rsidR="00BC7095" w:rsidRPr="00577BA9" w:rsidRDefault="00BC7095" w:rsidP="00BC7095">
      <w:pPr>
        <w:jc w:val="center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1214446" cy="428628"/>
            <wp:effectExtent l="19050" t="0" r="4754" b="0"/>
            <wp:docPr id="58" name="Obje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14446" cy="428628"/>
                      <a:chOff x="571472" y="642918"/>
                      <a:chExt cx="1214446" cy="428628"/>
                    </a:xfrm>
                  </a:grpSpPr>
                  <a:sp>
                    <a:nvSpPr>
                      <a:cNvPr id="5" name="Rectangle à coins arrondis 4"/>
                      <a:cNvSpPr/>
                    </a:nvSpPr>
                    <a:spPr>
                      <a:xfrm>
                        <a:off x="571472" y="642918"/>
                        <a:ext cx="1214446" cy="428628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Encaisseur CE 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jc w:val="both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pStyle w:val="Paragraphedeliste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Ce comptable encaisseur CE utilise l’annexe 1 : «  Etat quotidien des recettes encaissées pour son propre compte 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BC7095">
      <w:pPr>
        <w:jc w:val="center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>Cas2 : CRCE=CA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Dans le cas ou le CE n’est pas assignataire de la recette qu’il a encaissée </w:t>
      </w:r>
      <w:r w:rsidRPr="00577BA9">
        <w:rPr>
          <w:rFonts w:ascii="Comic Sans MS" w:hAnsi="Comic Sans MS"/>
          <w:color w:val="FF0000"/>
          <w:sz w:val="20"/>
          <w:szCs w:val="20"/>
        </w:rPr>
        <w:t>le jour j</w:t>
      </w:r>
      <w:r w:rsidRPr="00577BA9">
        <w:rPr>
          <w:rFonts w:ascii="Comic Sans MS" w:hAnsi="Comic Sans MS"/>
          <w:sz w:val="20"/>
          <w:szCs w:val="20"/>
        </w:rPr>
        <w:t>, et c’est son comptable de rattachement qui l’est :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jc w:val="center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2071702" cy="1428760"/>
            <wp:effectExtent l="19050" t="0" r="4748" b="0"/>
            <wp:docPr id="46" name="Obje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71702" cy="1428760"/>
                      <a:chOff x="142844" y="1785926"/>
                      <a:chExt cx="2071702" cy="1428760"/>
                    </a:xfrm>
                  </a:grpSpPr>
                  <a:sp>
                    <a:nvSpPr>
                      <a:cNvPr id="12" name="Rectangle à coins arrondis 11"/>
                      <a:cNvSpPr/>
                    </a:nvSpPr>
                    <a:spPr>
                      <a:xfrm>
                        <a:off x="714348" y="1785926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CE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à coins arrondis 12"/>
                      <a:cNvSpPr/>
                    </a:nvSpPr>
                    <a:spPr>
                      <a:xfrm>
                        <a:off x="142844" y="2786058"/>
                        <a:ext cx="1214446" cy="428628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Encaisseur CE 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Flèche droite 17"/>
                      <a:cNvSpPr/>
                    </a:nvSpPr>
                    <a:spPr>
                      <a:xfrm rot="18119351">
                        <a:off x="782713" y="2393970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pStyle w:val="Paragraphedeliste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CE édite l’annexe 4 : « Etat quotidien des recettes à transférer au comptable de rattachement 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BC7095">
      <w:pPr>
        <w:pStyle w:val="Paragraphedeliste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CRCE utilise l’annexe 2Ter « Etat quotidien des recettes reçues des comptables de base (pour imputation définitive) 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  <w:u w:val="single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>Cas3 : CRCE=CRCA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>Dans le cas ou le comptable encaisseur CE et le comptable assignataire CA ont le même comptable de rattachement CRCE :</w:t>
      </w: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</w:rPr>
      </w:pPr>
    </w:p>
    <w:p w:rsidR="00BC7095" w:rsidRDefault="00BC7095" w:rsidP="00BC7095">
      <w:pPr>
        <w:jc w:val="center"/>
        <w:rPr>
          <w:rFonts w:ascii="Comic Sans MS" w:hAnsi="Comic Sans MS"/>
          <w:sz w:val="20"/>
          <w:szCs w:val="20"/>
        </w:rPr>
      </w:pPr>
    </w:p>
    <w:p w:rsidR="003D2418" w:rsidRPr="00577BA9" w:rsidRDefault="003D2418" w:rsidP="003D2418">
      <w:pPr>
        <w:jc w:val="center"/>
        <w:rPr>
          <w:rFonts w:ascii="Comic Sans MS" w:hAnsi="Comic Sans MS"/>
          <w:sz w:val="20"/>
          <w:szCs w:val="20"/>
        </w:rPr>
      </w:pPr>
      <w:r w:rsidRPr="003D2418">
        <w:rPr>
          <w:rFonts w:ascii="Comic Sans MS" w:hAnsi="Comic Sans MS"/>
          <w:sz w:val="20"/>
          <w:szCs w:val="20"/>
        </w:rPr>
        <w:lastRenderedPageBreak/>
        <w:drawing>
          <wp:inline distT="0" distB="0" distL="0" distR="0">
            <wp:extent cx="3500462" cy="1428760"/>
            <wp:effectExtent l="19050" t="0" r="4738" b="0"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0462" cy="1428760"/>
                      <a:chOff x="142844" y="3786190"/>
                      <a:chExt cx="3500462" cy="1428760"/>
                    </a:xfrm>
                  </a:grpSpPr>
                  <a:sp>
                    <a:nvSpPr>
                      <a:cNvPr id="21" name="Rectangle à coins arrondis 20"/>
                      <a:cNvSpPr/>
                    </a:nvSpPr>
                    <a:spPr>
                      <a:xfrm>
                        <a:off x="1142976" y="3786190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CE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Rectangle à coins arrondis 21"/>
                      <a:cNvSpPr/>
                    </a:nvSpPr>
                    <a:spPr>
                      <a:xfrm>
                        <a:off x="142844" y="4786322"/>
                        <a:ext cx="1214446" cy="428628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Encaisseur CE 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à coins arrondis 23"/>
                      <a:cNvSpPr/>
                    </a:nvSpPr>
                    <a:spPr>
                      <a:xfrm>
                        <a:off x="2428860" y="4857760"/>
                        <a:ext cx="1214446" cy="357190"/>
                      </a:xfrm>
                      <a:prstGeom prst="roundRect">
                        <a:avLst/>
                      </a:prstGeom>
                      <a:solidFill>
                        <a:schemeClr val="accent4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Assignataire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Flèche droite 24"/>
                      <a:cNvSpPr/>
                    </a:nvSpPr>
                    <a:spPr>
                      <a:xfrm rot="18119351">
                        <a:off x="782713" y="4394234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Flèche droite 26"/>
                      <a:cNvSpPr/>
                    </a:nvSpPr>
                    <a:spPr>
                      <a:xfrm rot="2523700">
                        <a:off x="2366212" y="4443898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jc w:val="center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CE édite l’annexe 4 : « Etat quotidien des recettes à transférer au comptable de rattachement 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CRCE utilise l’annexe 5Bis « Etat quotidien des  Recettes encaissées par les comptables de base rattachés au TP et destinées aux comptables de base de sa circonscription  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CA utilise l’annexe 2Bis « Etat quotidien des recettes reçues du comptable de rattachement (pour imputation définitive) » 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rPr>
          <w:rFonts w:ascii="Comic Sans MS" w:hAnsi="Comic Sans MS"/>
          <w:color w:val="FF0000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>Cas4 : CRCA=CA</w:t>
      </w: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Dans le cas ou le comptable Assignataire de la recette encaissée </w:t>
      </w:r>
      <w:r w:rsidRPr="00577BA9">
        <w:rPr>
          <w:rFonts w:ascii="Comic Sans MS" w:hAnsi="Comic Sans MS"/>
          <w:color w:val="FF0000"/>
          <w:sz w:val="20"/>
          <w:szCs w:val="20"/>
        </w:rPr>
        <w:t>le jour j</w:t>
      </w:r>
      <w:r w:rsidRPr="00577BA9">
        <w:rPr>
          <w:rFonts w:ascii="Comic Sans MS" w:hAnsi="Comic Sans MS"/>
          <w:sz w:val="20"/>
          <w:szCs w:val="20"/>
        </w:rPr>
        <w:t xml:space="preserve"> est un poste de rattachement :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jc w:val="center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4214842" cy="1428760"/>
            <wp:effectExtent l="19050" t="0" r="0" b="0"/>
            <wp:docPr id="48" name="Obje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14842" cy="1428760"/>
                      <a:chOff x="3500430" y="500042"/>
                      <a:chExt cx="4214842" cy="1428760"/>
                    </a:xfrm>
                  </a:grpSpPr>
                  <a:sp>
                    <a:nvSpPr>
                      <a:cNvPr id="28" name="Rectangle à coins arrondis 27"/>
                      <a:cNvSpPr/>
                    </a:nvSpPr>
                    <a:spPr>
                      <a:xfrm>
                        <a:off x="4071934" y="500042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CE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à coins arrondis 28"/>
                      <a:cNvSpPr/>
                    </a:nvSpPr>
                    <a:spPr>
                      <a:xfrm>
                        <a:off x="3500430" y="1500174"/>
                        <a:ext cx="1214446" cy="428628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Encaisseur CE 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à coins arrondis 29"/>
                      <a:cNvSpPr/>
                    </a:nvSpPr>
                    <a:spPr>
                      <a:xfrm>
                        <a:off x="6215074" y="500042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3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Flèche droite 31"/>
                      <a:cNvSpPr/>
                    </a:nvSpPr>
                    <a:spPr>
                      <a:xfrm rot="18119351">
                        <a:off x="4140299" y="1108086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Flèche droite 32"/>
                      <a:cNvSpPr/>
                    </a:nvSpPr>
                    <a:spPr>
                      <a:xfrm>
                        <a:off x="5643570" y="642918"/>
                        <a:ext cx="571504" cy="142876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CE édite l’annexe 4 : « Etat quotidien des recettes à transférer au comptable de rattachement 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CRCE utilise l’annexe 3Bis « Etat quotidien des recettes reçues des comptables de base destinées à d’autres comptables 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CA utilise l’annexe 2 « Etat quotidien des recettes reçues d’autres comptables (pour imputation définitive) » 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 xml:space="preserve">Cas5 : 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>Dans le cas ou le CE encaisse une recette, le jour j, dont le comptable assignataire est un poste de base rattaché à un poste autre que le CRCE :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Default="00BC7095" w:rsidP="00BC7095">
      <w:pPr>
        <w:jc w:val="center"/>
        <w:rPr>
          <w:rFonts w:ascii="Comic Sans MS" w:hAnsi="Comic Sans MS"/>
          <w:sz w:val="20"/>
          <w:szCs w:val="20"/>
        </w:rPr>
      </w:pPr>
    </w:p>
    <w:p w:rsidR="003D2418" w:rsidRPr="00577BA9" w:rsidRDefault="003D2418" w:rsidP="003D2418">
      <w:pPr>
        <w:jc w:val="center"/>
        <w:rPr>
          <w:rFonts w:ascii="Comic Sans MS" w:hAnsi="Comic Sans MS"/>
          <w:sz w:val="20"/>
          <w:szCs w:val="20"/>
        </w:rPr>
      </w:pPr>
      <w:r w:rsidRPr="003D2418">
        <w:rPr>
          <w:rFonts w:ascii="Comic Sans MS" w:hAnsi="Comic Sans MS"/>
          <w:sz w:val="20"/>
          <w:szCs w:val="20"/>
        </w:rPr>
        <w:lastRenderedPageBreak/>
        <w:drawing>
          <wp:inline distT="0" distB="0" distL="0" distR="0">
            <wp:extent cx="4572032" cy="1428760"/>
            <wp:effectExtent l="19050" t="0" r="0" b="0"/>
            <wp:docPr id="2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32" cy="1428760"/>
                      <a:chOff x="3643306" y="2071678"/>
                      <a:chExt cx="4572032" cy="1428760"/>
                    </a:xfrm>
                  </a:grpSpPr>
                  <a:sp>
                    <a:nvSpPr>
                      <a:cNvPr id="35" name="Rectangle à coins arrondis 34"/>
                      <a:cNvSpPr/>
                    </a:nvSpPr>
                    <a:spPr>
                      <a:xfrm>
                        <a:off x="4214810" y="2071678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CE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Rectangle à coins arrondis 35"/>
                      <a:cNvSpPr/>
                    </a:nvSpPr>
                    <a:spPr>
                      <a:xfrm>
                        <a:off x="3643306" y="3071810"/>
                        <a:ext cx="1214446" cy="428628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Encaisseur CE 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Rectangle à coins arrondis 36"/>
                      <a:cNvSpPr/>
                    </a:nvSpPr>
                    <a:spPr>
                      <a:xfrm>
                        <a:off x="6357950" y="2071678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3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Rectangle à coins arrondis 37"/>
                      <a:cNvSpPr/>
                    </a:nvSpPr>
                    <a:spPr>
                      <a:xfrm>
                        <a:off x="7000892" y="3143248"/>
                        <a:ext cx="1214446" cy="357190"/>
                      </a:xfrm>
                      <a:prstGeom prst="roundRect">
                        <a:avLst/>
                      </a:prstGeom>
                      <a:solidFill>
                        <a:schemeClr val="accent4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Assignataire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Flèche droite 38"/>
                      <a:cNvSpPr/>
                    </a:nvSpPr>
                    <a:spPr>
                      <a:xfrm rot="18119351">
                        <a:off x="4283175" y="2679722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Flèche droite 39"/>
                      <a:cNvSpPr/>
                    </a:nvSpPr>
                    <a:spPr>
                      <a:xfrm>
                        <a:off x="5786446" y="2214554"/>
                        <a:ext cx="571504" cy="142876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Flèche droite 40"/>
                      <a:cNvSpPr/>
                    </a:nvSpPr>
                    <a:spPr>
                      <a:xfrm rot="3083706">
                        <a:off x="7081121" y="2729387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E24CC4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CE édite l’annexe 4 : « Etat quotidien des recettes à transférer au comptable de rattachement 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E24CC4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CRCE utilise l’annexe 3Bis « Etat quotidien des recettes reçues des comptables de base destinées à d’autres comptables 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E24CC4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CRCA utilise l’annexe 5Tres « Etat quotidien des  Recettes encaissées par d’autres comptables TP/TM et destinées aux comptables de base de sa circonscription »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E24CC4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CA utilise l’annexe 2Bis « Etat quotidien des recettes reçues du comptable de rattachement (pour imputation définitive) » 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E24CC4">
      <w:pPr>
        <w:pStyle w:val="Paragraphedeliste"/>
        <w:jc w:val="both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1"/>
          <w:szCs w:val="21"/>
        </w:rPr>
      </w:pPr>
      <w:r w:rsidRPr="00577BA9">
        <w:rPr>
          <w:rFonts w:ascii="Comic Sans MS" w:hAnsi="Comic Sans MS"/>
          <w:b/>
          <w:bCs/>
          <w:sz w:val="21"/>
          <w:szCs w:val="21"/>
        </w:rPr>
        <w:t>Encaissement au niveau d’une Trésorerie :</w:t>
      </w: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>Les quatre cas ci-dessous traitent les cas des encaissements qui s’effectuent au niveau des postes de rattachement (TP, TPV).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>Cas6 : TE=CA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Dans le cas ou le Trésorier Encaisseur TE est assignataire de la recette qu’il a encaissée </w:t>
      </w:r>
      <w:r w:rsidRPr="00577BA9">
        <w:rPr>
          <w:rFonts w:ascii="Comic Sans MS" w:hAnsi="Comic Sans MS"/>
          <w:color w:val="FF0000"/>
          <w:sz w:val="20"/>
          <w:szCs w:val="20"/>
        </w:rPr>
        <w:t>le jour j </w:t>
      </w:r>
      <w:r w:rsidRPr="00577BA9">
        <w:rPr>
          <w:rFonts w:ascii="Comic Sans MS" w:hAnsi="Comic Sans MS"/>
          <w:sz w:val="20"/>
          <w:szCs w:val="20"/>
        </w:rPr>
        <w:t>:</w:t>
      </w:r>
    </w:p>
    <w:p w:rsidR="00BC7095" w:rsidRPr="00577BA9" w:rsidRDefault="00BC7095" w:rsidP="00BC7095">
      <w:pPr>
        <w:pStyle w:val="Paragraphedeliste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Ce TE utilise l’annexe 1 : «  Etat quotidien des recettes encaissées pour son propre compte 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E65071" w:rsidP="00E65071">
      <w:pPr>
        <w:jc w:val="center"/>
        <w:rPr>
          <w:rFonts w:ascii="Comic Sans MS" w:hAnsi="Comic Sans MS"/>
          <w:sz w:val="20"/>
          <w:szCs w:val="20"/>
        </w:rPr>
      </w:pPr>
      <w:r w:rsidRPr="00E65071">
        <w:rPr>
          <w:rFonts w:ascii="Comic Sans MS" w:hAnsi="Comic Sans MS"/>
          <w:sz w:val="20"/>
          <w:szCs w:val="20"/>
        </w:rPr>
        <w:drawing>
          <wp:inline distT="0" distB="0" distL="0" distR="0">
            <wp:extent cx="1143008" cy="428628"/>
            <wp:effectExtent l="19050" t="0" r="0" b="0"/>
            <wp:docPr id="4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3008" cy="428628"/>
                      <a:chOff x="500034" y="357166"/>
                      <a:chExt cx="1143008" cy="428628"/>
                    </a:xfrm>
                  </a:grpSpPr>
                  <a:sp>
                    <a:nvSpPr>
                      <a:cNvPr id="12" name="Rectangle à coins arrondis 11"/>
                      <a:cNvSpPr/>
                    </a:nvSpPr>
                    <a:spPr>
                      <a:xfrm>
                        <a:off x="500034" y="357166"/>
                        <a:ext cx="1143008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Trésorier Encaisseur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>Cas7 : TE=CRCA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>Dans le cas ou le TE est le poste de rattachement du comptable assignataire CA :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E65071" w:rsidRPr="00577BA9" w:rsidRDefault="00E65071" w:rsidP="00E65071">
      <w:pPr>
        <w:jc w:val="center"/>
        <w:rPr>
          <w:rFonts w:ascii="Comic Sans MS" w:hAnsi="Comic Sans MS"/>
          <w:sz w:val="20"/>
          <w:szCs w:val="20"/>
        </w:rPr>
      </w:pPr>
      <w:r w:rsidRPr="00E65071">
        <w:rPr>
          <w:rFonts w:ascii="Comic Sans MS" w:hAnsi="Comic Sans MS"/>
          <w:sz w:val="20"/>
          <w:szCs w:val="20"/>
        </w:rPr>
        <w:drawing>
          <wp:inline distT="0" distB="0" distL="0" distR="0">
            <wp:extent cx="1714512" cy="1285884"/>
            <wp:effectExtent l="19050" t="0" r="0" b="0"/>
            <wp:docPr id="5" name="Obje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14512" cy="1285884"/>
                      <a:chOff x="428596" y="1357298"/>
                      <a:chExt cx="1714512" cy="1285884"/>
                    </a:xfrm>
                  </a:grpSpPr>
                  <a:sp>
                    <a:nvSpPr>
                      <a:cNvPr id="21" name="Rectangle à coins arrondis 20"/>
                      <a:cNvSpPr/>
                    </a:nvSpPr>
                    <a:spPr>
                      <a:xfrm>
                        <a:off x="1142976" y="1357298"/>
                        <a:ext cx="1000132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Trésorier </a:t>
                          </a:r>
                          <a:r>
                            <a:rPr lang="fr-FR" sz="1200" dirty="0" smtClean="0"/>
                            <a:t>Encaisseur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à coins arrondis 23"/>
                      <a:cNvSpPr/>
                    </a:nvSpPr>
                    <a:spPr>
                      <a:xfrm>
                        <a:off x="428596" y="2285992"/>
                        <a:ext cx="1214446" cy="357190"/>
                      </a:xfrm>
                      <a:prstGeom prst="roundRect">
                        <a:avLst/>
                      </a:prstGeom>
                      <a:solidFill>
                        <a:schemeClr val="accent4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Assignataire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Flèche droite 26"/>
                      <a:cNvSpPr/>
                    </a:nvSpPr>
                    <a:spPr>
                      <a:xfrm rot="18993192">
                        <a:off x="1028336" y="1925457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jc w:val="center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TE édite l’annexe 5 : « Etat quotidien des recettes encaissées par le TP et destinées aux comptables de base de sa circonscription 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lastRenderedPageBreak/>
        <w:t xml:space="preserve">Le CA utilise l’annexe 2Bis « Etat quotidien des recettes reçues du comptable de rattachement (pour imputation définitive) » 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  <w:u w:val="single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>Cas8 : CRCA=CA</w:t>
      </w: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>Dans le cas ou le CA est un poste de rattachement (TP, TPV) autre que le CE:</w:t>
      </w:r>
    </w:p>
    <w:p w:rsidR="00E65071" w:rsidRDefault="00E65071" w:rsidP="00BC7095">
      <w:pPr>
        <w:jc w:val="center"/>
        <w:rPr>
          <w:rFonts w:ascii="Comic Sans MS" w:hAnsi="Comic Sans MS"/>
          <w:sz w:val="20"/>
          <w:szCs w:val="20"/>
        </w:rPr>
      </w:pPr>
    </w:p>
    <w:p w:rsidR="00E65071" w:rsidRPr="00577BA9" w:rsidRDefault="00E65071" w:rsidP="00E65071">
      <w:pPr>
        <w:jc w:val="center"/>
        <w:rPr>
          <w:rFonts w:ascii="Comic Sans MS" w:hAnsi="Comic Sans MS"/>
          <w:sz w:val="20"/>
          <w:szCs w:val="20"/>
        </w:rPr>
      </w:pPr>
      <w:r w:rsidRPr="00E65071">
        <w:rPr>
          <w:rFonts w:ascii="Comic Sans MS" w:hAnsi="Comic Sans MS"/>
          <w:sz w:val="20"/>
          <w:szCs w:val="20"/>
        </w:rPr>
        <w:drawing>
          <wp:inline distT="0" distB="0" distL="0" distR="0">
            <wp:extent cx="3143272" cy="428628"/>
            <wp:effectExtent l="19050" t="0" r="0" b="0"/>
            <wp:docPr id="6" name="Obje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43272" cy="428628"/>
                      <a:chOff x="4572000" y="500042"/>
                      <a:chExt cx="3143272" cy="428628"/>
                    </a:xfrm>
                  </a:grpSpPr>
                  <a:sp>
                    <a:nvSpPr>
                      <a:cNvPr id="28" name="Rectangle à coins arrondis 27"/>
                      <a:cNvSpPr/>
                    </a:nvSpPr>
                    <a:spPr>
                      <a:xfrm>
                        <a:off x="4572000" y="500042"/>
                        <a:ext cx="1000132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Trésorier Encaisseur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à coins arrondis 29"/>
                      <a:cNvSpPr/>
                    </a:nvSpPr>
                    <a:spPr>
                      <a:xfrm>
                        <a:off x="6215074" y="500042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3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Flèche droite 32"/>
                      <a:cNvSpPr/>
                    </a:nvSpPr>
                    <a:spPr>
                      <a:xfrm>
                        <a:off x="5643570" y="642918"/>
                        <a:ext cx="571504" cy="142876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TE édite l’annexe 3 : « Etat quotidien des recettes à transférer à d’autres comptables 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CA utilise l’annexe 2 « Etat quotidien des recettes reçues d’autres comptables (pour imputation définitive) » 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ind w:left="360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b/>
          <w:bCs/>
          <w:sz w:val="20"/>
          <w:szCs w:val="20"/>
          <w:u w:val="single"/>
        </w:rPr>
      </w:pPr>
      <w:r w:rsidRPr="00577BA9">
        <w:rPr>
          <w:rFonts w:ascii="Comic Sans MS" w:hAnsi="Comic Sans MS"/>
          <w:b/>
          <w:bCs/>
          <w:sz w:val="20"/>
          <w:szCs w:val="20"/>
          <w:u w:val="single"/>
        </w:rPr>
        <w:t xml:space="preserve">Cas9 : 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Dans le cas où le TE encaisse une recette, </w:t>
      </w:r>
      <w:r w:rsidRPr="00577BA9">
        <w:rPr>
          <w:rFonts w:ascii="Comic Sans MS" w:hAnsi="Comic Sans MS"/>
          <w:color w:val="FF0000"/>
          <w:sz w:val="20"/>
          <w:szCs w:val="20"/>
        </w:rPr>
        <w:t>le jour j</w:t>
      </w:r>
      <w:r w:rsidRPr="00577BA9">
        <w:rPr>
          <w:rFonts w:ascii="Comic Sans MS" w:hAnsi="Comic Sans MS"/>
          <w:sz w:val="20"/>
          <w:szCs w:val="20"/>
        </w:rPr>
        <w:t>, dont le comptable assignataire est un poste de base rattaché à un poste autre que le TE :</w:t>
      </w:r>
    </w:p>
    <w:p w:rsidR="00BC7095" w:rsidRPr="00577BA9" w:rsidRDefault="00BC7095" w:rsidP="00BC7095">
      <w:pPr>
        <w:rPr>
          <w:rFonts w:ascii="Comic Sans MS" w:hAnsi="Comic Sans MS"/>
          <w:sz w:val="20"/>
          <w:szCs w:val="20"/>
        </w:rPr>
      </w:pPr>
    </w:p>
    <w:p w:rsidR="00BC7095" w:rsidRDefault="003D2418" w:rsidP="003D2418">
      <w:pPr>
        <w:jc w:val="center"/>
        <w:rPr>
          <w:noProof/>
        </w:rPr>
      </w:pPr>
      <w:r w:rsidRPr="003D2418">
        <w:rPr>
          <w:noProof/>
        </w:rPr>
        <w:t xml:space="preserve"> </w:t>
      </w:r>
    </w:p>
    <w:p w:rsidR="001A26FB" w:rsidRPr="00577BA9" w:rsidRDefault="001A26FB" w:rsidP="001A26FB">
      <w:pPr>
        <w:jc w:val="center"/>
        <w:rPr>
          <w:rFonts w:ascii="Comic Sans MS" w:hAnsi="Comic Sans MS"/>
          <w:sz w:val="20"/>
          <w:szCs w:val="20"/>
        </w:rPr>
      </w:pPr>
      <w:r w:rsidRPr="001A26FB">
        <w:rPr>
          <w:rFonts w:ascii="Comic Sans MS" w:hAnsi="Comic Sans MS"/>
          <w:sz w:val="20"/>
          <w:szCs w:val="20"/>
        </w:rPr>
        <w:drawing>
          <wp:inline distT="0" distB="0" distL="0" distR="0">
            <wp:extent cx="3429024" cy="1428760"/>
            <wp:effectExtent l="19050" t="0" r="0" b="0"/>
            <wp:docPr id="7" name="Obje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24" cy="1428760"/>
                      <a:chOff x="4786314" y="2071678"/>
                      <a:chExt cx="3429024" cy="1428760"/>
                    </a:xfrm>
                  </a:grpSpPr>
                  <a:sp>
                    <a:nvSpPr>
                      <a:cNvPr id="35" name="Rectangle à coins arrondis 34"/>
                      <a:cNvSpPr/>
                    </a:nvSpPr>
                    <a:spPr>
                      <a:xfrm>
                        <a:off x="4786314" y="2071678"/>
                        <a:ext cx="928694" cy="42862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Trésorier Encaisseur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Rectangle à coins arrondis 36"/>
                      <a:cNvSpPr/>
                    </a:nvSpPr>
                    <a:spPr>
                      <a:xfrm>
                        <a:off x="6357950" y="2071678"/>
                        <a:ext cx="1500198" cy="428628"/>
                      </a:xfrm>
                      <a:prstGeom prst="roundRect">
                        <a:avLst/>
                      </a:prstGeom>
                      <a:solidFill>
                        <a:schemeClr val="accent3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de Rattachement du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Rectangle à coins arrondis 37"/>
                      <a:cNvSpPr/>
                    </a:nvSpPr>
                    <a:spPr>
                      <a:xfrm>
                        <a:off x="7000892" y="3143248"/>
                        <a:ext cx="1214446" cy="357190"/>
                      </a:xfrm>
                      <a:prstGeom prst="roundRect">
                        <a:avLst/>
                      </a:prstGeom>
                      <a:solidFill>
                        <a:schemeClr val="accent4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dirty="0" smtClean="0"/>
                            <a:t>Comptable Assignataire CA</a:t>
                          </a:r>
                          <a:endParaRPr lang="fr-FR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Flèche droite 39"/>
                      <a:cNvSpPr/>
                    </a:nvSpPr>
                    <a:spPr>
                      <a:xfrm>
                        <a:off x="5786446" y="2214554"/>
                        <a:ext cx="571504" cy="142876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Flèche droite 40"/>
                      <a:cNvSpPr/>
                    </a:nvSpPr>
                    <a:spPr>
                      <a:xfrm rot="2899434">
                        <a:off x="7009683" y="2729387"/>
                        <a:ext cx="669840" cy="14123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C7095" w:rsidRPr="00577BA9" w:rsidRDefault="00BC7095" w:rsidP="00BC7095">
      <w:pPr>
        <w:jc w:val="center"/>
        <w:rPr>
          <w:rFonts w:ascii="Comic Sans MS" w:hAnsi="Comic Sans MS"/>
          <w:sz w:val="20"/>
          <w:szCs w:val="20"/>
        </w:rPr>
      </w:pP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TE  édite l’annexe 3 : « Etat quotidien des recettes à transférer à d’autres comptables » pour alimenter sa comptabilité </w:t>
      </w:r>
      <w:r w:rsidRPr="00577BA9">
        <w:rPr>
          <w:rFonts w:ascii="Comic Sans MS" w:hAnsi="Comic Sans MS"/>
          <w:color w:val="FF0000"/>
          <w:sz w:val="20"/>
          <w:szCs w:val="20"/>
        </w:rPr>
        <w:t>de la journée j.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CRCA utilise l’annexe 5Tres « Etat quotidien des  Recettes encaissées par d’autres comptables TP/TM et destinées aux comptables de base de sa circonscription »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577BA9">
        <w:rPr>
          <w:rFonts w:ascii="Comic Sans MS" w:hAnsi="Comic Sans MS"/>
          <w:sz w:val="20"/>
          <w:szCs w:val="20"/>
        </w:rPr>
        <w:t xml:space="preserve">Le CA utilise l’annexe 2Bis « Etat quotidien des recettes reçues du comptable de rattachement (pour imputation définitive) »  pour alimenter sa comptabilité de </w:t>
      </w:r>
      <w:r w:rsidRPr="00577BA9">
        <w:rPr>
          <w:rFonts w:ascii="Comic Sans MS" w:hAnsi="Comic Sans MS"/>
          <w:color w:val="FF0000"/>
          <w:sz w:val="20"/>
          <w:szCs w:val="20"/>
        </w:rPr>
        <w:t>la journée j</w:t>
      </w:r>
      <w:r w:rsidRPr="00577BA9">
        <w:rPr>
          <w:rFonts w:ascii="Comic Sans MS" w:hAnsi="Comic Sans MS"/>
          <w:sz w:val="20"/>
          <w:szCs w:val="20"/>
        </w:rPr>
        <w:t>.</w:t>
      </w:r>
    </w:p>
    <w:p w:rsidR="00BC7095" w:rsidRPr="00577BA9" w:rsidRDefault="00BC7095" w:rsidP="00BC7095">
      <w:pPr>
        <w:pStyle w:val="Paragraphedeliste"/>
        <w:rPr>
          <w:rFonts w:ascii="Comic Sans MS" w:hAnsi="Comic Sans MS"/>
          <w:b/>
          <w:sz w:val="20"/>
          <w:szCs w:val="20"/>
          <w:u w:val="single"/>
        </w:rPr>
      </w:pPr>
    </w:p>
    <w:p w:rsidR="006E6084" w:rsidRPr="00577BA9" w:rsidRDefault="006E6084" w:rsidP="00BC7095">
      <w:pPr>
        <w:pStyle w:val="Paragraphedeliste"/>
        <w:rPr>
          <w:rFonts w:ascii="Comic Sans MS" w:hAnsi="Comic Sans MS"/>
          <w:b/>
          <w:sz w:val="20"/>
          <w:szCs w:val="20"/>
          <w:u w:val="single"/>
        </w:rPr>
      </w:pPr>
    </w:p>
    <w:p w:rsidR="006E6084" w:rsidRPr="00577BA9" w:rsidRDefault="006E6084" w:rsidP="00BC7095">
      <w:pPr>
        <w:pStyle w:val="Paragraphedeliste"/>
        <w:rPr>
          <w:rFonts w:ascii="Comic Sans MS" w:hAnsi="Comic Sans MS"/>
          <w:b/>
          <w:sz w:val="20"/>
          <w:szCs w:val="20"/>
          <w:u w:val="single"/>
        </w:rPr>
      </w:pPr>
    </w:p>
    <w:p w:rsidR="006E6084" w:rsidRPr="00577BA9" w:rsidRDefault="006E6084" w:rsidP="00BC7095">
      <w:pPr>
        <w:pStyle w:val="Paragraphedeliste"/>
        <w:rPr>
          <w:rFonts w:ascii="Comic Sans MS" w:hAnsi="Comic Sans MS"/>
          <w:b/>
          <w:sz w:val="20"/>
          <w:szCs w:val="20"/>
          <w:u w:val="single"/>
        </w:rPr>
      </w:pPr>
    </w:p>
    <w:p w:rsidR="006E6084" w:rsidRPr="00577BA9" w:rsidRDefault="006E6084" w:rsidP="00BC7095">
      <w:pPr>
        <w:pStyle w:val="Paragraphedeliste"/>
        <w:rPr>
          <w:rFonts w:ascii="Comic Sans MS" w:hAnsi="Comic Sans MS"/>
          <w:b/>
          <w:sz w:val="20"/>
          <w:szCs w:val="20"/>
          <w:u w:val="single"/>
        </w:rPr>
      </w:pPr>
    </w:p>
    <w:sectPr w:rsidR="006E6084" w:rsidRPr="00577BA9" w:rsidSect="00E24CC4">
      <w:footerReference w:type="default" r:id="rId7"/>
      <w:pgSz w:w="11906" w:h="16838"/>
      <w:pgMar w:top="1135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DF0" w:rsidRDefault="00310DF0" w:rsidP="00BC7095">
      <w:r>
        <w:separator/>
      </w:r>
    </w:p>
  </w:endnote>
  <w:endnote w:type="continuationSeparator" w:id="1">
    <w:p w:rsidR="00310DF0" w:rsidRDefault="00310DF0" w:rsidP="00BC7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54766"/>
      <w:docPartObj>
        <w:docPartGallery w:val="Page Numbers (Bottom of Page)"/>
        <w:docPartUnique/>
      </w:docPartObj>
    </w:sdtPr>
    <w:sdtContent>
      <w:p w:rsidR="00BC7095" w:rsidRDefault="00BC7095">
        <w:pPr>
          <w:pStyle w:val="Pieddepage"/>
          <w:jc w:val="right"/>
        </w:pPr>
        <w:fldSimple w:instr=" PAGE   \* MERGEFORMAT ">
          <w:r w:rsidR="005853BD">
            <w:rPr>
              <w:noProof/>
            </w:rPr>
            <w:t>1</w:t>
          </w:r>
        </w:fldSimple>
      </w:p>
    </w:sdtContent>
  </w:sdt>
  <w:p w:rsidR="00BC7095" w:rsidRDefault="00BC709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DF0" w:rsidRDefault="00310DF0" w:rsidP="00BC7095">
      <w:r>
        <w:separator/>
      </w:r>
    </w:p>
  </w:footnote>
  <w:footnote w:type="continuationSeparator" w:id="1">
    <w:p w:rsidR="00310DF0" w:rsidRDefault="00310DF0" w:rsidP="00BC7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57951"/>
    <w:multiLevelType w:val="hybridMultilevel"/>
    <w:tmpl w:val="CC8C8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0361D"/>
    <w:multiLevelType w:val="hybridMultilevel"/>
    <w:tmpl w:val="73E23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275AC"/>
    <w:multiLevelType w:val="hybridMultilevel"/>
    <w:tmpl w:val="1770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7095"/>
    <w:rsid w:val="000E4160"/>
    <w:rsid w:val="001A26FB"/>
    <w:rsid w:val="00303D46"/>
    <w:rsid w:val="00310DF0"/>
    <w:rsid w:val="0038517C"/>
    <w:rsid w:val="003D2418"/>
    <w:rsid w:val="00484755"/>
    <w:rsid w:val="00577BA9"/>
    <w:rsid w:val="005853BD"/>
    <w:rsid w:val="005D05C8"/>
    <w:rsid w:val="00620059"/>
    <w:rsid w:val="006A3F15"/>
    <w:rsid w:val="006E6084"/>
    <w:rsid w:val="008049CD"/>
    <w:rsid w:val="008F458E"/>
    <w:rsid w:val="00975FFE"/>
    <w:rsid w:val="009F7C7E"/>
    <w:rsid w:val="00A0200D"/>
    <w:rsid w:val="00B16A12"/>
    <w:rsid w:val="00B85B66"/>
    <w:rsid w:val="00BC7095"/>
    <w:rsid w:val="00C33E26"/>
    <w:rsid w:val="00D257D8"/>
    <w:rsid w:val="00D74759"/>
    <w:rsid w:val="00E24CC4"/>
    <w:rsid w:val="00E65071"/>
    <w:rsid w:val="00EE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09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0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095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BC709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C709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C709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7095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BC70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5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S.MOUHAJRI</dc:creator>
  <cp:keywords/>
  <dc:description/>
  <cp:lastModifiedBy>S.MOUHAJRI</cp:lastModifiedBy>
  <cp:revision>21</cp:revision>
  <cp:lastPrinted>2011-03-28T15:08:00Z</cp:lastPrinted>
  <dcterms:created xsi:type="dcterms:W3CDTF">2011-03-28T14:30:00Z</dcterms:created>
  <dcterms:modified xsi:type="dcterms:W3CDTF">2011-03-29T14:43:00Z</dcterms:modified>
</cp:coreProperties>
</file>