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0" w:name="chap:etat_art"/>
    <w:p>
      <w:pPr>
        <w:pStyle w:val="Heading1"/>
      </w:pPr>
      <w:r>
        <w:t xml:space="preserve">État de l’art — Analyse de Mouvement Humain et Vision par Ordinateur</w:t>
      </w:r>
    </w:p>
    <w:bookmarkStart w:id="9" w:name="introduction"/>
    <w:p>
      <w:pPr>
        <w:pStyle w:val="Heading2"/>
      </w:pPr>
      <w:r>
        <w:t xml:space="preserve">Introduction</w:t>
      </w:r>
    </w:p>
    <w:p>
      <w:pPr>
        <w:pStyle w:val="FirstParagraph"/>
      </w:pPr>
      <w:r>
        <w:t xml:space="preserve">Ce premier chapitre pose les fondements théoriques et technologiques sur lesquels repose l’ensemble du travail présenté dans ce mémoire. Il dresse un état de l’art structuré autour des quatre piliers du système proposé : l’analyse du mouvement humain, les méthodes d’intelligence artificielle appliquées à la vision par ordinateur, les techniques d’estimation de pose et de reconstruction tridimensionnelle, ainsi que les modèles de corps paramétrique et les métriques de comparaison de séquences gestuelles.</w:t>
      </w:r>
    </w:p>
    <w:p>
      <w:pPr>
        <w:pStyle w:val="BodyText"/>
      </w:pPr>
      <w:r>
        <w:t xml:space="preserve">Chaque concept est introduit avec les définitions issues de la littérature scientifique, accompagné d’une analyse critique soulignant les avantages et les limitations pertinentes au regard de notre problématique. Ce chapitre se conclut par une synthèse comparative des travaux connexes.</w:t>
      </w:r>
    </w:p>
    <w:bookmarkEnd w:id="9"/>
    <w:bookmarkStart w:id="15" w:name="sec:analyse_mouvement"/>
    <w:p>
      <w:pPr>
        <w:pStyle w:val="Heading2"/>
      </w:pPr>
      <w:r>
        <w:t xml:space="preserve">Analyse de mouvement humain</w:t>
      </w:r>
    </w:p>
    <w:bookmarkStart w:id="10" w:name="définition-et-enjeux"/>
    <w:p>
      <w:pPr>
        <w:pStyle w:val="Heading3"/>
      </w:pPr>
      <w:r>
        <w:t xml:space="preserve">Définition et enjeux</w:t>
      </w:r>
    </w:p>
    <w:p>
      <w:pPr>
        <w:pStyle w:val="FirstParagraph"/>
      </w:pPr>
      <w:r>
        <w:t xml:space="preserve">L’</w:t>
      </w:r>
      <w:r>
        <w:rPr>
          <w:i/>
          <w:iCs/>
        </w:rPr>
        <w:t xml:space="preserve">analyse de mouvement humain</w:t>
      </w:r>
      <w:r>
        <w:t xml:space="preserve"> </w:t>
      </w:r>
      <w:r>
        <w:t xml:space="preserve">désigne l’ensemble des méthodes quantitatives permettant de mesurer, représenter et interpréter les déplacements des segments corporels au cours du temps, en vue d’en extraire des indicateurs biomécaniques, cinématiques ou comportementaux </w:t>
      </w:r>
      <w:r>
        <w:t xml:space="preserve">[1]</w:t>
      </w:r>
      <w:r>
        <w:t xml:space="preserve">.</w:t>
      </w:r>
    </w:p>
    <w:p>
      <w:pPr>
        <w:pStyle w:val="BodyText"/>
      </w:pPr>
      <w:r>
        <w:t xml:space="preserve">Cette discipline occupe une place centrale dans de nombreux domaines : la médecine de rééducation </w:t>
      </w:r>
      <w:r>
        <w:t xml:space="preserve">[2]</w:t>
      </w:r>
      <w:r>
        <w:t xml:space="preserve">, le sport de haut niveau </w:t>
      </w:r>
      <w:r>
        <w:t xml:space="preserve">[3]</w:t>
      </w:r>
      <w:r>
        <w:t xml:space="preserve">, l’ergonomie industrielle </w:t>
      </w:r>
      <w:r>
        <w:t xml:space="preserve">[4]</w:t>
      </w:r>
      <w:r>
        <w:t xml:space="preserve">, l’animation numérique </w:t>
      </w:r>
      <w:r>
        <w:t xml:space="preserve">[5]</w:t>
      </w:r>
      <w:r>
        <w:t xml:space="preserve">, ainsi que l’interaction homme-machine </w:t>
      </w:r>
      <w:r>
        <w:t xml:space="preserve">[6]</w:t>
      </w:r>
      <w:r>
        <w:t xml:space="preserve">. L’objectif commun à ces applications est de dépasser l’évaluation visuelle subjective d’un expert afin d’obtenir une mesure objective, reproductible et quantifiée du mouvement.</w:t>
      </w:r>
    </w:p>
    <w:p>
      <w:pPr>
        <w:pStyle w:val="BodyText"/>
      </w:pPr>
      <w:r>
        <w:t xml:space="preserve">Les grandeurs typiquement mesurées incluent les angles articulaires, les trajectoires des joints, les vitesses angulaires, les paramètres spatio-temporels (longueur de foulée, fréquence, durée de phase) et les forces de contact </w:t>
      </w:r>
      <w:r>
        <w:t xml:space="preserve">[7]</w:t>
      </w:r>
      <w:r>
        <w:t xml:space="preserve">.</w:t>
      </w:r>
    </w:p>
    <w:bookmarkEnd w:id="10"/>
    <w:bookmarkStart w:id="13" w:name="approches-classiques"/>
    <w:p>
      <w:pPr>
        <w:pStyle w:val="Heading3"/>
      </w:pPr>
      <w:r>
        <w:t xml:space="preserve">Approches classiques</w:t>
      </w:r>
    </w:p>
    <w:bookmarkStart w:id="11" w:name="X64a2e7d109f891c2f5e6a3af66c3b9b550b3396"/>
    <w:p>
      <w:pPr>
        <w:pStyle w:val="Heading5"/>
      </w:pPr>
      <w:r>
        <w:t xml:space="preserve">Systèmes de capture optique à marqueurs (Motion Capture).</w:t>
      </w:r>
    </w:p>
    <w:p>
      <w:pPr>
        <w:pStyle w:val="FirstParagraph"/>
      </w:pPr>
      <w:r>
        <w:t xml:space="preserve">Les systèmes optoélectroniques, tels que ceux commercialisés par Vicon ou OptiTrack, constituent la référence industrielle pour la capture précise du mouvement. Ils reposent sur la triangulation de marqueurs réfléchissants fixés sur les segments corporels du sujet par un réseau de caméras infra-rouges. Capables d’atteindre des fréquences d’acquisition supérieures à 200 Hz avec des erreurs de reconstruction millimétrique, ces systèmes sont les plus précis disponibles à ce jour </w:t>
      </w:r>
      <w:r>
        <w:t xml:space="preserve">[8]</w:t>
      </w:r>
      <w:r>
        <w:t xml:space="preserve">.</w:t>
      </w:r>
    </w:p>
    <w:bookmarkEnd w:id="11"/>
    <w:bookmarkStart w:id="12" w:name="capteurs-inertiels-imu."/>
    <w:p>
      <w:pPr>
        <w:pStyle w:val="Heading5"/>
      </w:pPr>
      <w:r>
        <w:t xml:space="preserve">Capteurs inertiels (IMU).</w:t>
      </w:r>
    </w:p>
    <w:p>
      <w:pPr>
        <w:pStyle w:val="FirstParagraph"/>
      </w:pPr>
      <w:r>
        <w:t xml:space="preserve">Les unités de mesure inertielle (</w:t>
      </w:r>
      <w:r>
        <w:rPr>
          <w:i/>
          <w:iCs/>
        </w:rPr>
        <w:t xml:space="preserve">Inertial Measurement Units</w:t>
      </w:r>
      <w:r>
        <w:t xml:space="preserve">) combinent accéléromètres, gyroscopes et magnétomètres pour estimer l’orientation des segments corporels par intégration numérique des mesures angulaires. Des systèmes commerciaux tels que Xsens MVN </w:t>
      </w:r>
      <w:r>
        <w:t xml:space="preserve">[9]</w:t>
      </w:r>
      <w:r>
        <w:t xml:space="preserve"> </w:t>
      </w:r>
      <w:r>
        <w:t xml:space="preserve">permettent une capture du mouvement sans contrainte de laboratoire, ce qui constitue un avantage pratique important sur le terrain.</w:t>
      </w:r>
    </w:p>
    <w:bookmarkEnd w:id="12"/>
    <w:bookmarkEnd w:id="13"/>
    <w:bookmarkStart w:id="14" w:name="limites-des-approches-traditionnelles"/>
    <w:p>
      <w:pPr>
        <w:pStyle w:val="Heading3"/>
      </w:pPr>
      <w:r>
        <w:t xml:space="preserve">Limites des approches traditionnelles</w:t>
      </w:r>
    </w:p>
    <w:p>
      <w:pPr>
        <w:pStyle w:val="FirstParagraph"/>
      </w:pPr>
      <w:r>
        <w:t xml:space="preserve">Malgré leurs performances, ces approches souffrent de limitations majeures qui motivent le développement de solutions alternatives basées sur la vision par ordinateur </w:t>
      </w:r>
      <w:r>
        <w:t xml:space="preserve">[10]</w:t>
      </w:r>
      <w:r>
        <w:t xml:space="preserve"> </w:t>
      </w:r>
      <w:r>
        <w:t xml:space="preserve">:</w:t>
      </w:r>
    </w:p>
    <w:p>
      <w:pPr>
        <w:numPr>
          <w:ilvl w:val="0"/>
          <w:numId w:val="1001"/>
        </w:numPr>
      </w:pPr>
      <w:r>
        <w:rPr>
          <w:b/>
          <w:bCs/>
        </w:rPr>
        <w:t xml:space="preserve">Coût prohibitif.</w:t>
      </w:r>
      <w:r>
        <w:t xml:space="preserve"> </w:t>
      </w:r>
      <w:r>
        <w:t xml:space="preserve">Un laboratoire d’analyse du mouvement équipé de systèmes optoélectroniques représente un investissement de plusieurs dizaines à centaines de milliers d’euros </w:t>
      </w:r>
      <w:r>
        <w:t xml:space="preserve">[8]</w:t>
      </w:r>
      <w:r>
        <w:t xml:space="preserve">, inaccessible aux structures à budget limité.</w:t>
      </w:r>
    </w:p>
    <w:p>
      <w:pPr>
        <w:numPr>
          <w:ilvl w:val="0"/>
          <w:numId w:val="1001"/>
        </w:numPr>
      </w:pPr>
      <w:r>
        <w:rPr>
          <w:b/>
          <w:bCs/>
        </w:rPr>
        <w:t xml:space="preserve">Contraintes d’instrumentation.</w:t>
      </w:r>
      <w:r>
        <w:t xml:space="preserve"> </w:t>
      </w:r>
      <w:r>
        <w:t xml:space="preserve">La pose de marqueurs est intrusive, modifie le comportement naturel du sujet, et est inapplicable dans de nombreux contextes sportifs ou médicaux réels </w:t>
      </w:r>
      <w:r>
        <w:t xml:space="preserve">[2]</w:t>
      </w:r>
      <w:r>
        <w:t xml:space="preserve">.</w:t>
      </w:r>
    </w:p>
    <w:p>
      <w:pPr>
        <w:numPr>
          <w:ilvl w:val="0"/>
          <w:numId w:val="1001"/>
        </w:numPr>
      </w:pPr>
      <w:r>
        <w:rPr>
          <w:b/>
          <w:bCs/>
        </w:rPr>
        <w:t xml:space="preserve">Dérive d’intégration des IMU.</w:t>
      </w:r>
      <w:r>
        <w:t xml:space="preserve"> </w:t>
      </w:r>
      <w:r>
        <w:t xml:space="preserve">Les capteurs inertiels accumulent des erreurs d’intégration au fil du temps (phénomène de</w:t>
      </w:r>
      <w:r>
        <w:t xml:space="preserve"> </w:t>
      </w:r>
      <w:r>
        <w:rPr>
          <w:i/>
          <w:iCs/>
        </w:rPr>
        <w:t xml:space="preserve">drift</w:t>
      </w:r>
      <w:r>
        <w:t xml:space="preserve">), qui doivent être corrigées par des algorithmes de fusion de données, introduisant une complexité supplémentaire </w:t>
      </w:r>
      <w:r>
        <w:t xml:space="preserve">[9]</w:t>
      </w:r>
      <w:r>
        <w:t xml:space="preserve">.</w:t>
      </w:r>
    </w:p>
    <w:p>
      <w:pPr>
        <w:numPr>
          <w:ilvl w:val="0"/>
          <w:numId w:val="1001"/>
        </w:numPr>
      </w:pPr>
      <w:r>
        <w:rPr>
          <w:b/>
          <w:bCs/>
        </w:rPr>
        <w:t xml:space="preserve">Confinement au laboratoire.</w:t>
      </w:r>
      <w:r>
        <w:t xml:space="preserve"> </w:t>
      </w:r>
      <w:r>
        <w:t xml:space="preserve">Ces systèmes nécessitent des conditions d’environnement contrôlées (calibration minutieuse, absence d’occultation) qui les rendent impraticables dans des scénarios</w:t>
      </w:r>
      <w:r>
        <w:t xml:space="preserve"> </w:t>
      </w:r>
      <w:r>
        <w:rPr>
          <w:i/>
          <w:iCs/>
        </w:rPr>
        <w:t xml:space="preserve">in-the-wild</w:t>
      </w:r>
      <w:r>
        <w:t xml:space="preserve"> </w:t>
      </w:r>
      <w:r>
        <w:t xml:space="preserve">[6]</w:t>
      </w:r>
      <w:r>
        <w:t xml:space="preserve">.</w:t>
      </w:r>
    </w:p>
    <w:p>
      <w:pPr>
        <w:pStyle w:val="FirstParagraph"/>
      </w:pPr>
      <w:r>
        <w:t xml:space="preserve">Ces limitations ont conduit la communauté scientifique à explorer intensivement les méthodes</w:t>
      </w:r>
      <w:r>
        <w:t xml:space="preserve"> </w:t>
      </w:r>
      <w:r>
        <w:rPr>
          <w:i/>
          <w:iCs/>
        </w:rPr>
        <w:t xml:space="preserve">markerless</w:t>
      </w:r>
      <w:r>
        <w:t xml:space="preserve"> </w:t>
      </w:r>
      <w:r>
        <w:t xml:space="preserve">reposant sur la vision par ordinateur et l’apprentissage profond, qui forment l’ossature du système présenté dans ce travail.</w:t>
      </w:r>
    </w:p>
    <w:bookmarkEnd w:id="14"/>
    <w:bookmarkEnd w:id="15"/>
    <w:bookmarkStart w:id="26" w:name="sec:ia"/>
    <w:p>
      <w:pPr>
        <w:pStyle w:val="Heading2"/>
      </w:pPr>
      <w:r>
        <w:t xml:space="preserve">L’intelligence artificielle : fondements théoriques</w:t>
      </w:r>
    </w:p>
    <w:bookmarkStart w:id="18" w:name="Xee2567095c16173703054f0fcc89fbf42f65b31"/>
    <w:p>
      <w:pPr>
        <w:pStyle w:val="Heading3"/>
      </w:pPr>
      <w:r>
        <w:t xml:space="preserve">Apprentissage automatique (</w:t>
      </w:r>
      <w:r>
        <w:rPr>
          <w:i/>
          <w:iCs/>
        </w:rPr>
        <w:t xml:space="preserve">Machine Learning</w:t>
      </w:r>
      <w:r>
        <w:t xml:space="preserve">)</w:t>
      </w:r>
    </w:p>
    <w:p>
      <w:pPr>
        <w:pStyle w:val="FirstParagraph"/>
      </w:pPr>
      <w:r>
        <w:t xml:space="preserve">L’</w:t>
      </w:r>
      <w:r>
        <w:rPr>
          <w:i/>
          <w:iCs/>
        </w:rPr>
        <w:t xml:space="preserve">apprentissage automatique</w:t>
      </w:r>
      <w:r>
        <w:t xml:space="preserve"> </w:t>
      </w:r>
      <w:r>
        <w:t xml:space="preserve">est le champ de l’intelligence artificielle qui étudie les algorithmes capables d’améliorer automatiquement leurs performances sur une tâche grâce à l’expérience, sans être explicitement programmés pour cette tâche </w:t>
      </w:r>
      <w:r>
        <w:t xml:space="preserve">[11]</w:t>
      </w:r>
      <w:r>
        <w:t xml:space="preserve">.</w:t>
      </w:r>
    </w:p>
    <w:bookmarkStart w:id="16" w:name="X97a38452df5066ff5dd764ea9bc2e8e14eee924"/>
    <w:p>
      <w:pPr>
        <w:pStyle w:val="Heading5"/>
      </w:pPr>
      <w:r>
        <w:t xml:space="preserve">Apprentissage supervisé et non supervisé.</w:t>
      </w:r>
    </w:p>
    <w:p>
      <w:pPr>
        <w:pStyle w:val="FirstParagraph"/>
      </w:pPr>
      <w:r>
        <w:t xml:space="preserve">L’apprentissage supervisé consiste à entraîner un modèle sur un ensemble de paires</w:t>
      </w:r>
      <w:r>
        <w:t xml:space="preserve"> </w:t>
      </w:r>
      <m:oMath>
        <m:r>
          <m:rPr>
            <m:sty m:val="p"/>
          </m:rPr>
          <m:t>(</m:t>
        </m:r>
        <m:sSub>
          <m:e>
            <m:r>
              <m:rPr>
                <m:sty m:val="bi"/>
              </m:rPr>
              <m:t>x</m:t>
            </m:r>
          </m:e>
          <m:sub>
            <m:r>
              <m:t>i</m:t>
            </m:r>
          </m:sub>
        </m:sSub>
        <m:r>
          <m:rPr>
            <m:sty m:val="p"/>
          </m:rPr>
          <m:t>,</m:t>
        </m:r>
        <m:sSub>
          <m:e>
            <m:r>
              <m:t>y</m:t>
            </m:r>
          </m:e>
          <m:sub>
            <m:r>
              <m:t>i</m:t>
            </m:r>
          </m:sub>
        </m:sSub>
        <m:r>
          <m:rPr>
            <m:sty m:val="p"/>
          </m:rPr>
          <m:t>)</m:t>
        </m:r>
      </m:oMath>
      <w:r>
        <w:t xml:space="preserve"> </w:t>
      </w:r>
      <w:r>
        <w:t xml:space="preserve">où</w:t>
      </w:r>
      <w:r>
        <w:t xml:space="preserve"> </w:t>
      </w:r>
      <m:oMath>
        <m:sSub>
          <m:e>
            <m:r>
              <m:rPr>
                <m:sty m:val="bi"/>
              </m:rPr>
              <m:t>x</m:t>
            </m:r>
          </m:e>
          <m:sub>
            <m:r>
              <m:t>i</m:t>
            </m:r>
          </m:sub>
        </m:sSub>
      </m:oMath>
      <w:r>
        <w:t xml:space="preserve"> </w:t>
      </w:r>
      <w:r>
        <w:t xml:space="preserve">est une entrée et</w:t>
      </w:r>
      <w:r>
        <w:t xml:space="preserve"> </w:t>
      </w:r>
      <m:oMath>
        <m:sSub>
          <m:e>
            <m:r>
              <m:t>y</m:t>
            </m:r>
          </m:e>
          <m:sub>
            <m:r>
              <m:t>i</m:t>
            </m:r>
          </m:sub>
        </m:sSub>
      </m:oMath>
      <w:r>
        <w:t xml:space="preserve"> </w:t>
      </w:r>
      <w:r>
        <w:t xml:space="preserve">un label cible, de sorte que le modèle minimise une fonction de perte</w:t>
      </w:r>
      <w:r>
        <w:t xml:space="preserve"> </w:t>
      </w:r>
      <m:oMath>
        <m:r>
          <m:rPr>
            <m:scr m:val="script"/>
            <m:sty m:val="p"/>
          </m:rPr>
          <m:t>L</m:t>
        </m:r>
        <m:r>
          <m:rPr>
            <m:sty m:val="p"/>
          </m:rPr>
          <m:t>(</m:t>
        </m:r>
        <m:acc>
          <m:accPr>
            <m:chr m:val="̂"/>
          </m:accPr>
          <m:e>
            <m:r>
              <m:t>y</m:t>
            </m:r>
          </m:e>
        </m:acc>
        <m:r>
          <m:rPr>
            <m:sty m:val="p"/>
          </m:rPr>
          <m:t>,</m:t>
        </m:r>
        <m:r>
          <m:t>y</m:t>
        </m:r>
        <m:r>
          <m:rPr>
            <m:sty m:val="p"/>
          </m:rPr>
          <m:t>)</m:t>
        </m:r>
      </m:oMath>
      <w:r>
        <w:t xml:space="preserve"> </w:t>
      </w:r>
      <w:r>
        <w:t xml:space="preserve">[12]</w:t>
      </w:r>
      <w:r>
        <w:t xml:space="preserve">. L’apprentissage non supervisé, à l’inverse, cherche à découvrir une structure latente dans des données non étiquetées, par exemple par regroupement (</w:t>
      </w:r>
      <w:r>
        <w:rPr>
          <w:i/>
          <w:iCs/>
        </w:rPr>
        <w:t xml:space="preserve">clustering</w:t>
      </w:r>
      <w:r>
        <w:t xml:space="preserve">) ou réduction de dimensionnalité </w:t>
      </w:r>
      <w:r>
        <w:t xml:space="preserve">[13]</w:t>
      </w:r>
      <w:r>
        <w:t xml:space="preserve">.</w:t>
      </w:r>
    </w:p>
    <w:bookmarkEnd w:id="16"/>
    <w:bookmarkStart w:id="17" w:name="X96809a00568568ccae0400938f158e18d380917"/>
    <w:p>
      <w:pPr>
        <w:pStyle w:val="Heading5"/>
      </w:pPr>
      <w:r>
        <w:t xml:space="preserve">Limites du ML classique pour les données visuelles.</w:t>
      </w:r>
    </w:p>
    <w:p>
      <w:pPr>
        <w:pStyle w:val="FirstParagraph"/>
      </w:pPr>
      <w:r>
        <w:t xml:space="preserve">Les méthodes classiques (SVM, k-NN, forêts aléatoires) reposent sur des représentations vectorielles de l’entrée conçues à la main (</w:t>
      </w:r>
      <w:r>
        <w:rPr>
          <w:i/>
          <w:iCs/>
        </w:rPr>
        <w:t xml:space="preserve">feature engineering</w:t>
      </w:r>
      <w:r>
        <w:t xml:space="preserve">). Pour des données de haute dimension comme les images, cette étape est fastidieuse, coûteuse en expertise, et conduit à des modèles peu généralisables </w:t>
      </w:r>
      <w:r>
        <w:t xml:space="preserve">[14]</w:t>
      </w:r>
      <w:r>
        <w:t xml:space="preserve">. C’est précisément ce verrou que l’apprentissage profond a levé.</w:t>
      </w:r>
    </w:p>
    <w:bookmarkEnd w:id="17"/>
    <w:bookmarkEnd w:id="18"/>
    <w:bookmarkStart w:id="24" w:name="apprentissage-profond-deep-learning"/>
    <w:p>
      <w:pPr>
        <w:pStyle w:val="Heading3"/>
      </w:pPr>
      <w:r>
        <w:t xml:space="preserve">Apprentissage profond (</w:t>
      </w:r>
      <w:r>
        <w:rPr>
          <w:i/>
          <w:iCs/>
        </w:rPr>
        <w:t xml:space="preserve">Deep Learning</w:t>
      </w:r>
      <w:r>
        <w:t xml:space="preserve">)</w:t>
      </w:r>
    </w:p>
    <w:bookmarkStart w:id="19" w:name="X8a6b67b5656d0414df23d0595652258a9fc56fd"/>
    <w:p>
      <w:pPr>
        <w:pStyle w:val="Heading4"/>
      </w:pPr>
      <w:r>
        <w:t xml:space="preserve">Réseaux de neurones — du perceptron au réseau multicouches</w:t>
      </w:r>
    </w:p>
    <w:p>
      <w:pPr>
        <w:pStyle w:val="FirstParagraph"/>
      </w:pPr>
      <w:r>
        <w:t xml:space="preserve">Un réseau de neurones artificiel est un modèle paramétrique inspiré du cerveau biologique, composé de couches de</w:t>
      </w:r>
      <w:r>
        <w:t xml:space="preserve"> </w:t>
      </w:r>
      <w:r>
        <w:rPr>
          <w:i/>
          <w:iCs/>
        </w:rPr>
        <w:t xml:space="preserve">neurones artificiels</w:t>
      </w:r>
      <w:r>
        <w:t xml:space="preserve"> </w:t>
      </w:r>
      <w:r>
        <w:t xml:space="preserve">(unités de calcul) interconnectées. Un neurone calcule une combinaison linéaire de ses entrées suivie d’une fonction non linéaire d’activation :</w:t>
      </w:r>
      <w:r>
        <w:t xml:space="preserve"> </w:t>
      </w:r>
      <m:oMath>
        <m:r>
          <m:t>a</m:t>
        </m:r>
        <m:r>
          <m:rPr>
            <m:sty m:val="p"/>
          </m:rPr>
          <m:t>=</m:t>
        </m:r>
        <m:r>
          <m:t>σ</m:t>
        </m:r>
        <m:r>
          <m:rPr>
            <m:sty m:val="p"/>
          </m:rPr>
          <m:t>(</m:t>
        </m:r>
        <m:sSup>
          <m:e>
            <m:r>
              <m:rPr>
                <m:sty m:val="bi"/>
              </m:rPr>
              <m:t>w</m:t>
            </m:r>
          </m:e>
          <m:sup>
            <m:r>
              <m:rPr>
                <m:sty m:val="p"/>
              </m:rPr>
              <m:t>⊤</m:t>
            </m:r>
          </m:sup>
        </m:sSup>
        <m:r>
          <m:rPr>
            <m:sty m:val="bi"/>
          </m:rPr>
          <m:t>x</m:t>
        </m:r>
        <m:r>
          <m:rPr>
            <m:sty m:val="p"/>
          </m:rPr>
          <m:t>+</m:t>
        </m:r>
        <m:r>
          <m:t>b</m:t>
        </m:r>
        <m:r>
          <m:rPr>
            <m:sty m:val="p"/>
          </m:rPr>
          <m:t>)</m:t>
        </m:r>
      </m:oMath>
      <w:r>
        <w:t xml:space="preserve"> </w:t>
      </w:r>
      <w:r>
        <w:t xml:space="preserve">[15], [16]</w:t>
      </w:r>
      <w:r>
        <w:t xml:space="preserve">.</w:t>
      </w:r>
    </w:p>
    <w:p>
      <w:pPr>
        <w:pStyle w:val="BodyText"/>
      </w:pPr>
      <w:r>
        <w:t xml:space="preserve">Le perceptron multicouche (</w:t>
      </w:r>
      <w:r>
        <w:rPr>
          <w:i/>
          <w:iCs/>
        </w:rPr>
        <w:t xml:space="preserve">Multi-Layer Perceptron</w:t>
      </w:r>
      <w:r>
        <w:t xml:space="preserve">, MLP), entraîné par l’algorithme de rétropropagation du gradient (</w:t>
      </w:r>
      <w:r>
        <w:rPr>
          <w:i/>
          <w:iCs/>
        </w:rPr>
        <w:t xml:space="preserve">backpropagation</w:t>
      </w:r>
      <w:r>
        <w:t xml:space="preserve">) </w:t>
      </w:r>
      <w:r>
        <w:t xml:space="preserve">[16]</w:t>
      </w:r>
      <w:r>
        <w:t xml:space="preserve">, constitue le fondement de tout l’apprentissage profond moderne. L’extension à des architectures très profondes (dizaines à centaines de couches) a été rendue possible par l’introduction des fonctions d’activation ReLU </w:t>
      </w:r>
      <w:r>
        <w:t xml:space="preserve">[17]</w:t>
      </w:r>
      <w:r>
        <w:t xml:space="preserve">, de la normalisation par lots (</w:t>
      </w:r>
      <w:r>
        <w:rPr>
          <w:i/>
          <w:iCs/>
        </w:rPr>
        <w:t xml:space="preserve">batch normalization</w:t>
      </w:r>
      <w:r>
        <w:t xml:space="preserve">) </w:t>
      </w:r>
      <w:r>
        <w:t xml:space="preserve">[18]</w:t>
      </w:r>
      <w:r>
        <w:t xml:space="preserve"> </w:t>
      </w:r>
      <w:r>
        <w:t xml:space="preserve">et des connexions résiduelles </w:t>
      </w:r>
      <w:r>
        <w:t xml:space="preserve">[19]</w:t>
      </w:r>
      <w:r>
        <w:t xml:space="preserve">.</w:t>
      </w:r>
    </w:p>
    <w:bookmarkEnd w:id="19"/>
    <w:bookmarkStart w:id="22" w:name="réseaux-de-neurones-convolutifs-cnn"/>
    <w:p>
      <w:pPr>
        <w:pStyle w:val="Heading4"/>
      </w:pPr>
      <w:r>
        <w:t xml:space="preserve">Réseaux de neurones convolutifs (CNN)</w:t>
      </w:r>
    </w:p>
    <w:bookmarkStart w:id="20" w:name="X5077b7e88630d672905160456b09e9750b532d0"/>
    <w:p>
      <w:pPr>
        <w:pStyle w:val="Heading5"/>
      </w:pPr>
      <w:r>
        <w:t xml:space="preserve">Architecture : convolution,</w:t>
      </w:r>
      <w:r>
        <w:t xml:space="preserve"> </w:t>
      </w:r>
      <w:r>
        <w:rPr>
          <w:i/>
          <w:iCs/>
        </w:rPr>
        <w:t xml:space="preserve">pooling</w:t>
      </w:r>
      <w:r>
        <w:t xml:space="preserve">, couches entièrement connectées.</w:t>
      </w:r>
    </w:p>
    <w:p>
      <w:pPr>
        <w:pStyle w:val="FirstParagraph"/>
      </w:pPr>
      <w:r>
        <w:t xml:space="preserve">Un réseau de neurones convolutif (CNN) exploite la structure 2D locale des images via des filtres convolutifs appris </w:t>
      </w:r>
      <w:r>
        <w:t xml:space="preserve">[20]</w:t>
      </w:r>
      <w:r>
        <w:t xml:space="preserve">. Une architecture CNN typique est composée de trois types de couches </w:t>
      </w:r>
      <w:r>
        <w:t xml:space="preserve">[14]</w:t>
      </w:r>
      <w:r>
        <w:t xml:space="preserve"> </w:t>
      </w:r>
      <w:r>
        <w:t xml:space="preserve">:</w:t>
      </w:r>
    </w:p>
    <w:p>
      <w:pPr>
        <w:numPr>
          <w:ilvl w:val="0"/>
          <w:numId w:val="1002"/>
        </w:numPr>
      </w:pPr>
      <w:r>
        <w:rPr>
          <w:b/>
          <w:bCs/>
        </w:rPr>
        <w:t xml:space="preserve">Couche de convolution :</w:t>
      </w:r>
      <w:r>
        <w:t xml:space="preserve"> </w:t>
      </w:r>
      <w:r>
        <w:t xml:space="preserve">applique</w:t>
      </w:r>
      <w:r>
        <w:t xml:space="preserve"> </w:t>
      </w:r>
      <m:oMath>
        <m:r>
          <m:t>K</m:t>
        </m:r>
      </m:oMath>
      <w:r>
        <w:t xml:space="preserve"> </w:t>
      </w:r>
      <w:r>
        <w:t xml:space="preserve">filtres</w:t>
      </w:r>
      <w:r>
        <w:t xml:space="preserve"> </w:t>
      </w:r>
      <m:oMath>
        <m:sSub>
          <m:e>
            <m:r>
              <m:rPr>
                <m:sty m:val="bi"/>
              </m:rPr>
              <m:t>W</m:t>
            </m:r>
          </m:e>
          <m:sub>
            <m:r>
              <m:t>k</m:t>
            </m:r>
          </m:sub>
        </m:sSub>
      </m:oMath>
      <w:r>
        <w:t xml:space="preserve"> </w:t>
      </w:r>
      <w:r>
        <w:t xml:space="preserve">sur la carte d’activation de la couche précédente :</w:t>
      </w:r>
      <w:r>
        <w:t xml:space="preserve"> </w:t>
      </w:r>
      <m:oMath>
        <m:sSup>
          <m:e>
            <m:r>
              <m:rPr>
                <m:sty m:val="bi"/>
              </m:rPr>
              <m:t>Z</m:t>
            </m:r>
          </m:e>
          <m:sup>
            <m:r>
              <m:rPr>
                <m:sty m:val="p"/>
              </m:rPr>
              <m:t>(</m:t>
            </m:r>
            <m:r>
              <m:t>k</m:t>
            </m:r>
            <m:r>
              <m:rPr>
                <m:sty m:val="p"/>
              </m:rPr>
              <m:t>)</m:t>
            </m:r>
          </m:sup>
        </m:sSup>
        <m:r>
          <m:rPr>
            <m:sty m:val="p"/>
          </m:rPr>
          <m:t>=</m:t>
        </m:r>
        <m:sSub>
          <m:e>
            <m:r>
              <m:rPr>
                <m:sty m:val="bi"/>
              </m:rPr>
              <m:t>W</m:t>
            </m:r>
          </m:e>
          <m:sub>
            <m:r>
              <m:t>k</m:t>
            </m:r>
          </m:sub>
        </m:sSub>
        <m:r>
          <m:rPr>
            <m:sty m:val="p"/>
          </m:rPr>
          <m:t>*</m:t>
        </m:r>
        <m:r>
          <m:rPr>
            <m:sty m:val="bi"/>
          </m:rPr>
          <m:t>X</m:t>
        </m:r>
        <m:r>
          <m:rPr>
            <m:sty m:val="p"/>
          </m:rPr>
          <m:t>+</m:t>
        </m:r>
        <m:sSub>
          <m:e>
            <m:r>
              <m:t>b</m:t>
            </m:r>
          </m:e>
          <m:sub>
            <m:r>
              <m:t>k</m:t>
            </m:r>
          </m:sub>
        </m:sSub>
      </m:oMath>
      <w:r>
        <w:t xml:space="preserve">. Ces filtres apprennent à détecter des primitives visuelles locales (bords, textures, formes).</w:t>
      </w:r>
    </w:p>
    <w:p>
      <w:pPr>
        <w:numPr>
          <w:ilvl w:val="0"/>
          <w:numId w:val="1002"/>
        </w:numPr>
      </w:pPr>
      <w:r>
        <w:rPr>
          <w:b/>
          <w:bCs/>
        </w:rPr>
        <w:t xml:space="preserve">Couche de</w:t>
      </w:r>
      <w:r>
        <w:rPr>
          <w:b/>
          <w:bCs/>
        </w:rPr>
        <w:t xml:space="preserve"> </w:t>
      </w:r>
      <w:r>
        <w:rPr>
          <w:b/>
          <w:bCs/>
          <w:i/>
          <w:iCs/>
        </w:rPr>
        <w:t xml:space="preserve">pooling</w:t>
      </w:r>
      <w:r>
        <w:rPr>
          <w:b/>
          <w:bCs/>
        </w:rPr>
        <w:t xml:space="preserve"> </w:t>
      </w:r>
      <w:r>
        <w:rPr>
          <w:b/>
          <w:bCs/>
        </w:rPr>
        <w:t xml:space="preserve">:</w:t>
      </w:r>
      <w:r>
        <w:t xml:space="preserve"> </w:t>
      </w:r>
      <w:r>
        <w:t xml:space="preserve">réduit la résolution spatiale par sous-échantillonnage (max-pooling ou average-pooling), introduisant une invariance partielle aux translations.</w:t>
      </w:r>
    </w:p>
    <w:p>
      <w:pPr>
        <w:numPr>
          <w:ilvl w:val="0"/>
          <w:numId w:val="1002"/>
        </w:numPr>
      </w:pPr>
      <w:r>
        <w:rPr>
          <w:b/>
          <w:bCs/>
        </w:rPr>
        <w:t xml:space="preserve">Couches entièrement connectées :</w:t>
      </w:r>
      <w:r>
        <w:t xml:space="preserve"> </w:t>
      </w:r>
      <w:r>
        <w:t xml:space="preserve">agrègent les représentations spatiales locales en une représentation globale pour la classification ou la régression finale.</w:t>
      </w:r>
    </w:p>
    <w:bookmarkEnd w:id="20"/>
    <w:bookmarkStart w:id="21" w:name="X9aa669495be175d7fdb75a589b430cc1a731eba"/>
    <w:p>
      <w:pPr>
        <w:pStyle w:val="Heading5"/>
      </w:pPr>
      <w:r>
        <w:t xml:space="preserve">Famille d’architectures utilisée par YOLO et BlazePose.</w:t>
      </w:r>
    </w:p>
    <w:p>
      <w:pPr>
        <w:pStyle w:val="FirstParagraph"/>
      </w:pPr>
      <w:r>
        <w:t xml:space="preserve">Les détecteurs d’objets en temps réel et les estimateurs de pose légers s’appuient sur deux familles architecturales majeures issues des CNN :</w:t>
      </w:r>
    </w:p>
    <w:p>
      <w:pPr>
        <w:numPr>
          <w:ilvl w:val="0"/>
          <w:numId w:val="1003"/>
        </w:numPr>
      </w:pPr>
      <w:r>
        <w:rPr>
          <w:b/>
          <w:bCs/>
        </w:rPr>
        <w:t xml:space="preserve">Architectures de type</w:t>
      </w:r>
      <w:r>
        <w:rPr>
          <w:b/>
          <w:bCs/>
        </w:rPr>
        <w:t xml:space="preserve"> </w:t>
      </w:r>
      <w:r>
        <w:rPr>
          <w:b/>
          <w:bCs/>
          <w:i/>
          <w:iCs/>
        </w:rPr>
        <w:t xml:space="preserve">feature pyramid</w:t>
      </w:r>
      <w:r>
        <w:t xml:space="preserve"> </w:t>
      </w:r>
      <w:r>
        <w:t xml:space="preserve">(FPN </w:t>
      </w:r>
      <w:r>
        <w:t xml:space="preserve">[21]</w:t>
      </w:r>
      <w:r>
        <w:t xml:space="preserve">) : permettent la détection multi-échelle en fusionnant les cartes de caractéristiques de différentes résolutions, ce qui est crucial pour YOLO </w:t>
      </w:r>
      <w:r>
        <w:t xml:space="preserve">[22]</w:t>
      </w:r>
      <w:r>
        <w:t xml:space="preserve">.</w:t>
      </w:r>
    </w:p>
    <w:p>
      <w:pPr>
        <w:numPr>
          <w:ilvl w:val="0"/>
          <w:numId w:val="1003"/>
        </w:numPr>
      </w:pPr>
      <w:r>
        <w:rPr>
          <w:b/>
          <w:bCs/>
        </w:rPr>
        <w:t xml:space="preserve">Architectures encodeur-décodeur légères (MobileNet </w:t>
      </w:r>
      <w:r>
        <w:rPr>
          <w:b/>
          <w:bCs/>
        </w:rPr>
        <w:t xml:space="preserve">[23]</w:t>
      </w:r>
      <w:r>
        <w:rPr>
          <w:b/>
          <w:bCs/>
        </w:rPr>
        <w:t xml:space="preserve">, EfficientNet </w:t>
      </w:r>
      <w:r>
        <w:rPr>
          <w:b/>
          <w:bCs/>
        </w:rPr>
        <w:t xml:space="preserve">[24]</w:t>
      </w:r>
      <w:r>
        <w:rPr>
          <w:b/>
          <w:bCs/>
        </w:rPr>
        <w:t xml:space="preserve">)</w:t>
      </w:r>
      <w:r>
        <w:t xml:space="preserve"> </w:t>
      </w:r>
      <w:r>
        <w:t xml:space="preserve">: optimisées pour un rapport précision/calcul maximal, utilisées par BlazePose </w:t>
      </w:r>
      <w:r>
        <w:t xml:space="preserve">[25]</w:t>
      </w:r>
      <w:r>
        <w:t xml:space="preserve"> </w:t>
      </w:r>
      <w:r>
        <w:t xml:space="preserve">pour un déploiement sur appareils mobiles à ressources contraintes.</w:t>
      </w:r>
    </w:p>
    <w:bookmarkEnd w:id="21"/>
    <w:bookmarkEnd w:id="22"/>
    <w:bookmarkStart w:id="23" w:name="réseaux-de-neurones-récurrents-rnn"/>
    <w:p>
      <w:pPr>
        <w:pStyle w:val="Heading4"/>
      </w:pPr>
      <w:r>
        <w:t xml:space="preserve">Réseaux de neurones récurrents (RNN)</w:t>
      </w:r>
    </w:p>
    <w:p>
      <w:pPr>
        <w:pStyle w:val="FirstParagraph"/>
      </w:pPr>
      <w:r>
        <w:t xml:space="preserve">Les réseaux récurrents (RNN, LSTM </w:t>
      </w:r>
      <w:r>
        <w:t xml:space="preserve">[26]</w:t>
      </w:r>
      <w:r>
        <w:t xml:space="preserve">, GRU </w:t>
      </w:r>
      <w:r>
        <w:t xml:space="preserve">[27]</w:t>
      </w:r>
      <w:r>
        <w:t xml:space="preserve">) ont été conçus pour modéliser des séquences temporelles en maintenant un état caché</w:t>
      </w:r>
      <w:r>
        <w:t xml:space="preserve"> </w:t>
      </w:r>
      <m:oMath>
        <m:sSub>
          <m:e>
            <m:r>
              <m:rPr>
                <m:sty m:val="bi"/>
              </m:rPr>
              <m:t>h</m:t>
            </m:r>
          </m:e>
          <m:sub>
            <m:r>
              <m:t>t</m:t>
            </m:r>
          </m:sub>
        </m:sSub>
      </m:oMath>
      <w:r>
        <w:t xml:space="preserve"> </w:t>
      </w:r>
      <w:r>
        <w:t xml:space="preserve">propagé à travers le temps. Bien que pertinents pour la modélisation de séquences de mouvements </w:t>
      </w:r>
      <w:r>
        <w:t xml:space="preserve">[28]</w:t>
      </w:r>
      <w:r>
        <w:t xml:space="preserve">, leur usage direct pour l’estimation de pose vidéo a été largement supplanté par les architectures à convolutions temporelles dilatées </w:t>
      </w:r>
      <w:r>
        <w:t xml:space="preserve">[29]</w:t>
      </w:r>
      <w:r>
        <w:t xml:space="preserve"> </w:t>
      </w:r>
      <w:r>
        <w:t xml:space="preserve">et les Transformers </w:t>
      </w:r>
      <w:r>
        <w:t xml:space="preserve">[30]</w:t>
      </w:r>
      <w:r>
        <w:t xml:space="preserve">, plus efficaces sur les GPUs modernes. Dans notre système, les RNN ne sont pas directement utilisés ; une mention brève suffit à situer leur place dans l’écosystème.</w:t>
      </w:r>
    </w:p>
    <w:bookmarkEnd w:id="23"/>
    <w:bookmarkEnd w:id="24"/>
    <w:bookmarkStart w:id="25" w:name="vision-par-ordinateur"/>
    <w:p>
      <w:pPr>
        <w:pStyle w:val="Heading3"/>
      </w:pPr>
      <w:r>
        <w:t xml:space="preserve">Vision par ordinateur</w:t>
      </w:r>
    </w:p>
    <w:p>
      <w:pPr>
        <w:pStyle w:val="FirstParagraph"/>
      </w:pPr>
      <w:r>
        <w:t xml:space="preserve">La</w:t>
      </w:r>
      <w:r>
        <w:t xml:space="preserve"> </w:t>
      </w:r>
      <w:r>
        <w:rPr>
          <w:i/>
          <w:iCs/>
        </w:rPr>
        <w:t xml:space="preserve">vision par ordinateur</w:t>
      </w:r>
      <w:r>
        <w:t xml:space="preserve"> </w:t>
      </w:r>
      <w:r>
        <w:t xml:space="preserve">est la branche de l’intelligence artificielle qui étudie comment permettre à des machines de comprendre et d’interpréter le contenu visuel d’images ou de séquences vidéo </w:t>
      </w:r>
      <w:r>
        <w:t xml:space="preserve">[31]</w:t>
      </w:r>
      <w:r>
        <w:t xml:space="preserve">.</w:t>
      </w:r>
    </w:p>
    <w:p>
      <w:pPr>
        <w:pStyle w:val="BodyText"/>
      </w:pPr>
      <w:r>
        <w:t xml:space="preserve">Elle repose fondamentalement sur les CNN, qui ont prouvé leur supériorité sur les méthodes à descripteurs artisanaux (HOG, SIFT) depuis les travaux d’AlexNet </w:t>
      </w:r>
      <w:r>
        <w:t xml:space="preserve">[32]</w:t>
      </w:r>
      <w:r>
        <w:t xml:space="preserve">. Les tâches fondamentales comprennent la classification d’image, la détection d’objets, la segmentation sémantique et l’estimation de pose </w:t>
      </w:r>
      <w:r>
        <w:t xml:space="preserve">[31]</w:t>
      </w:r>
      <w:r>
        <w:t xml:space="preserve">. Ces quatre tâches constituent ensemble le pipeline de traitement de notre système.</w:t>
      </w:r>
    </w:p>
    <w:p>
      <w:pPr>
        <w:pStyle w:val="BodyText"/>
      </w:pPr>
      <w:r>
        <w:t xml:space="preserve">Dans notre implémentation, nous utilisons YOLOv8 </w:t>
      </w:r>
      <w:r>
        <w:t xml:space="preserve">[33]</w:t>
      </w:r>
      <w:r>
        <w:t xml:space="preserve">, qui intègre nativement un module d’estimation de pose 2D, permettant d’unifier la détection et la localisation des</w:t>
      </w:r>
      <w:r>
        <w:t xml:space="preserve"> </w:t>
      </w:r>
      <w:r>
        <w:rPr>
          <w:i/>
          <w:iCs/>
        </w:rPr>
        <w:t xml:space="preserve">keypoints</w:t>
      </w:r>
      <w:r>
        <w:t xml:space="preserve"> </w:t>
      </w:r>
      <w:r>
        <w:t xml:space="preserve">skelettaux.</w:t>
      </w:r>
    </w:p>
    <w:bookmarkEnd w:id="25"/>
    <w:bookmarkEnd w:id="26"/>
    <w:bookmarkStart w:id="36" w:name="sec:pose2d"/>
    <w:p>
      <w:pPr>
        <w:pStyle w:val="Heading2"/>
      </w:pPr>
      <w:r>
        <w:t xml:space="preserve">Estimation de pose humaine 2D</w:t>
      </w:r>
    </w:p>
    <w:p>
      <w:pPr>
        <w:pStyle w:val="FirstParagraph"/>
      </w:pPr>
      <w:r>
        <w:t xml:space="preserve">L’estimation de pose humaine 2D consiste à localiser un ensemble prédéfini d’articulations du corps (épaules, coudes, genoux, etc.) dans le plan image, typiquement représentées comme un ensemble de</w:t>
      </w:r>
      <w:r>
        <w:t xml:space="preserve"> </w:t>
      </w:r>
      <w:r>
        <w:rPr>
          <w:i/>
          <w:iCs/>
        </w:rPr>
        <w:t xml:space="preserve">keypoints</w:t>
      </w:r>
      <w:r>
        <w:t xml:space="preserve"> </w:t>
      </w:r>
      <w:r>
        <w:t xml:space="preserve">2D</w:t>
      </w:r>
      <w:r>
        <w:t xml:space="preserve"> </w:t>
      </w:r>
      <m:oMath>
        <m:r>
          <m:rPr>
            <m:sty m:val="p"/>
          </m:rPr>
          <m:t>{</m:t>
        </m:r>
        <m:sSub>
          <m:e>
            <m:r>
              <m:rPr>
                <m:sty m:val="bi"/>
              </m:rPr>
              <m:t>p</m:t>
            </m:r>
          </m:e>
          <m:sub>
            <m:r>
              <m:t>j</m:t>
            </m:r>
          </m:sub>
        </m:sSub>
        <m:sSubSup>
          <m:e>
            <m:r>
              <m:rPr>
                <m:sty m:val="p"/>
              </m:rPr>
              <m:t>}</m:t>
            </m:r>
          </m:e>
          <m:sub>
            <m:r>
              <m:t>j</m:t>
            </m:r>
            <m:r>
              <m:rPr>
                <m:sty m:val="p"/>
              </m:rPr>
              <m:t>=</m:t>
            </m:r>
            <m:r>
              <m:t>1</m:t>
            </m:r>
          </m:sub>
          <m:sup>
            <m:r>
              <m:t>J</m:t>
            </m:r>
          </m:sup>
        </m:sSubSup>
      </m:oMath>
      <w:r>
        <w:t xml:space="preserve"> </w:t>
      </w:r>
      <w:r>
        <w:t xml:space="preserve">avec</w:t>
      </w:r>
      <w:r>
        <w:t xml:space="preserve"> </w:t>
      </w:r>
      <m:oMath>
        <m:sSub>
          <m:e>
            <m:r>
              <m:rPr>
                <m:sty m:val="bi"/>
              </m:rPr>
              <m:t>p</m:t>
            </m:r>
          </m:e>
          <m:sub>
            <m:r>
              <m:t>j</m:t>
            </m:r>
          </m:sub>
        </m:sSub>
        <m:r>
          <m:rPr>
            <m:sty m:val="p"/>
          </m:rPr>
          <m:t>=</m:t>
        </m:r>
        <m:r>
          <m:rPr>
            <m:sty m:val="p"/>
          </m:rPr>
          <m:t>(</m:t>
        </m:r>
        <m:sSub>
          <m:e>
            <m:r>
              <m:t>u</m:t>
            </m:r>
          </m:e>
          <m:sub>
            <m:r>
              <m:t>j</m:t>
            </m:r>
          </m:sub>
        </m:sSub>
        <m:r>
          <m:rPr>
            <m:sty m:val="p"/>
          </m:rPr>
          <m:t>,</m:t>
        </m:r>
        <m:sSub>
          <m:e>
            <m:r>
              <m:t>v</m:t>
            </m:r>
          </m:e>
          <m:sub>
            <m:r>
              <m:t>j</m:t>
            </m:r>
          </m:sub>
        </m:sSub>
        <m:r>
          <m:rPr>
            <m:sty m:val="p"/>
          </m:rPr>
          <m:t>)</m:t>
        </m:r>
        <m:r>
          <m:rPr>
            <m:sty m:val="p"/>
          </m:rPr>
          <m:t>∈</m:t>
        </m:r>
        <m:sSup>
          <m:e>
            <m:r>
              <m:rPr>
                <m:scr m:val="double-struck"/>
                <m:sty m:val="p"/>
              </m:rPr>
              <m:t>R</m:t>
            </m:r>
          </m:e>
          <m:sup>
            <m:r>
              <m:t>2</m:t>
            </m:r>
          </m:sup>
        </m:sSup>
      </m:oMath>
      <w:r>
        <w:t xml:space="preserve"> </w:t>
      </w:r>
      <w:r>
        <w:t xml:space="preserve">[34]</w:t>
      </w:r>
      <w:r>
        <w:t xml:space="preserve">.</w:t>
      </w:r>
    </w:p>
    <w:bookmarkStart w:id="30" w:name="X6626b8bb18491581686d0520728bfea75e5bba4"/>
    <w:p>
      <w:pPr>
        <w:pStyle w:val="Heading3"/>
      </w:pPr>
      <w:r>
        <w:t xml:space="preserve">OpenPose — Cao et al. (Carnegie Mellon University)</w:t>
      </w:r>
    </w:p>
    <w:p>
      <w:pPr>
        <w:pStyle w:val="FirstParagraph"/>
      </w:pPr>
      <w:r>
        <w:t xml:space="preserve">OpenPose </w:t>
      </w:r>
      <w:r>
        <w:t xml:space="preserve">[35]</w:t>
      </w:r>
      <w:r>
        <w:t xml:space="preserve"> </w:t>
      </w:r>
      <w:r>
        <w:t xml:space="preserve">est le premier système en temps réel d’estimation de la pose multi-personnes dans des images monoculaires. Il prédit simultanément les keypoints du corps, des mains et du visage pour toutes les personnes présentes dans l’image, sans pré-segmentation ni détection explicite de chaque individu.</w:t>
      </w:r>
    </w:p>
    <w:bookmarkStart w:id="27" w:name="architecture."/>
    <w:p>
      <w:pPr>
        <w:pStyle w:val="Heading5"/>
      </w:pPr>
      <w:r>
        <w:t xml:space="preserve">Architecture.</w:t>
      </w:r>
    </w:p>
    <w:p>
      <w:pPr>
        <w:pStyle w:val="FirstParagraph"/>
      </w:pPr>
      <w:r>
        <w:t xml:space="preserve">OpenPose repose sur un réseau de prédiction en deux branches, toutes deux initialisées sur les premières couches de VGG-19 </w:t>
      </w:r>
      <w:r>
        <w:t xml:space="preserve">[36]</w:t>
      </w:r>
      <w:r>
        <w:t xml:space="preserve"> </w:t>
      </w:r>
      <w:r>
        <w:t xml:space="preserve">(pré-entraîné sur ImageNet) comme extracteur de caractéristiques partagé. Les deux branches prédisent respectivement :</w:t>
      </w:r>
    </w:p>
    <w:p>
      <w:pPr>
        <w:numPr>
          <w:ilvl w:val="0"/>
          <w:numId w:val="1004"/>
        </w:numPr>
      </w:pPr>
      <w:r>
        <w:t xml:space="preserve">Des cartes de confiance (</w:t>
      </w:r>
      <w:r>
        <w:rPr>
          <w:i/>
          <w:iCs/>
        </w:rPr>
        <w:t xml:space="preserve">Part Confidence Maps</w:t>
      </w:r>
      <w:r>
        <w:t xml:space="preserve">, PCM) : pour chaque articulation</w:t>
      </w:r>
      <w:r>
        <w:t xml:space="preserve"> </w:t>
      </w:r>
      <m:oMath>
        <m:r>
          <m:t>j</m:t>
        </m:r>
      </m:oMath>
      <w:r>
        <w:t xml:space="preserve">, une carte de chaleur</w:t>
      </w:r>
      <w:r>
        <w:t xml:space="preserve"> </w:t>
      </w:r>
      <m:oMath>
        <m:sSub>
          <m:e>
            <m:r>
              <m:t>S</m:t>
            </m:r>
          </m:e>
          <m:sub>
            <m:r>
              <m:t>j</m:t>
            </m:r>
          </m:sub>
        </m:sSub>
        <m:r>
          <m:rPr>
            <m:sty m:val="p"/>
          </m:rPr>
          <m:t>(</m:t>
        </m:r>
        <m:r>
          <m:t>p</m:t>
        </m:r>
        <m:r>
          <m:rPr>
            <m:sty m:val="p"/>
          </m:rPr>
          <m:t>)</m:t>
        </m:r>
        <m:r>
          <m:rPr>
            <m:sty m:val="p"/>
          </m:rPr>
          <m:t>∈</m:t>
        </m:r>
        <m:r>
          <m:rPr>
            <m:sty m:val="p"/>
          </m:rPr>
          <m:t>[</m:t>
        </m:r>
        <m:r>
          <m:t>0</m:t>
        </m:r>
        <m:r>
          <m:rPr>
            <m:sty m:val="p"/>
          </m:rPr>
          <m:t>,</m:t>
        </m:r>
        <m:r>
          <m:t>1</m:t>
        </m:r>
        <m:r>
          <m:rPr>
            <m:sty m:val="p"/>
          </m:rPr>
          <m:t>]</m:t>
        </m:r>
      </m:oMath>
      <w:r>
        <w:t xml:space="preserve"> </w:t>
      </w:r>
      <w:r>
        <w:t xml:space="preserve">indiquant la probabilité de présence de l’articulation au pixel</w:t>
      </w:r>
      <w:r>
        <w:t xml:space="preserve"> </w:t>
      </w:r>
      <m:oMath>
        <m:r>
          <m:t>p</m:t>
        </m:r>
      </m:oMath>
      <w:r>
        <w:t xml:space="preserve">.</w:t>
      </w:r>
    </w:p>
    <w:p>
      <w:pPr>
        <w:numPr>
          <w:ilvl w:val="0"/>
          <w:numId w:val="1004"/>
        </w:numPr>
      </w:pPr>
      <w:r>
        <w:t xml:space="preserve">Des champs d’associations de parties (</w:t>
      </w:r>
      <w:r>
        <w:rPr>
          <w:i/>
          <w:iCs/>
        </w:rPr>
        <w:t xml:space="preserve">Part Affinity Fields</w:t>
      </w:r>
      <w:r>
        <w:t xml:space="preserve">, PAF) : des champs vectoriels 2D</w:t>
      </w:r>
      <w:r>
        <w:t xml:space="preserve"> </w:t>
      </w:r>
      <m:oMath>
        <m:sSub>
          <m:e>
            <m:r>
              <m:rPr>
                <m:sty m:val="bi"/>
              </m:rPr>
              <m:t>L</m:t>
            </m:r>
          </m:e>
          <m:sub>
            <m:r>
              <m:t>c</m:t>
            </m:r>
          </m:sub>
        </m:sSub>
        <m:r>
          <m:rPr>
            <m:sty m:val="p"/>
          </m:rPr>
          <m:t>(</m:t>
        </m:r>
        <m:r>
          <m:t>p</m:t>
        </m:r>
        <m:r>
          <m:rPr>
            <m:sty m:val="p"/>
          </m:rPr>
          <m:t>)</m:t>
        </m:r>
      </m:oMath>
      <w:r>
        <w:t xml:space="preserve"> </w:t>
      </w:r>
      <w:r>
        <w:t xml:space="preserve">encodant la direction et la force des connexions anatomiques entre deux articulations</w:t>
      </w:r>
      <w:r>
        <w:t xml:space="preserve"> </w:t>
      </w:r>
      <m:oMath>
        <m:sSub>
          <m:e>
            <m:r>
              <m:t>j</m:t>
            </m:r>
          </m:e>
          <m:sub>
            <m:r>
              <m:t>1</m:t>
            </m:r>
          </m:sub>
        </m:sSub>
      </m:oMath>
      <w:r>
        <w:t xml:space="preserve"> </w:t>
      </w:r>
      <w:r>
        <w:t xml:space="preserve">et</w:t>
      </w:r>
      <w:r>
        <w:t xml:space="preserve"> </w:t>
      </w:r>
      <m:oMath>
        <m:sSub>
          <m:e>
            <m:r>
              <m:t>j</m:t>
            </m:r>
          </m:e>
          <m:sub>
            <m:r>
              <m:t>2</m:t>
            </m:r>
          </m:sub>
        </m:sSub>
      </m:oMath>
      <w:r>
        <w:t xml:space="preserve">.</w:t>
      </w:r>
    </w:p>
    <w:p>
      <w:pPr>
        <w:pStyle w:val="FirstParagraph"/>
      </w:pPr>
      <w:r>
        <w:t xml:space="preserve">Ces deux prédictions sont successivement raffinées sur</w:t>
      </w:r>
      <w:r>
        <w:t xml:space="preserve"> </w:t>
      </w:r>
      <m:oMath>
        <m:r>
          <m:t>T</m:t>
        </m:r>
      </m:oMath>
      <w:r>
        <w:t xml:space="preserve"> </w:t>
      </w:r>
      <w:r>
        <w:t xml:space="preserve">étages. L’assemblage des squelettes individuels à partir des PAF est formulé comme un problème d’appariement biparti résoluble par l’algorithme hongrois </w:t>
      </w:r>
      <w:r>
        <w:t xml:space="preserve">[35]</w:t>
      </w:r>
      <w:r>
        <w:t xml:space="preserve">.</w:t>
      </w:r>
    </w:p>
    <w:bookmarkEnd w:id="27"/>
    <w:bookmarkStart w:id="28" w:name="avantages."/>
    <w:p>
      <w:pPr>
        <w:pStyle w:val="Heading5"/>
      </w:pPr>
      <w:r>
        <w:t xml:space="preserve">Avantages.</w:t>
      </w:r>
    </w:p>
    <w:p>
      <w:pPr>
        <w:numPr>
          <w:ilvl w:val="0"/>
          <w:numId w:val="1005"/>
        </w:numPr>
      </w:pPr>
      <w:r>
        <w:t xml:space="preserve">Estimation multi-personnes en temps réel sur GPU.</w:t>
      </w:r>
    </w:p>
    <w:p>
      <w:pPr>
        <w:numPr>
          <w:ilvl w:val="0"/>
          <w:numId w:val="1005"/>
        </w:numPr>
      </w:pPr>
      <w:r>
        <w:t xml:space="preserve">Modèle à 135 keypoints (corps + mains + visage), le plus complet de sa génération.</w:t>
      </w:r>
    </w:p>
    <w:p>
      <w:pPr>
        <w:numPr>
          <w:ilvl w:val="0"/>
          <w:numId w:val="1005"/>
        </w:numPr>
      </w:pPr>
      <w:r>
        <w:t xml:space="preserve">Architecture bien documentée, référence académique largement adoptée.</w:t>
      </w:r>
    </w:p>
    <w:bookmarkEnd w:id="28"/>
    <w:bookmarkStart w:id="29" w:name="limites."/>
    <w:p>
      <w:pPr>
        <w:pStyle w:val="Heading5"/>
      </w:pPr>
      <w:r>
        <w:t xml:space="preserve">Limites.</w:t>
      </w:r>
    </w:p>
    <w:p>
      <w:pPr>
        <w:numPr>
          <w:ilvl w:val="0"/>
          <w:numId w:val="1006"/>
        </w:numPr>
      </w:pPr>
      <w:r>
        <w:t xml:space="preserve">Lourde en ressources : inadaptée aux appareils mobiles ou embarqués.</w:t>
      </w:r>
    </w:p>
    <w:p>
      <w:pPr>
        <w:numPr>
          <w:ilvl w:val="0"/>
          <w:numId w:val="1006"/>
        </w:numPr>
      </w:pPr>
      <w:r>
        <w:t xml:space="preserve">Sensible aux occlusions partielles et aux poses peu représentées dans les datasets d’entraînement (COCO, MPII).</w:t>
      </w:r>
    </w:p>
    <w:p>
      <w:pPr>
        <w:numPr>
          <w:ilvl w:val="0"/>
          <w:numId w:val="1006"/>
        </w:numPr>
      </w:pPr>
      <w:r>
        <w:t xml:space="preserve">Difficultés sur les personnes fortement occultées mutuellement.</w:t>
      </w:r>
    </w:p>
    <w:bookmarkEnd w:id="29"/>
    <w:bookmarkEnd w:id="30"/>
    <w:bookmarkStart w:id="34" w:name="X4560f1f1c5549d824a61f27b4a3931e46d544ba"/>
    <w:p>
      <w:pPr>
        <w:pStyle w:val="Heading3"/>
      </w:pPr>
      <w:r>
        <w:t xml:space="preserve">MediaPipe BlazePose — Bazarevsky et al. (Google, 2020)</w:t>
      </w:r>
    </w:p>
    <w:p>
      <w:pPr>
        <w:pStyle w:val="FirstParagraph"/>
      </w:pPr>
      <w:r>
        <w:t xml:space="preserve">BlazePose </w:t>
      </w:r>
      <w:r>
        <w:t xml:space="preserve">[25]</w:t>
      </w:r>
      <w:r>
        <w:t xml:space="preserve"> </w:t>
      </w:r>
      <w:r>
        <w:t xml:space="preserve">est un pipeline d’estimation de pose monoculaire ultra-rapide développé par Google. Il est conçu pour fonctionner en temps réel sur mobile en moins de 3 ms par frame sur GPU, tout en estimant 33 keypoints tridimensionnels (x, y, z, visibilité).</w:t>
      </w:r>
    </w:p>
    <w:bookmarkStart w:id="31" w:name="architecture.-1"/>
    <w:p>
      <w:pPr>
        <w:pStyle w:val="Heading5"/>
      </w:pPr>
      <w:r>
        <w:t xml:space="preserve">Architecture.</w:t>
      </w:r>
    </w:p>
    <w:p>
      <w:pPr>
        <w:pStyle w:val="FirstParagraph"/>
      </w:pPr>
      <w:r>
        <w:t xml:space="preserve">Le pipeline BlazePose est composé de deux modèles en cascade </w:t>
      </w:r>
      <w:r>
        <w:t xml:space="preserve">[25]</w:t>
      </w:r>
      <w:r>
        <w:t xml:space="preserve"> </w:t>
      </w:r>
      <w:r>
        <w:t xml:space="preserve">:</w:t>
      </w:r>
    </w:p>
    <w:p>
      <w:pPr>
        <w:numPr>
          <w:ilvl w:val="0"/>
          <w:numId w:val="1007"/>
        </w:numPr>
      </w:pPr>
      <w:r>
        <w:rPr>
          <w:b/>
          <w:bCs/>
        </w:rPr>
        <w:t xml:space="preserve">Un détecteur de personne léger</w:t>
      </w:r>
      <w:r>
        <w:t xml:space="preserve"> </w:t>
      </w:r>
      <w:r>
        <w:t xml:space="preserve">(BlazeFace </w:t>
      </w:r>
      <w:r>
        <w:t xml:space="preserve">[37]</w:t>
      </w:r>
      <w:r>
        <w:t xml:space="preserve">) qui localise le sujet dans la frame et produit une boîte englobante alignée sur les hanches et les épaules.</w:t>
      </w:r>
    </w:p>
    <w:p>
      <w:pPr>
        <w:numPr>
          <w:ilvl w:val="0"/>
          <w:numId w:val="1007"/>
        </w:numPr>
      </w:pPr>
      <w:r>
        <w:rPr>
          <w:b/>
          <w:bCs/>
        </w:rPr>
        <w:t xml:space="preserve">Un estimateur de pose encodeur–décodeur</w:t>
      </w:r>
      <w:r>
        <w:t xml:space="preserve"> </w:t>
      </w:r>
      <w:r>
        <w:t xml:space="preserve">basé sur MobileNetV2 </w:t>
      </w:r>
      <w:r>
        <w:t xml:space="preserve">[38]</w:t>
      </w:r>
      <w:r>
        <w:t xml:space="preserve"> </w:t>
      </w:r>
      <w:r>
        <w:t xml:space="preserve">avec des blocs de convolutions dépthwise séparables. La tête de décodeur produit à la fois des cartes de chaleur (pour la supervision de l’entraînement) et des coordonnées de régression directe</w:t>
      </w:r>
      <w:r>
        <w:t xml:space="preserve"> </w:t>
      </w:r>
      <m:oMath>
        <m:r>
          <m:rPr>
            <m:sty m:val="p"/>
          </m:rPr>
          <m:t>(</m:t>
        </m:r>
        <m:r>
          <m:t>x</m:t>
        </m:r>
        <m:r>
          <m:rPr>
            <m:sty m:val="p"/>
          </m:rPr>
          <m:t>,</m:t>
        </m:r>
        <m:r>
          <m:t>y</m:t>
        </m:r>
        <m:r>
          <m:rPr>
            <m:sty m:val="p"/>
          </m:rPr>
          <m:t>,</m:t>
        </m:r>
        <m:r>
          <m:t>z</m:t>
        </m:r>
        <m:r>
          <m:rPr>
            <m:sty m:val="p"/>
          </m:rPr>
          <m:t>,</m:t>
        </m:r>
        <m:r>
          <m:rPr>
            <m:nor/>
            <m:sty m:val="p"/>
          </m:rPr>
          <m:t>visibilité</m:t>
        </m:r>
        <m:r>
          <m:rPr>
            <m:sty m:val="p"/>
          </m:rPr>
          <m:t>)</m:t>
        </m:r>
      </m:oMath>
      <w:r>
        <w:t xml:space="preserve"> </w:t>
      </w:r>
      <w:r>
        <w:t xml:space="preserve">pour l’inférence.</w:t>
      </w:r>
    </w:p>
    <w:p>
      <w:pPr>
        <w:pStyle w:val="FirstParagraph"/>
      </w:pPr>
      <w:r>
        <w:t xml:space="preserve">La coordonnée</w:t>
      </w:r>
      <w:r>
        <w:t xml:space="preserve"> </w:t>
      </w:r>
      <m:oMath>
        <m:r>
          <m:t>z</m:t>
        </m:r>
      </m:oMath>
      <w:r>
        <w:t xml:space="preserve"> </w:t>
      </w:r>
      <w:r>
        <w:t xml:space="preserve">estimée est relative au centre des hanches et exprimée dans une échelle normalisée par la longueur du torse. Cette estimation de profondeur relative, bien que utile, ne constitue pas une reconstruction 3D métrique absolue </w:t>
      </w:r>
      <w:r>
        <w:t xml:space="preserve">[25]</w:t>
      </w:r>
      <w:r>
        <w:t xml:space="preserve"> ; c’est pourquoi notre système lui substitue une triangulation multi-vues rigoureuse.</w:t>
      </w:r>
    </w:p>
    <w:bookmarkEnd w:id="31"/>
    <w:bookmarkStart w:id="32" w:name="avantages.-1"/>
    <w:p>
      <w:pPr>
        <w:pStyle w:val="Heading5"/>
      </w:pPr>
      <w:r>
        <w:t xml:space="preserve">Avantages.</w:t>
      </w:r>
    </w:p>
    <w:p>
      <w:pPr>
        <w:numPr>
          <w:ilvl w:val="0"/>
          <w:numId w:val="1008"/>
        </w:numPr>
      </w:pPr>
      <w:r>
        <w:t xml:space="preserve">Déploiement natif multi-plateforme : Android, iOS, Web (WASM), Python.</w:t>
      </w:r>
    </w:p>
    <w:p>
      <w:pPr>
        <w:numPr>
          <w:ilvl w:val="0"/>
          <w:numId w:val="1008"/>
        </w:numPr>
      </w:pPr>
      <w:r>
        <w:t xml:space="preserve">Fusion de prédictions inter-frames pour une estimation temporellement stable.</w:t>
      </w:r>
    </w:p>
    <w:p>
      <w:pPr>
        <w:numPr>
          <w:ilvl w:val="0"/>
          <w:numId w:val="1008"/>
        </w:numPr>
      </w:pPr>
      <w:r>
        <w:t xml:space="preserve">API haut niveau simplifiée via le SDK MediaPipe (Python, Dart, JavaScript).</w:t>
      </w:r>
    </w:p>
    <w:bookmarkEnd w:id="32"/>
    <w:bookmarkStart w:id="33" w:name="limites.-1"/>
    <w:p>
      <w:pPr>
        <w:pStyle w:val="Heading5"/>
      </w:pPr>
      <w:r>
        <w:t xml:space="preserve">Limites.</w:t>
      </w:r>
    </w:p>
    <w:p>
      <w:pPr>
        <w:numPr>
          <w:ilvl w:val="0"/>
          <w:numId w:val="1009"/>
        </w:numPr>
      </w:pPr>
      <w:r>
        <w:t xml:space="preserve">Conçu pour une seule personne par frame : nécessite un pré-traitement de détection pour les scènes multi-personnes.</w:t>
      </w:r>
    </w:p>
    <w:p>
      <w:pPr>
        <w:numPr>
          <w:ilvl w:val="0"/>
          <w:numId w:val="1009"/>
        </w:numPr>
      </w:pPr>
      <w:r>
        <w:t xml:space="preserve">La précision de la coordonnée</w:t>
      </w:r>
      <w:r>
        <w:t xml:space="preserve"> </w:t>
      </w:r>
      <m:oMath>
        <m:r>
          <m:t>z</m:t>
        </m:r>
      </m:oMath>
      <w:r>
        <w:t xml:space="preserve"> </w:t>
      </w:r>
      <w:r>
        <w:t xml:space="preserve">reste approximative sans calibration caméra.</w:t>
      </w:r>
    </w:p>
    <w:p>
      <w:pPr>
        <w:numPr>
          <w:ilvl w:val="0"/>
          <w:numId w:val="1009"/>
        </w:numPr>
      </w:pPr>
      <w:r>
        <w:t xml:space="preserve">Performances dégradées sur des poses très atypiques ou vu sous des angles extrêmes.</w:t>
      </w:r>
    </w:p>
    <w:bookmarkEnd w:id="33"/>
    <w:bookmarkEnd w:id="34"/>
    <w:bookmarkStart w:id="35" w:name="yolo-pose-yolov8-pose"/>
    <w:p>
      <w:pPr>
        <w:pStyle w:val="Heading3"/>
      </w:pPr>
      <w:r>
        <w:t xml:space="preserve">YOLO-Pose (YOLOv8 Pose)</w:t>
      </w:r>
    </w:p>
    <w:p>
      <w:pPr>
        <w:pStyle w:val="FirstParagraph"/>
      </w:pPr>
      <w:r>
        <w:t xml:space="preserve">YOLOv8 Pose </w:t>
      </w:r>
      <w:r>
        <w:t xml:space="preserve">[33]</w:t>
      </w:r>
      <w:r>
        <w:t xml:space="preserve"> </w:t>
      </w:r>
      <w:r>
        <w:t xml:space="preserve">étend l’architecture YOLO pour prédire conjointement les boîtes englobantes et les</w:t>
      </w:r>
      <w:r>
        <w:t xml:space="preserve"> </w:t>
      </w:r>
      <m:oMath>
        <m:r>
          <m:t>J</m:t>
        </m:r>
        <m:r>
          <m:rPr>
            <m:sty m:val="p"/>
          </m:rPr>
          <m:t>=</m:t>
        </m:r>
        <m:r>
          <m:t>17</m:t>
        </m:r>
      </m:oMath>
      <w:r>
        <w:t xml:space="preserve"> </w:t>
      </w:r>
      <w:r>
        <w:t xml:space="preserve">keypoints COCO d’une ou plusieurs personnes en un seul passage réseau. Cette approche unifiée (</w:t>
      </w:r>
      <w:r>
        <w:rPr>
          <w:i/>
          <w:iCs/>
        </w:rPr>
        <w:t xml:space="preserve">single-stage</w:t>
      </w:r>
      <w:r>
        <w:t xml:space="preserve">) élimine le besoin d’un détecteur séparé, offrant un excellent compromis vitesse/précision pour les applications en temps réel </w:t>
      </w:r>
      <w:r>
        <w:t xml:space="preserve">[34]</w:t>
      </w:r>
      <w:r>
        <w:t xml:space="preserve">. Dans notre système, elle constitue la troisième option configurable du pipeline modulaire.</w:t>
      </w:r>
    </w:p>
    <w:bookmarkEnd w:id="35"/>
    <w:bookmarkEnd w:id="36"/>
    <w:bookmarkStart w:id="46" w:name="sec:reconstruction3d"/>
    <w:p>
      <w:pPr>
        <w:pStyle w:val="Heading2"/>
      </w:pPr>
      <w:r>
        <w:t xml:space="preserve">Reconstruction 3D de la pose humaine</w:t>
      </w:r>
    </w:p>
    <w:bookmarkStart w:id="40" w:name="méthodes-exploitant-la-2d-lifting"/>
    <w:p>
      <w:pPr>
        <w:pStyle w:val="Heading3"/>
      </w:pPr>
      <w:r>
        <w:t xml:space="preserve">Méthodes exploitant la 2D (</w:t>
      </w:r>
      <w:r>
        <w:rPr>
          <w:i/>
          <w:iCs/>
        </w:rPr>
        <w:t xml:space="preserve">Lifting</w:t>
      </w:r>
      <w:r>
        <w:t xml:space="preserve">)</w:t>
      </w:r>
    </w:p>
    <w:p>
      <w:pPr>
        <w:pStyle w:val="FirstParagraph"/>
      </w:pPr>
      <w:r>
        <w:t xml:space="preserve">Les méthodes de</w:t>
      </w:r>
      <w:r>
        <w:t xml:space="preserve"> </w:t>
      </w:r>
      <w:r>
        <w:rPr>
          <w:i/>
          <w:iCs/>
        </w:rPr>
        <w:t xml:space="preserve">lifting</w:t>
      </w:r>
      <w:r>
        <w:t xml:space="preserve"> </w:t>
      </w:r>
      <w:r>
        <w:t xml:space="preserve">consistent à inférer les coordonnées 3D des joints à partir d’observations 2D monoculaires, via un réseau de neurones appris sur des paires</w:t>
      </w:r>
      <w:r>
        <w:t xml:space="preserve"> </w:t>
      </w:r>
      <m:oMath>
        <m:r>
          <m:rPr>
            <m:sty m:val="p"/>
          </m:rPr>
          <m:t>(</m:t>
        </m:r>
        <m:r>
          <m:t>p</m:t>
        </m:r>
        <m:r>
          <m:t>o</m:t>
        </m:r>
        <m:r>
          <m:t>s</m:t>
        </m:r>
        <m:sSub>
          <m:e>
            <m:r>
              <m:t>e</m:t>
            </m:r>
          </m:e>
          <m:sub>
            <m:r>
              <m:t>2</m:t>
            </m:r>
            <m:r>
              <m:t>D</m:t>
            </m:r>
          </m:sub>
        </m:sSub>
        <m:r>
          <m:rPr>
            <m:sty m:val="p"/>
          </m:rPr>
          <m:t>,</m:t>
        </m:r>
        <m:r>
          <m:t>p</m:t>
        </m:r>
        <m:r>
          <m:t>o</m:t>
        </m:r>
        <m:r>
          <m:t>s</m:t>
        </m:r>
        <m:sSub>
          <m:e>
            <m:r>
              <m:t>e</m:t>
            </m:r>
          </m:e>
          <m:sub>
            <m:r>
              <m:t>3</m:t>
            </m:r>
            <m:r>
              <m:t>D</m:t>
            </m:r>
          </m:sub>
        </m:sSub>
        <m:r>
          <m:rPr>
            <m:sty m:val="p"/>
          </m:rPr>
          <m:t>)</m:t>
        </m:r>
      </m:oMath>
      <w:r>
        <w:t xml:space="preserve"> </w:t>
      </w:r>
      <w:r>
        <w:t xml:space="preserve">[34]</w:t>
      </w:r>
      <w:r>
        <w:t xml:space="preserve">. Elles ne constituent pas le cœur de notre approche mais présentent un intérêt pour comparaison.</w:t>
      </w:r>
    </w:p>
    <w:bookmarkStart w:id="37" w:name="martinez-et-al.-2017."/>
    <w:p>
      <w:pPr>
        <w:pStyle w:val="Heading5"/>
      </w:pPr>
      <w:r>
        <w:t xml:space="preserve">Martinez et al. (2017).</w:t>
      </w:r>
    </w:p>
    <w:p>
      <w:pPr>
        <w:pStyle w:val="FirstParagraph"/>
      </w:pPr>
      <w:r>
        <w:t xml:space="preserve">Martinez et al. </w:t>
      </w:r>
      <w:r>
        <w:t xml:space="preserve">[39]</w:t>
      </w:r>
      <w:r>
        <w:t xml:space="preserve"> </w:t>
      </w:r>
      <w:r>
        <w:t xml:space="preserve">ont montré qu’une architecture MLP simple, par ailleurs peu profonde, mais équipée de connexions résiduelles et de couches de</w:t>
      </w:r>
      <w:r>
        <w:t xml:space="preserve"> </w:t>
      </w:r>
      <w:r>
        <w:rPr>
          <w:i/>
          <w:iCs/>
        </w:rPr>
        <w:t xml:space="preserve">batch normalization</w:t>
      </w:r>
      <w:r>
        <w:t xml:space="preserve">, permettait d’atteindre des performances état de l’art sur le dataset Human3.6M pour le lifting 2D→3D. Cette simplicité architecturale a mis en évidence que la difficulté principale réside dans la représentation 2D en entrée, et non dans la complexité du modèle.</w:t>
      </w:r>
    </w:p>
    <w:bookmarkEnd w:id="37"/>
    <w:bookmarkStart w:id="38" w:name="Xc671a8ceeb68fb4f732ef9b0e4fdc1fd31be161"/>
    <w:p>
      <w:pPr>
        <w:pStyle w:val="Heading5"/>
      </w:pPr>
      <w:r>
        <w:t xml:space="preserve">Pavllo et al. (2019) — Estimation 3D par vidéo monoculaire.</w:t>
      </w:r>
    </w:p>
    <w:p>
      <w:pPr>
        <w:pStyle w:val="FirstParagraph"/>
      </w:pPr>
      <w:r>
        <w:t xml:space="preserve">Pavllo et al. </w:t>
      </w:r>
      <w:r>
        <w:t xml:space="preserve">[29]</w:t>
      </w:r>
      <w:r>
        <w:t xml:space="preserve"> </w:t>
      </w:r>
      <w:r>
        <w:t xml:space="preserve">ont proposé une approche temporelle exploitant des convolutions temporelles dilatées (</w:t>
      </w:r>
      <w:r>
        <w:rPr>
          <w:i/>
          <w:iCs/>
        </w:rPr>
        <w:t xml:space="preserve">Dilated Temporal Convolutions</w:t>
      </w:r>
      <w:r>
        <w:t xml:space="preserve">) pour estimer la pose 3D d’une fenêtre de frames vidéo. Le modèle agrège le contexte temporel d’une fenêtre de</w:t>
      </w:r>
      <w:r>
        <w:t xml:space="preserve"> </w:t>
      </w:r>
      <m:oMath>
        <m:r>
          <m:t>T</m:t>
        </m:r>
      </m:oMath>
      <w:r>
        <w:t xml:space="preserve"> </w:t>
      </w:r>
      <w:r>
        <w:t xml:space="preserve">frames (typiquement de 27 à 243 frames) via des blocs de convolutions causales dilatées, permettant de lever une partie de l’ambiguïté inhérente à la monoculaire grâce au mouvement apparent. Il reste cependant fondamentalement monoculaire et sujet aux erreurs d’échelle absolue.</w:t>
      </w:r>
    </w:p>
    <w:bookmarkEnd w:id="38"/>
    <w:bookmarkStart w:id="39" w:name="remarque."/>
    <w:p>
      <w:pPr>
        <w:pStyle w:val="Heading5"/>
      </w:pPr>
      <w:r>
        <w:t xml:space="preserve">Remarque.</w:t>
      </w:r>
    </w:p>
    <w:p>
      <w:pPr>
        <w:pStyle w:val="FirstParagraph"/>
      </w:pPr>
      <w:r>
        <w:t xml:space="preserve">Ces approches de</w:t>
      </w:r>
      <w:r>
        <w:t xml:space="preserve"> </w:t>
      </w:r>
      <w:r>
        <w:rPr>
          <w:i/>
          <w:iCs/>
        </w:rPr>
        <w:t xml:space="preserve">lifting</w:t>
      </w:r>
      <w:r>
        <w:t xml:space="preserve"> </w:t>
      </w:r>
      <w:r>
        <w:t xml:space="preserve">ne sont pas utilisées dans notre système final, qui leur préfère la triangulation multi-vues décrite ci-après, plus rigoureuse et métriquement précise.</w:t>
      </w:r>
    </w:p>
    <w:bookmarkEnd w:id="39"/>
    <w:bookmarkEnd w:id="40"/>
    <w:bookmarkStart w:id="45" w:name="subsec:calibration"/>
    <w:p>
      <w:pPr>
        <w:pStyle w:val="Heading3"/>
      </w:pPr>
      <w:r>
        <w:t xml:space="preserve">Calibration des caméras</w:t>
      </w:r>
    </w:p>
    <w:p>
      <w:pPr>
        <w:pStyle w:val="FirstParagraph"/>
      </w:pPr>
      <w:r>
        <w:t xml:space="preserve">La calibration des caméras est l’</w:t>
      </w:r>
      <w:r>
        <w:rPr>
          <w:i/>
          <w:iCs/>
        </w:rPr>
        <w:t xml:space="preserve">étape fondatrice</w:t>
      </w:r>
      <w:r>
        <w:t xml:space="preserve"> </w:t>
      </w:r>
      <w:r>
        <w:t xml:space="preserve">de notre pipeline de reconstruction 3D. Elle vise à déterminer les paramètres du modèle de formation d’image afin de relier de manière bijective les coordonnées 3D du monde réel aux coordonnées 2D de l’image </w:t>
      </w:r>
      <w:r>
        <w:t xml:space="preserve">[40]</w:t>
      </w:r>
      <w:r>
        <w:t xml:space="preserve">.</w:t>
      </w:r>
    </w:p>
    <w:bookmarkStart w:id="41" w:name="paramètres-intrinsèques"/>
    <w:p>
      <w:pPr>
        <w:pStyle w:val="Heading4"/>
      </w:pPr>
      <w:r>
        <w:t xml:space="preserve">Paramètres intrinsèques</w:t>
      </w:r>
    </w:p>
    <w:p>
      <w:pPr>
        <w:pStyle w:val="FirstParagraph"/>
      </w:pPr>
      <w:r>
        <w:t xml:space="preserve">Les paramètres intrinsèques</w:t>
      </w:r>
      <w:r>
        <w:t xml:space="preserve"> </w:t>
      </w:r>
      <m:oMath>
        <m:r>
          <m:rPr>
            <m:sty m:val="bi"/>
          </m:rPr>
          <m:t>K</m:t>
        </m:r>
      </m:oMath>
      <w:r>
        <w:t xml:space="preserve"> </w:t>
      </w:r>
      <w:r>
        <w:t xml:space="preserve">modélisent le processus de projection perspective propre à chaque caméra </w:t>
      </w:r>
      <w:r>
        <w:t xml:space="preserve">[41]</w:t>
      </w:r>
      <w:r>
        <w:t xml:space="preserve"> </w:t>
      </w:r>
      <w:r>
        <w:t xml:space="preserve">:</w:t>
      </w:r>
    </w:p>
    <w:p>
      <w:pPr>
        <w:pStyle w:val="BodyText"/>
      </w:pPr>
      <m:oMathPara>
        <m:oMathParaPr>
          <m:jc m:val="center"/>
        </m:oMathParaPr>
        <m:oMath>
          <m:r>
            <m:rPr>
              <m:sty m:val="bi"/>
            </m:rP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f</m:t>
                        </m:r>
                      </m:e>
                      <m:sub>
                        <m:r>
                          <m:t>x</m:t>
                        </m:r>
                      </m:sub>
                    </m:sSub>
                  </m:e>
                  <m:e>
                    <m:r>
                      <m:t>0</m:t>
                    </m:r>
                  </m:e>
                  <m:e>
                    <m:sSub>
                      <m:e>
                        <m:r>
                          <m:t>c</m:t>
                        </m:r>
                      </m:e>
                      <m:sub>
                        <m:r>
                          <m:t>x</m:t>
                        </m:r>
                      </m:sub>
                    </m:sSub>
                  </m:e>
                </m:mr>
                <m:mr>
                  <m:e>
                    <m:r>
                      <m:t>0</m:t>
                    </m:r>
                  </m:e>
                  <m:e>
                    <m:sSub>
                      <m:e>
                        <m:r>
                          <m:t>f</m:t>
                        </m:r>
                      </m:e>
                      <m:sub>
                        <m:r>
                          <m:t>y</m:t>
                        </m:r>
                      </m:sub>
                    </m:sSub>
                  </m:e>
                  <m:e>
                    <m:sSub>
                      <m:e>
                        <m:r>
                          <m:t>c</m:t>
                        </m:r>
                      </m:e>
                      <m:sub>
                        <m:r>
                          <m:t>y</m:t>
                        </m:r>
                      </m:sub>
                    </m:sSub>
                  </m:e>
                </m:mr>
                <m:mr>
                  <m:e>
                    <m:r>
                      <m:t>0</m:t>
                    </m:r>
                  </m:e>
                  <m:e>
                    <m:r>
                      <m:t>0</m:t>
                    </m:r>
                  </m:e>
                  <m:e>
                    <m:r>
                      <m:t>1</m:t>
                    </m:r>
                  </m:e>
                </m:mr>
              </m:m>
            </m:e>
          </m:d>
        </m:oMath>
      </m:oMathPara>
    </w:p>
    <w:p>
      <w:pPr>
        <w:pStyle w:val="FirstParagraph"/>
      </w:pPr>
      <w:r>
        <w:t xml:space="preserve">où</w:t>
      </w:r>
      <w:r>
        <w:t xml:space="preserve"> </w:t>
      </w:r>
      <m:oMath>
        <m:sSub>
          <m:e>
            <m:r>
              <m:t>f</m:t>
            </m:r>
          </m:e>
          <m:sub>
            <m:r>
              <m:t>x</m:t>
            </m:r>
          </m:sub>
        </m:sSub>
        <m:r>
          <m:rPr>
            <m:sty m:val="p"/>
          </m:rPr>
          <m:t>,</m:t>
        </m:r>
        <m:sSub>
          <m:e>
            <m:r>
              <m:t>f</m:t>
            </m:r>
          </m:e>
          <m:sub>
            <m:r>
              <m:t>y</m:t>
            </m:r>
          </m:sub>
        </m:sSub>
      </m:oMath>
      <w:r>
        <w:t xml:space="preserve"> </w:t>
      </w:r>
      <w:r>
        <w:t xml:space="preserve">sont les distances focales exprimées en pixels selon les axes x et y, et</w:t>
      </w:r>
      <w:r>
        <w:t xml:space="preserve"> </w:t>
      </w:r>
      <m:oMath>
        <m:r>
          <m:rPr>
            <m:sty m:val="p"/>
          </m:rPr>
          <m:t>(</m:t>
        </m:r>
        <m:sSub>
          <m:e>
            <m:r>
              <m:t>c</m:t>
            </m:r>
          </m:e>
          <m:sub>
            <m:r>
              <m:t>x</m:t>
            </m:r>
          </m:sub>
        </m:sSub>
        <m:r>
          <m:rPr>
            <m:sty m:val="p"/>
          </m:rPr>
          <m:t>,</m:t>
        </m:r>
        <m:sSub>
          <m:e>
            <m:r>
              <m:t>c</m:t>
            </m:r>
          </m:e>
          <m:sub>
            <m:r>
              <m:t>y</m:t>
            </m:r>
          </m:sub>
        </m:sSub>
        <m:r>
          <m:rPr>
            <m:sty m:val="p"/>
          </m:rPr>
          <m:t>)</m:t>
        </m:r>
      </m:oMath>
      <w:r>
        <w:t xml:space="preserve"> </w:t>
      </w:r>
      <w:r>
        <w:t xml:space="preserve">est le point principal (centre optique dans le plan image). À ces paramètres s’ajoutent les coefficients de distorsion radiale</w:t>
      </w:r>
      <w:r>
        <w:t xml:space="preserve"> </w:t>
      </w:r>
      <m:oMath>
        <m:r>
          <m:rPr>
            <m:sty m:val="p"/>
          </m:rPr>
          <m:t>(</m:t>
        </m:r>
        <m:sSub>
          <m:e>
            <m:r>
              <m:t>k</m:t>
            </m:r>
          </m:e>
          <m:sub>
            <m:r>
              <m:t>1</m:t>
            </m:r>
          </m:sub>
        </m:sSub>
        <m:r>
          <m:rPr>
            <m:sty m:val="p"/>
          </m:rPr>
          <m:t>,</m:t>
        </m:r>
        <m:sSub>
          <m:e>
            <m:r>
              <m:t>k</m:t>
            </m:r>
          </m:e>
          <m:sub>
            <m:r>
              <m:t>2</m:t>
            </m:r>
          </m:sub>
        </m:sSub>
        <m:r>
          <m:rPr>
            <m:sty m:val="p"/>
          </m:rPr>
          <m:t>,</m:t>
        </m:r>
        <m:sSub>
          <m:e>
            <m:r>
              <m:t>k</m:t>
            </m:r>
          </m:e>
          <m:sub>
            <m:r>
              <m:t>3</m:t>
            </m:r>
          </m:sub>
        </m:sSub>
        <m:r>
          <m:rPr>
            <m:sty m:val="p"/>
          </m:rPr>
          <m:t>)</m:t>
        </m:r>
      </m:oMath>
      <w:r>
        <w:t xml:space="preserve"> </w:t>
      </w:r>
      <w:r>
        <w:t xml:space="preserve">et tangentielle</w:t>
      </w:r>
      <w:r>
        <w:t xml:space="preserve"> </w:t>
      </w:r>
      <m:oMath>
        <m:r>
          <m:rPr>
            <m:sty m:val="p"/>
          </m:rPr>
          <m:t>(</m:t>
        </m:r>
        <m:sSub>
          <m:e>
            <m:r>
              <m:t>p</m:t>
            </m:r>
          </m:e>
          <m:sub>
            <m:r>
              <m:t>1</m:t>
            </m:r>
          </m:sub>
        </m:sSub>
        <m:r>
          <m:rPr>
            <m:sty m:val="p"/>
          </m:rPr>
          <m:t>,</m:t>
        </m:r>
        <m:sSub>
          <m:e>
            <m:r>
              <m:t>p</m:t>
            </m:r>
          </m:e>
          <m:sub>
            <m:r>
              <m:t>2</m:t>
            </m:r>
          </m:sub>
        </m:sSub>
        <m:r>
          <m:rPr>
            <m:sty m:val="p"/>
          </m:rPr>
          <m:t>)</m:t>
        </m:r>
      </m:oMath>
      <w:r>
        <w:t xml:space="preserve"> </w:t>
      </w:r>
      <w:r>
        <w:t xml:space="preserve">modélisant les déformations géométriques introduites par les lentilles réelles </w:t>
      </w:r>
      <w:r>
        <w:t xml:space="preserve">[41]</w:t>
      </w:r>
      <w:r>
        <w:t xml:space="preserve">.</w:t>
      </w:r>
    </w:p>
    <w:bookmarkEnd w:id="41"/>
    <w:bookmarkStart w:id="42" w:name="paramètres-extrinsèques"/>
    <w:p>
      <w:pPr>
        <w:pStyle w:val="Heading4"/>
      </w:pPr>
      <w:r>
        <w:t xml:space="preserve">Paramètres extrinsèques</w:t>
      </w:r>
    </w:p>
    <w:p>
      <w:pPr>
        <w:pStyle w:val="FirstParagraph"/>
      </w:pPr>
      <w:r>
        <w:t xml:space="preserve">Les paramètres extrinsèques définissent la position et l’orientation de chaque caméra dans un référentiel monde commun, via une matrice de rotation</w:t>
      </w:r>
      <w:r>
        <w:t xml:space="preserve"> </w:t>
      </w:r>
      <m:oMath>
        <m:r>
          <m:rPr>
            <m:sty m:val="bi"/>
          </m:rPr>
          <m:t>R</m:t>
        </m:r>
        <m:r>
          <m:rPr>
            <m:sty m:val="p"/>
          </m:rPr>
          <m:t>∈</m:t>
        </m:r>
        <m:r>
          <m:t>S</m:t>
        </m:r>
        <m:r>
          <m:t>O</m:t>
        </m:r>
        <m:r>
          <m:rPr>
            <m:sty m:val="p"/>
          </m:rPr>
          <m:t>(</m:t>
        </m:r>
        <m:r>
          <m:t>3</m:t>
        </m:r>
        <m:r>
          <m:rPr>
            <m:sty m:val="p"/>
          </m:rPr>
          <m:t>)</m:t>
        </m:r>
      </m:oMath>
      <w:r>
        <w:t xml:space="preserve"> </w:t>
      </w:r>
      <w:r>
        <w:t xml:space="preserve">et un vecteur de translation</w:t>
      </w:r>
      <w:r>
        <w:t xml:space="preserve"> </w:t>
      </w:r>
      <m:oMath>
        <m:r>
          <m:rPr>
            <m:sty m:val="bi"/>
          </m:rPr>
          <m:t>t</m:t>
        </m:r>
        <m:r>
          <m:rPr>
            <m:sty m:val="p"/>
          </m:rPr>
          <m:t>∈</m:t>
        </m:r>
        <m:sSup>
          <m:e>
            <m:r>
              <m:rPr>
                <m:scr m:val="double-struck"/>
                <m:sty m:val="p"/>
              </m:rPr>
              <m:t>R</m:t>
            </m:r>
          </m:e>
          <m:sup>
            <m:r>
              <m:t>3</m:t>
            </m:r>
          </m:sup>
        </m:sSup>
      </m:oMath>
      <w:r>
        <w:t xml:space="preserve"> </w:t>
      </w:r>
      <w:r>
        <w:t xml:space="preserve">[40]</w:t>
      </w:r>
      <w:r>
        <w:t xml:space="preserve"> </w:t>
      </w:r>
      <w:r>
        <w:t xml:space="preserve">:</w:t>
      </w:r>
    </w:p>
    <w:p>
      <w:pPr>
        <w:pStyle w:val="BodyText"/>
      </w:pPr>
      <m:oMathPara>
        <m:oMathParaPr>
          <m:jc m:val="center"/>
        </m:oMathParaPr>
        <m:oMath>
          <m:r>
            <m:rPr>
              <m:sty m:val="bi"/>
            </m:rPr>
            <m:t>T</m:t>
          </m:r>
          <m:r>
            <m:rPr>
              <m:sty m:val="p"/>
            </m:rPr>
            <m:t>=</m:t>
          </m:r>
          <m:r>
            <m:rPr>
              <m:sty m:val="p"/>
            </m:rPr>
            <m:t>[</m:t>
          </m:r>
          <m:r>
            <m:rPr>
              <m:sty m:val="bi"/>
            </m:rPr>
            <m:t>R</m:t>
          </m:r>
          <m:r>
            <m:rPr>
              <m:sty m:val="p"/>
            </m:rPr>
            <m:t>|</m:t>
          </m:r>
          <m:r>
            <m:rPr>
              <m:sty m:val="bi"/>
            </m:rPr>
            <m:t>t</m:t>
          </m:r>
          <m:r>
            <m:rPr>
              <m:sty m:val="p"/>
            </m:rPr>
            <m:t>]</m:t>
          </m:r>
          <m:r>
            <m:rPr>
              <m:sty m:val="p"/>
            </m:rPr>
            <m:t>∈</m:t>
          </m:r>
          <m:sSup>
            <m:e>
              <m:r>
                <m:rPr>
                  <m:scr m:val="double-struck"/>
                  <m:sty m:val="p"/>
                </m:rPr>
                <m:t>R</m:t>
              </m:r>
            </m:e>
            <m:sup>
              <m:r>
                <m:t>3</m:t>
              </m:r>
              <m:r>
                <m:rPr>
                  <m:sty m:val="p"/>
                </m:rPr>
                <m:t>×</m:t>
              </m:r>
              <m:r>
                <m:t>4</m:t>
              </m:r>
            </m:sup>
          </m:sSup>
        </m:oMath>
      </m:oMathPara>
    </w:p>
    <w:bookmarkEnd w:id="42"/>
    <w:bookmarkStart w:id="43" w:name="matrice-de-projection-et-triangulation"/>
    <w:p>
      <w:pPr>
        <w:pStyle w:val="Heading4"/>
      </w:pPr>
      <w:r>
        <w:t xml:space="preserve">Matrice de projection et triangulation</w:t>
      </w:r>
    </w:p>
    <w:p>
      <w:pPr>
        <w:pStyle w:val="FirstParagraph"/>
      </w:pPr>
      <w:r>
        <w:t xml:space="preserve">La matrice de projection complète de la caméra</w:t>
      </w:r>
      <w:r>
        <w:t xml:space="preserve"> </w:t>
      </w:r>
      <m:oMath>
        <m:r>
          <m:t>i</m:t>
        </m:r>
      </m:oMath>
      <w:r>
        <w:t xml:space="preserve"> </w:t>
      </w:r>
      <w:r>
        <w:t xml:space="preserve">est définie par </w:t>
      </w:r>
      <w:r>
        <w:t xml:space="preserve">[40]</w:t>
      </w:r>
      <w:r>
        <w:t xml:space="preserve"> </w:t>
      </w:r>
      <w:r>
        <w:t xml:space="preserve">:</w:t>
      </w:r>
    </w:p>
    <w:p>
      <w:pPr>
        <w:pStyle w:val="BodyText"/>
      </w:pPr>
      <m:oMathPara>
        <m:oMathParaPr>
          <m:jc m:val="center"/>
        </m:oMathParaPr>
        <m:oMath>
          <m:sSub>
            <m:e>
              <m:r>
                <m:rPr>
                  <m:sty m:val="bi"/>
                </m:rPr>
                <m:t>P</m:t>
              </m:r>
            </m:e>
            <m:sub>
              <m:r>
                <m:t>i</m:t>
              </m:r>
            </m:sub>
          </m:sSub>
          <m:r>
            <m:rPr>
              <m:sty m:val="p"/>
            </m:rPr>
            <m:t>=</m:t>
          </m:r>
          <m:sSub>
            <m:e>
              <m:r>
                <m:rPr>
                  <m:sty m:val="bi"/>
                </m:rPr>
                <m:t>K</m:t>
              </m:r>
            </m:e>
            <m:sub>
              <m:r>
                <m:t>i</m:t>
              </m:r>
            </m:sub>
          </m:sSub>
          <m:r>
            <m:rPr>
              <m:sty m:val="p"/>
            </m:rPr>
            <m:t>[</m:t>
          </m:r>
          <m:sSub>
            <m:e>
              <m:r>
                <m:rPr>
                  <m:sty m:val="bi"/>
                </m:rPr>
                <m:t>R</m:t>
              </m:r>
            </m:e>
            <m:sub>
              <m:r>
                <m:t>i</m:t>
              </m:r>
            </m:sub>
          </m:sSub>
          <m:r>
            <m:rPr>
              <m:sty m:val="p"/>
            </m:rPr>
            <m:t>|</m:t>
          </m:r>
          <m:sSub>
            <m:e>
              <m:r>
                <m:rPr>
                  <m:sty m:val="bi"/>
                </m:rPr>
                <m:t>t</m:t>
              </m:r>
            </m:e>
            <m:sub>
              <m:r>
                <m:t>i</m:t>
              </m:r>
            </m:sub>
          </m:sSub>
          <m:r>
            <m:rPr>
              <m:sty m:val="p"/>
            </m:rPr>
            <m:t>]</m:t>
          </m:r>
        </m:oMath>
      </m:oMathPara>
    </w:p>
    <w:p>
      <w:pPr>
        <w:pStyle w:val="FirstParagraph"/>
      </w:pPr>
      <w:r>
        <w:t xml:space="preserve">La</w:t>
      </w:r>
      <w:r>
        <w:t xml:space="preserve"> </w:t>
      </w:r>
      <w:r>
        <w:rPr>
          <w:b/>
          <w:bCs/>
        </w:rPr>
        <w:t xml:space="preserve">triangulation</w:t>
      </w:r>
      <w:r>
        <w:t xml:space="preserve"> </w:t>
      </w:r>
      <w:r>
        <w:t xml:space="preserve">consiste à retrouver le point 3D</w:t>
      </w:r>
      <w:r>
        <w:t xml:space="preserve"> </w:t>
      </w:r>
      <m:oMath>
        <m:r>
          <m:rPr>
            <m:sty m:val="bi"/>
          </m:rPr>
          <m:t>X</m:t>
        </m:r>
        <m:r>
          <m:rPr>
            <m:sty m:val="p"/>
          </m:rPr>
          <m:t>=</m:t>
        </m:r>
        <m:r>
          <m:rPr>
            <m:sty m:val="p"/>
          </m:rPr>
          <m:t>(</m:t>
        </m:r>
        <m:r>
          <m:t>X</m:t>
        </m:r>
        <m:r>
          <m:rPr>
            <m:sty m:val="p"/>
          </m:rPr>
          <m:t>,</m:t>
        </m:r>
        <m:r>
          <m:t>Y</m:t>
        </m:r>
        <m:r>
          <m:rPr>
            <m:sty m:val="p"/>
          </m:rPr>
          <m:t>,</m:t>
        </m:r>
        <m:r>
          <m:t>Z</m:t>
        </m:r>
        <m:sSup>
          <m:e>
            <m:r>
              <m:rPr>
                <m:sty m:val="p"/>
              </m:rPr>
              <m:t>)</m:t>
            </m:r>
          </m:e>
          <m:sup>
            <m:r>
              <m:rPr>
                <m:sty m:val="p"/>
              </m:rPr>
              <m:t>⊤</m:t>
            </m:r>
          </m:sup>
        </m:sSup>
      </m:oMath>
      <w:r>
        <w:t xml:space="preserve"> </w:t>
      </w:r>
      <w:r>
        <w:t xml:space="preserve">à partir de ses projections</w:t>
      </w:r>
      <w:r>
        <w:t xml:space="preserve"> </w:t>
      </w:r>
      <m:oMath>
        <m:sSub>
          <m:e>
            <m:r>
              <m:rPr>
                <m:sty m:val="bi"/>
              </m:rPr>
              <m:t>x</m:t>
            </m:r>
          </m:e>
          <m:sub>
            <m:r>
              <m:t>i</m:t>
            </m:r>
          </m:sub>
        </m:sSub>
        <m:r>
          <m:rPr>
            <m:sty m:val="p"/>
          </m:rPr>
          <m:t>=</m:t>
        </m:r>
        <m:r>
          <m:rPr>
            <m:sty m:val="p"/>
          </m:rPr>
          <m:t>(</m:t>
        </m:r>
        <m:sSub>
          <m:e>
            <m:r>
              <m:t>u</m:t>
            </m:r>
          </m:e>
          <m:sub>
            <m:r>
              <m:t>i</m:t>
            </m:r>
          </m:sub>
        </m:sSub>
        <m:r>
          <m:rPr>
            <m:sty m:val="p"/>
          </m:rPr>
          <m:t>,</m:t>
        </m:r>
        <m:sSub>
          <m:e>
            <m:r>
              <m:t>v</m:t>
            </m:r>
          </m:e>
          <m:sub>
            <m:r>
              <m:t>i</m:t>
            </m:r>
          </m:sub>
        </m:sSub>
        <m:sSup>
          <m:e>
            <m:r>
              <m:rPr>
                <m:sty m:val="p"/>
              </m:rPr>
              <m:t>)</m:t>
            </m:r>
          </m:e>
          <m:sup>
            <m:r>
              <m:rPr>
                <m:sty m:val="p"/>
              </m:rPr>
              <m:t>⊤</m:t>
            </m:r>
          </m:sup>
        </m:sSup>
      </m:oMath>
      <w:r>
        <w:t xml:space="preserve"> </w:t>
      </w:r>
      <w:r>
        <w:t xml:space="preserve">dans chaque vue</w:t>
      </w:r>
      <w:r>
        <w:t xml:space="preserve"> </w:t>
      </w:r>
      <m:oMath>
        <m:r>
          <m:t>i</m:t>
        </m:r>
      </m:oMath>
      <w:r>
        <w:t xml:space="preserve">. À partir de la relation</w:t>
      </w:r>
      <w:r>
        <w:t xml:space="preserve"> </w:t>
      </w:r>
      <m:oMath>
        <m:sSub>
          <m:e>
            <m:r>
              <m:rPr>
                <m:sty m:val="bi"/>
              </m:rPr>
              <m:t>x</m:t>
            </m:r>
          </m:e>
          <m:sub>
            <m:r>
              <m:t>i</m:t>
            </m:r>
          </m:sub>
        </m:sSub>
        <m:r>
          <m:rPr>
            <m:sty m:val="p"/>
          </m:rPr>
          <m:t>∼</m:t>
        </m:r>
        <m:sSub>
          <m:e>
            <m:r>
              <m:rPr>
                <m:sty m:val="bi"/>
              </m:rPr>
              <m:t>P</m:t>
            </m:r>
          </m:e>
          <m:sub>
            <m:r>
              <m:t>i</m:t>
            </m:r>
          </m:sub>
        </m:sSub>
        <m:r>
          <m:rPr>
            <m:sty m:val="bi"/>
          </m:rPr>
          <m:t>X</m:t>
        </m:r>
      </m:oMath>
      <w:r>
        <w:t xml:space="preserve">, on peut écrire pour chaque vue deux équations linéaires indépendantes par développement du produit vectoriel</w:t>
      </w:r>
      <w:r>
        <w:t xml:space="preserve"> </w:t>
      </w:r>
      <m:oMath>
        <m:sSub>
          <m:e>
            <m:r>
              <m:rPr>
                <m:sty m:val="bi"/>
              </m:rPr>
              <m:t>x</m:t>
            </m:r>
          </m:e>
          <m:sub>
            <m:r>
              <m:t>i</m:t>
            </m:r>
          </m:sub>
        </m:sSub>
        <m:r>
          <m:rPr>
            <m:sty m:val="p"/>
          </m:rPr>
          <m:t>×</m:t>
        </m:r>
        <m:r>
          <m:rPr>
            <m:sty m:val="p"/>
          </m:rPr>
          <m:t>(</m:t>
        </m:r>
        <m:sSub>
          <m:e>
            <m:r>
              <m:rPr>
                <m:sty m:val="bi"/>
              </m:rPr>
              <m:t>P</m:t>
            </m:r>
          </m:e>
          <m:sub>
            <m:r>
              <m:t>i</m:t>
            </m:r>
          </m:sub>
        </m:sSub>
        <m:r>
          <m:rPr>
            <m:sty m:val="bi"/>
          </m:rPr>
          <m:t>X</m:t>
        </m:r>
        <m:r>
          <m:rPr>
            <m:sty m:val="p"/>
          </m:rPr>
          <m:t>)</m:t>
        </m:r>
        <m:r>
          <m:rPr>
            <m:sty m:val="p"/>
          </m:rPr>
          <m:t>=</m:t>
        </m:r>
        <m:r>
          <m:rPr>
            <m:sty m:val="b"/>
          </m:rPr>
          <m:t>0</m:t>
        </m:r>
      </m:oMath>
      <w:r>
        <w:t xml:space="preserve"> </w:t>
      </w:r>
      <w:r>
        <w:t xml:space="preserve">[40]</w:t>
      </w:r>
      <w:r>
        <w:t xml:space="preserve">. L’empilement de ces contraintes pour les</w:t>
      </w:r>
      <w:r>
        <w:t xml:space="preserve"> </w:t>
      </w:r>
      <m:oMath>
        <m:r>
          <m:t>N</m:t>
        </m:r>
      </m:oMath>
      <w:r>
        <w:t xml:space="preserve"> </w:t>
      </w:r>
      <w:r>
        <w:t xml:space="preserve">vues disponibles donne un système de la forme</w:t>
      </w:r>
      <w:r>
        <w:t xml:space="preserve"> </w:t>
      </w:r>
      <m:oMath>
        <m:r>
          <m:rPr>
            <m:sty m:val="bi"/>
          </m:rPr>
          <m:t>A</m:t>
        </m:r>
        <m:r>
          <m:rPr>
            <m:sty m:val="bi"/>
          </m:rPr>
          <m:t>X</m:t>
        </m:r>
        <m:r>
          <m:rPr>
            <m:sty m:val="p"/>
          </m:rPr>
          <m:t>=</m:t>
        </m:r>
        <m:r>
          <m:rPr>
            <m:sty m:val="b"/>
          </m:rPr>
          <m:t>0</m:t>
        </m:r>
      </m:oMath>
      <w:r>
        <w:t xml:space="preserve">, résolu par la méthode des moindres carrés via la décomposition SVD (</w:t>
      </w:r>
      <w:r>
        <w:rPr>
          <w:i/>
          <w:iCs/>
        </w:rPr>
        <w:t xml:space="preserve">Direct Linear Transform</w:t>
      </w:r>
      <w:r>
        <w:t xml:space="preserve">, DLT). Avec 4 caméras calibrées, le système est fortement surdéterminé, ce qui assure une robustesse accrue face aux imprécisions de localisation des keypoints 2D.</w:t>
      </w:r>
    </w:p>
    <w:bookmarkEnd w:id="43"/>
    <w:bookmarkStart w:id="44" w:name="X62a205c3bbd223c2ac0ca69a3a0f8ddc45703a1"/>
    <w:p>
      <w:pPr>
        <w:pStyle w:val="Heading4"/>
      </w:pPr>
      <w:r>
        <w:t xml:space="preserve">Méthode de calibration — Damier de Zhang / OpenCV</w:t>
      </w:r>
    </w:p>
    <w:p>
      <w:pPr>
        <w:pStyle w:val="FirstParagraph"/>
      </w:pPr>
      <w:r>
        <w:t xml:space="preserve">La méthode de Zhang </w:t>
      </w:r>
      <w:r>
        <w:t xml:space="preserve">[41]</w:t>
      </w:r>
      <w:r>
        <w:t xml:space="preserve">, implémentée dans la bibliothèque OpenCV </w:t>
      </w:r>
      <w:r>
        <w:t xml:space="preserve">[42]</w:t>
      </w:r>
      <w:r>
        <w:t xml:space="preserve">, constitue la référence pratique pour la calibration monoculaire et stéréoscopique. Elle exploite des images d’une mire planaire à motif en damier, dont les coins sont détectés automatiquement avec une précision sub-pixellique. À partir d’un minimum de trois positions distinctes de la mire, elle résout un système d’équations pour estimer</w:t>
      </w:r>
      <w:r>
        <w:t xml:space="preserve"> </w:t>
      </w:r>
      <m:oMath>
        <m:r>
          <m:rPr>
            <m:sty m:val="bi"/>
          </m:rPr>
          <m:t>K</m:t>
        </m:r>
      </m:oMath>
      <w:r>
        <w:t xml:space="preserve">, les coefficients de distorsion, et les paramètres extrinsèques de chaque vue par minimisation non linéaire de l’erreur de reprojection.</w:t>
      </w:r>
    </w:p>
    <w:p>
      <w:pPr>
        <w:pStyle w:val="BodyText"/>
      </w:pPr>
      <w:r>
        <w:t xml:space="preserve">Dans le dataset Fit3D exploité dans ce travail, les paramètres de calibration des quatre caméras sont fournis sous forme de fichiers JSON, encodant</w:t>
      </w:r>
      <w:r>
        <w:t xml:space="preserve"> </w:t>
      </w:r>
      <m:oMath>
        <m:r>
          <m:rPr>
            <m:sty m:val="bi"/>
          </m:rPr>
          <m:t>K</m:t>
        </m:r>
      </m:oMath>
      <w:r>
        <w:t xml:space="preserve">,</w:t>
      </w:r>
      <w:r>
        <w:t xml:space="preserve"> </w:t>
      </w:r>
      <m:oMath>
        <m:r>
          <m:rPr>
            <m:sty m:val="bi"/>
          </m:rPr>
          <m:t>R</m:t>
        </m:r>
      </m:oMath>
      <w:r>
        <w:t xml:space="preserve">,</w:t>
      </w:r>
      <w:r>
        <w:t xml:space="preserve"> </w:t>
      </w:r>
      <m:oMath>
        <m:r>
          <m:rPr>
            <m:sty m:val="bi"/>
          </m:rPr>
          <m:t>t</m:t>
        </m:r>
      </m:oMath>
      <w:r>
        <w:t xml:space="preserve"> </w:t>
      </w:r>
      <w:r>
        <w:t xml:space="preserve">et les coefficients de distorsion pour chaque caméra.</w:t>
      </w:r>
    </w:p>
    <w:bookmarkEnd w:id="44"/>
    <w:bookmarkEnd w:id="45"/>
    <w:bookmarkEnd w:id="46"/>
    <w:bookmarkStart w:id="56" w:name="sec:smpl"/>
    <w:p>
      <w:pPr>
        <w:pStyle w:val="Heading2"/>
      </w:pPr>
      <w:r>
        <w:t xml:space="preserve">Modèles de corps humain paramétriques</w:t>
      </w:r>
    </w:p>
    <w:p>
      <w:pPr>
        <w:pStyle w:val="FirstParagraph"/>
      </w:pPr>
      <w:r>
        <w:t xml:space="preserve">Les modèles de corps humain paramétriques représentent la forme et la pose d’un corps humain sous la forme d’un maillage 3D animable contrôlé par un ensemble compact de paramètres appris statistiquement à partir d’une grande collection de scans 3D de sujets humains </w:t>
      </w:r>
      <w:r>
        <w:t xml:space="preserve">[43]</w:t>
      </w:r>
      <w:r>
        <w:t xml:space="preserve">.</w:t>
      </w:r>
    </w:p>
    <w:bookmarkStart w:id="51" w:name="smpl-loper-et-al.-2015"/>
    <w:p>
      <w:pPr>
        <w:pStyle w:val="Heading3"/>
      </w:pPr>
      <w:r>
        <w:t xml:space="preserve">SMPL — Loper et al. (2015)</w:t>
      </w:r>
    </w:p>
    <w:p>
      <w:pPr>
        <w:pStyle w:val="FirstParagraph"/>
      </w:pPr>
      <w:r>
        <w:t xml:space="preserve">SMPL (</w:t>
      </w:r>
      <w:r>
        <w:rPr>
          <w:i/>
          <w:iCs/>
        </w:rPr>
        <w:t xml:space="preserve">Skinned Multi-Person Linear Model</w:t>
      </w:r>
      <w:r>
        <w:t xml:space="preserve">) </w:t>
      </w:r>
      <w:r>
        <w:t xml:space="preserve">[43]</w:t>
      </w:r>
      <w:r>
        <w:t xml:space="preserve"> </w:t>
      </w:r>
      <w:r>
        <w:t xml:space="preserve">est un modèle de corps humain paramétrique différentiable représentant un maillage de</w:t>
      </w:r>
      <w:r>
        <w:t xml:space="preserve"> </w:t>
      </w:r>
      <m:oMath>
        <m:r>
          <m:t>N</m:t>
        </m:r>
        <m:r>
          <m:rPr>
            <m:sty m:val="p"/>
          </m:rPr>
          <m:t>=</m:t>
        </m:r>
        <m:r>
          <m:t>6</m:t>
        </m:r>
        <m:r>
          <m:t> </m:t>
        </m:r>
        <m:r>
          <m:t>890</m:t>
        </m:r>
      </m:oMath>
      <w:r>
        <w:t xml:space="preserve"> </w:t>
      </w:r>
      <w:r>
        <w:t xml:space="preserve">sommets, contrôlé par deux vecteurs de paramètres : les paramètres de forme</w:t>
      </w:r>
      <w:r>
        <w:t xml:space="preserve"> </w:t>
      </w:r>
      <m:oMath>
        <m:r>
          <m:rPr>
            <m:sty m:val="bi"/>
          </m:rPr>
          <m:t>β</m:t>
        </m:r>
        <m:r>
          <m:rPr>
            <m:sty m:val="p"/>
          </m:rPr>
          <m:t>∈</m:t>
        </m:r>
        <m:sSup>
          <m:e>
            <m:r>
              <m:rPr>
                <m:scr m:val="double-struck"/>
                <m:sty m:val="p"/>
              </m:rPr>
              <m:t>R</m:t>
            </m:r>
          </m:e>
          <m:sup>
            <m:r>
              <m:rPr>
                <m:sty m:val="p"/>
              </m:rPr>
              <m:t>|</m:t>
            </m:r>
            <m:r>
              <m:rPr>
                <m:sty m:val="bi"/>
              </m:rPr>
              <m:t>β</m:t>
            </m:r>
            <m:r>
              <m:rPr>
                <m:sty m:val="p"/>
              </m:rPr>
              <m:t>|</m:t>
            </m:r>
          </m:sup>
        </m:sSup>
      </m:oMath>
      <w:r>
        <w:t xml:space="preserve"> </w:t>
      </w:r>
      <w:r>
        <w:t xml:space="preserve">et les paramètres de pose</w:t>
      </w:r>
      <w:r>
        <w:t xml:space="preserve"> </w:t>
      </w:r>
      <m:oMath>
        <m:r>
          <m:rPr>
            <m:sty m:val="bi"/>
          </m:rPr>
          <m:t>θ</m:t>
        </m:r>
        <m:r>
          <m:rPr>
            <m:sty m:val="p"/>
          </m:rPr>
          <m:t>∈</m:t>
        </m:r>
        <m:sSup>
          <m:e>
            <m:r>
              <m:rPr>
                <m:scr m:val="double-struck"/>
                <m:sty m:val="p"/>
              </m:rPr>
              <m:t>R</m:t>
            </m:r>
          </m:e>
          <m:sup>
            <m:r>
              <m:t>3</m:t>
            </m:r>
            <m:r>
              <m:t>K</m:t>
            </m:r>
          </m:sup>
        </m:sSup>
      </m:oMath>
      <w:r>
        <w:t xml:space="preserve"> </w:t>
      </w:r>
      <w:r>
        <w:t xml:space="preserve">où</w:t>
      </w:r>
      <w:r>
        <w:t xml:space="preserve"> </w:t>
      </w:r>
      <m:oMath>
        <m:r>
          <m:t>K</m:t>
        </m:r>
        <m:r>
          <m:rPr>
            <m:sty m:val="p"/>
          </m:rPr>
          <m:t>=</m:t>
        </m:r>
        <m:r>
          <m:t>23</m:t>
        </m:r>
      </m:oMath>
      <w:r>
        <w:t xml:space="preserve"> </w:t>
      </w:r>
      <w:r>
        <w:t xml:space="preserve">est le nombre d’articulations.</w:t>
      </w:r>
    </w:p>
    <w:bookmarkStart w:id="47" w:name="paramètres-de-forme-bmbeta."/>
    <w:p>
      <w:pPr>
        <w:pStyle w:val="Heading5"/>
      </w:pPr>
      <w:r>
        <w:t xml:space="preserve">Paramètres de forme (</w:t>
      </w:r>
      <m:oMath>
        <m:r>
          <m:rPr>
            <m:sty m:val="bi"/>
          </m:rPr>
          <m:t>β</m:t>
        </m:r>
      </m:oMath>
      <w:r>
        <w:t xml:space="preserve">).</w:t>
      </w:r>
    </w:p>
    <w:p>
      <w:pPr>
        <w:pStyle w:val="FirstParagraph"/>
      </w:pPr>
      <w:r>
        <w:t xml:space="preserve">Les paramètres</w:t>
      </w:r>
      <w:r>
        <w:t xml:space="preserve"> </w:t>
      </w:r>
      <m:oMath>
        <m:r>
          <m:rPr>
            <m:sty m:val="bi"/>
          </m:rPr>
          <m:t>β</m:t>
        </m:r>
      </m:oMath>
      <w:r>
        <w:t xml:space="preserve"> </w:t>
      </w:r>
      <w:r>
        <w:t xml:space="preserve">sont les coefficients de la décomposition en composantes principales (PCA) d’un espace de forme appris à partir de</w:t>
      </w:r>
      <w:r>
        <w:t xml:space="preserve"> </w:t>
      </w:r>
      <m:oMath>
        <m:sSub>
          <m:e>
            <m:r>
              <m:t>N</m:t>
            </m:r>
          </m:e>
          <m:sub>
            <m:r>
              <m:t>s</m:t>
            </m:r>
            <m:r>
              <m:t>c</m:t>
            </m:r>
            <m:r>
              <m:t>a</m:t>
            </m:r>
            <m:r>
              <m:t>n</m:t>
            </m:r>
          </m:sub>
        </m:sSub>
      </m:oMath>
      <w:r>
        <w:t xml:space="preserve"> </w:t>
      </w:r>
      <w:r>
        <w:t xml:space="preserve">scans 3D. Ils encodent des variations morphologiques inter-individus (taille, corpulence, longueur des membres), indépendamment de la pose.</w:t>
      </w:r>
    </w:p>
    <w:bookmarkEnd w:id="47"/>
    <w:bookmarkStart w:id="48" w:name="paramètres-de-pose-bmtheta."/>
    <w:p>
      <w:pPr>
        <w:pStyle w:val="Heading5"/>
      </w:pPr>
      <w:r>
        <w:t xml:space="preserve">Paramètres de pose (</w:t>
      </w:r>
      <m:oMath>
        <m:r>
          <m:rPr>
            <m:sty m:val="bi"/>
          </m:rPr>
          <m:t>θ</m:t>
        </m:r>
      </m:oMath>
      <w:r>
        <w:t xml:space="preserve">).</w:t>
      </w:r>
    </w:p>
    <w:p>
      <w:pPr>
        <w:pStyle w:val="FirstParagraph"/>
      </w:pPr>
      <w:r>
        <w:t xml:space="preserve">Les paramètres</w:t>
      </w:r>
      <w:r>
        <w:t xml:space="preserve"> </w:t>
      </w:r>
      <m:oMath>
        <m:r>
          <m:rPr>
            <m:sty m:val="bi"/>
          </m:rPr>
          <m:t>θ</m:t>
        </m:r>
      </m:oMath>
      <w:r>
        <w:t xml:space="preserve"> </w:t>
      </w:r>
      <w:r>
        <w:t xml:space="preserve">représentent les orientations relatives des articulations dans le squelette cinématique via des vecteurs de rotation (</w:t>
      </w:r>
      <w:r>
        <w:rPr>
          <w:i/>
          <w:iCs/>
        </w:rPr>
        <w:t xml:space="preserve">axis-angle</w:t>
      </w:r>
      <w:r>
        <w:t xml:space="preserve">). L’articulation racine, positionnée au bassin, encode en outre l’orientation globale du corps.</w:t>
      </w:r>
    </w:p>
    <w:bookmarkEnd w:id="48"/>
    <w:bookmarkStart w:id="49" w:name="skinning-lbs."/>
    <w:p>
      <w:pPr>
        <w:pStyle w:val="Heading5"/>
      </w:pPr>
      <w:r>
        <w:t xml:space="preserve">Skinning LBS.</w:t>
      </w:r>
    </w:p>
    <w:p>
      <w:pPr>
        <w:pStyle w:val="FirstParagraph"/>
      </w:pPr>
      <w:r>
        <w:t xml:space="preserve">Le déplacement d’un sommet</w:t>
      </w:r>
      <w:r>
        <w:t xml:space="preserve"> </w:t>
      </w:r>
      <m:oMath>
        <m:sSub>
          <m:e>
            <m:r>
              <m:rPr>
                <m:sty m:val="bi"/>
              </m:rPr>
              <m:t>v</m:t>
            </m:r>
          </m:e>
          <m:sub>
            <m:r>
              <m:t>i</m:t>
            </m:r>
          </m:sub>
        </m:sSub>
      </m:oMath>
      <w:r>
        <w:t xml:space="preserve"> </w:t>
      </w:r>
      <w:r>
        <w:t xml:space="preserve">du maillage de repos est calculé par le</w:t>
      </w:r>
      <w:r>
        <w:t xml:space="preserve"> </w:t>
      </w:r>
      <w:r>
        <w:rPr>
          <w:i/>
          <w:iCs/>
        </w:rPr>
        <w:t xml:space="preserve">Linear Blend Skinning</w:t>
      </w:r>
      <w:r>
        <w:t xml:space="preserve"> </w:t>
      </w:r>
      <w:r>
        <w:t xml:space="preserve">(LBS) </w:t>
      </w:r>
      <w:r>
        <w:t xml:space="preserve">[44]</w:t>
      </w:r>
      <w:r>
        <w:t xml:space="preserve"> </w:t>
      </w:r>
      <w:r>
        <w:t xml:space="preserve">:</w:t>
      </w:r>
    </w:p>
    <w:p>
      <w:pPr>
        <w:pStyle w:val="BodyText"/>
      </w:pPr>
      <w:r>
        <w:t xml:space="preserve">$$\begin{equation}
        \mathbf{v}'_i = \sum_{k=1}^{K} w_{ik} \mathbf{G}_k(\bm{\theta}, J) \; \bar{\mathbf{v}}_i
        \label{eq:lbs}
    \end{equation}$$</w:t>
      </w:r>
    </w:p>
    <w:p>
      <w:pPr>
        <w:pStyle w:val="FirstParagraph"/>
      </w:pPr>
      <w:r>
        <w:t xml:space="preserve">où</w:t>
      </w:r>
      <w:r>
        <w:t xml:space="preserve"> </w:t>
      </w:r>
      <m:oMath>
        <m:sSub>
          <m:e>
            <m:r>
              <m:t>w</m:t>
            </m:r>
          </m:e>
          <m:sub>
            <m:r>
              <m:t>i</m:t>
            </m:r>
            <m:r>
              <m:t>k</m:t>
            </m:r>
          </m:sub>
        </m:sSub>
      </m:oMath>
      <w:r>
        <w:t xml:space="preserve"> </w:t>
      </w:r>
      <w:r>
        <w:t xml:space="preserve">sont les poids de skinning appris,</w:t>
      </w:r>
      <w:r>
        <w:t xml:space="preserve"> </w:t>
      </w:r>
      <m:oMath>
        <m:sSub>
          <m:e>
            <m:r>
              <m:rPr>
                <m:sty m:val="bi"/>
              </m:rPr>
              <m:t>G</m:t>
            </m:r>
          </m:e>
          <m:sub>
            <m:r>
              <m:t>k</m:t>
            </m:r>
          </m:sub>
        </m:sSub>
      </m:oMath>
      <w:r>
        <w:t xml:space="preserve"> </w:t>
      </w:r>
      <w:r>
        <w:t xml:space="preserve">est la transformation rigide de l’articulation</w:t>
      </w:r>
      <w:r>
        <w:t xml:space="preserve"> </w:t>
      </w:r>
      <m:oMath>
        <m:r>
          <m:t>k</m:t>
        </m:r>
      </m:oMath>
      <w:r>
        <w:t xml:space="preserve"> </w:t>
      </w:r>
      <w:r>
        <w:t xml:space="preserve">en fonction de la pose et des positions des joints</w:t>
      </w:r>
      <w:r>
        <w:t xml:space="preserve"> </w:t>
      </w:r>
      <m:oMath>
        <m:r>
          <m:t>J</m:t>
        </m:r>
        <m:r>
          <m:rPr>
            <m:sty m:val="p"/>
          </m:rPr>
          <m:t>(</m:t>
        </m:r>
        <m:r>
          <m:rPr>
            <m:sty m:val="bi"/>
          </m:rPr>
          <m:t>β</m:t>
        </m:r>
        <m:r>
          <m:rPr>
            <m:sty m:val="p"/>
          </m:rPr>
          <m:t>)</m:t>
        </m:r>
      </m:oMath>
      <w:r>
        <w:t xml:space="preserve">.</w:t>
      </w:r>
    </w:p>
    <w:bookmarkEnd w:id="49"/>
    <w:bookmarkStart w:id="50" w:name="avantages-et-limites."/>
    <w:p>
      <w:pPr>
        <w:pStyle w:val="Heading5"/>
      </w:pPr>
      <w:r>
        <w:t xml:space="preserve">Avantages et limites.</w:t>
      </w:r>
    </w:p>
    <w:p>
      <w:pPr>
        <w:pStyle w:val="FirstParagraph"/>
      </w:pPr>
      <w:r>
        <w:t xml:space="preserve">SMPL offre une représentation compacte, différentiable et adaptée à l’optimisation par descente de gradient </w:t>
      </w:r>
      <w:r>
        <w:t xml:space="preserve">[43]</w:t>
      </w:r>
      <w:r>
        <w:t xml:space="preserve">. Cependant, il ne modélise ni les mains ni le visage, ce qui constitue une limitation pour les applications nécessitant une expressivité corporelle fine.</w:t>
      </w:r>
    </w:p>
    <w:bookmarkEnd w:id="50"/>
    <w:bookmarkEnd w:id="51"/>
    <w:bookmarkStart w:id="55" w:name="smpl-x-pavlakos-et-al.-2019"/>
    <w:p>
      <w:pPr>
        <w:pStyle w:val="Heading3"/>
      </w:pPr>
      <w:r>
        <w:t xml:space="preserve">SMPL-X — Pavlakos et al. (2019)</w:t>
      </w:r>
    </w:p>
    <w:p>
      <w:pPr>
        <w:pStyle w:val="FirstParagraph"/>
      </w:pPr>
      <w:r>
        <w:t xml:space="preserve">SMPL-X (</w:t>
      </w:r>
      <w:r>
        <w:rPr>
          <w:i/>
          <w:iCs/>
        </w:rPr>
        <w:t xml:space="preserve">SMPL eXpressive</w:t>
      </w:r>
      <w:r>
        <w:t xml:space="preserve">) </w:t>
      </w:r>
      <w:r>
        <w:t xml:space="preserve">[45]</w:t>
      </w:r>
      <w:r>
        <w:t xml:space="preserve"> </w:t>
      </w:r>
      <w:r>
        <w:t xml:space="preserve">est une extension de SMPL qui généralise le modèle au corps entier en incluant un modèle de mains articulées (MANO </w:t>
      </w:r>
      <w:r>
        <w:t xml:space="preserve">[46]</w:t>
      </w:r>
      <w:r>
        <w:t xml:space="preserve">) et de visage expressif (FLAME </w:t>
      </w:r>
      <w:r>
        <w:t xml:space="preserve">[47]</w:t>
      </w:r>
      <w:r>
        <w:t xml:space="preserve">) dans un modèle unifié. Le maillage résultant comporte</w:t>
      </w:r>
      <w:r>
        <w:t xml:space="preserve"> </w:t>
      </w:r>
      <m:oMath>
        <m:r>
          <m:t>N</m:t>
        </m:r>
        <m:r>
          <m:rPr>
            <m:sty m:val="p"/>
          </m:rPr>
          <m:t>=</m:t>
        </m:r>
        <m:r>
          <m:t>10</m:t>
        </m:r>
        <m:r>
          <m:t> </m:t>
        </m:r>
        <m:r>
          <m:t>475</m:t>
        </m:r>
      </m:oMath>
      <w:r>
        <w:t xml:space="preserve"> </w:t>
      </w:r>
      <w:r>
        <w:t xml:space="preserve">sommets.</w:t>
      </w:r>
    </w:p>
    <w:bookmarkStart w:id="52" w:name="paramètres-supplémentaires."/>
    <w:p>
      <w:pPr>
        <w:pStyle w:val="Heading5"/>
      </w:pPr>
      <w:r>
        <w:t xml:space="preserve">Paramètres supplémentaires.</w:t>
      </w:r>
    </w:p>
    <w:p>
      <w:pPr>
        <w:pStyle w:val="FirstParagraph"/>
      </w:pPr>
      <w:r>
        <w:t xml:space="preserve">Outre</w:t>
      </w:r>
      <w:r>
        <w:t xml:space="preserve"> </w:t>
      </w:r>
      <m:oMath>
        <m:r>
          <m:rPr>
            <m:sty m:val="bi"/>
          </m:rPr>
          <m:t>β</m:t>
        </m:r>
      </m:oMath>
      <w:r>
        <w:t xml:space="preserve"> </w:t>
      </w:r>
      <w:r>
        <w:t xml:space="preserve">et</w:t>
      </w:r>
      <w:r>
        <w:t xml:space="preserve"> </w:t>
      </w:r>
      <m:oMath>
        <m:r>
          <m:rPr>
            <m:sty m:val="bi"/>
          </m:rPr>
          <m:t>θ</m:t>
        </m:r>
      </m:oMath>
      <w:r>
        <w:t xml:space="preserve">, SMPL-X introduit </w:t>
      </w:r>
      <w:r>
        <w:t xml:space="preserve">[45]</w:t>
      </w:r>
      <w:r>
        <w:t xml:space="preserve"> </w:t>
      </w:r>
      <w:r>
        <w:t xml:space="preserve">:</w:t>
      </w:r>
    </w:p>
    <w:p>
      <w:pPr>
        <w:numPr>
          <w:ilvl w:val="0"/>
          <w:numId w:val="1010"/>
        </w:numPr>
      </w:pPr>
      <m:oMath>
        <m:r>
          <m:rPr>
            <m:sty m:val="bi"/>
          </m:rPr>
          <m:t>ψ</m:t>
        </m:r>
      </m:oMath>
      <w:r>
        <w:t xml:space="preserve"> </w:t>
      </w:r>
      <w:r>
        <w:t xml:space="preserve">: paramètres d’expression faciale (coefficient PCA du modèle FLAME).</w:t>
      </w:r>
    </w:p>
    <w:p>
      <w:pPr>
        <w:numPr>
          <w:ilvl w:val="0"/>
          <w:numId w:val="1010"/>
        </w:numPr>
      </w:pPr>
      <m:oMath>
        <m:sSub>
          <m:e>
            <m:r>
              <m:rPr>
                <m:sty m:val="bi"/>
              </m:rPr>
              <m:t>θ</m:t>
            </m:r>
          </m:e>
          <m:sub>
            <m:r>
              <m:t>h</m:t>
            </m:r>
            <m:r>
              <m:t>a</m:t>
            </m:r>
            <m:r>
              <m:t>n</m:t>
            </m:r>
            <m:r>
              <m:t>d</m:t>
            </m:r>
            <m:r>
              <m:t>s</m:t>
            </m:r>
          </m:sub>
        </m:sSub>
      </m:oMath>
      <w:r>
        <w:t xml:space="preserve"> </w:t>
      </w:r>
      <w:r>
        <w:t xml:space="preserve">: paramètres de pose des articulations des 10 doigts de chaque main (20 articulations au total), encodés en composantes principales du sous-espace de pose des mains.</w:t>
      </w:r>
    </w:p>
    <w:bookmarkEnd w:id="52"/>
    <w:bookmarkStart w:id="53" w:name="fitting-sur-notre-dataset."/>
    <w:p>
      <w:pPr>
        <w:pStyle w:val="Heading5"/>
      </w:pPr>
      <w:r>
        <w:t xml:space="preserve">Fitting sur notre dataset.</w:t>
      </w:r>
    </w:p>
    <w:p>
      <w:pPr>
        <w:pStyle w:val="FirstParagraph"/>
      </w:pPr>
      <w:r>
        <w:t xml:space="preserve">Dans le dataset Fit3D </w:t>
      </w:r>
      <w:r>
        <w:t xml:space="preserve">[48]</w:t>
      </w:r>
      <w:r>
        <w:t xml:space="preserve">, les paramètres SMPL-X</w:t>
      </w:r>
      <w:r>
        <w:t xml:space="preserve"> </w:t>
      </w:r>
      <m:oMath>
        <m:r>
          <m:rPr>
            <m:sty m:val="p"/>
          </m:rPr>
          <m:t>(</m:t>
        </m:r>
        <m:r>
          <m:rPr>
            <m:sty m:val="bi"/>
          </m:rPr>
          <m:t>β</m:t>
        </m:r>
        <m:r>
          <m:rPr>
            <m:sty m:val="p"/>
          </m:rPr>
          <m:t>,</m:t>
        </m:r>
        <m:r>
          <m:rPr>
            <m:sty m:val="bi"/>
          </m:rPr>
          <m:t>θ</m:t>
        </m:r>
        <m:r>
          <m:rPr>
            <m:sty m:val="p"/>
          </m:rPr>
          <m:t>,</m:t>
        </m:r>
        <m:r>
          <m:rPr>
            <m:sty m:val="bi"/>
          </m:rPr>
          <m:t>ψ</m:t>
        </m:r>
        <m:r>
          <m:rPr>
            <m:sty m:val="p"/>
          </m:rPr>
          <m:t>)</m:t>
        </m:r>
      </m:oMath>
      <w:r>
        <w:t xml:space="preserve"> </w:t>
      </w:r>
      <w:r>
        <w:t xml:space="preserve">sont précalculés pour chaque frame de chaque sujet et stockés par fichier NPZ. Ces paramètres constituent la</w:t>
      </w:r>
      <w:r>
        <w:t xml:space="preserve"> </w:t>
      </w:r>
      <w:r>
        <w:rPr>
          <w:i/>
          <w:iCs/>
        </w:rPr>
        <w:t xml:space="preserve">vérité terrain</w:t>
      </w:r>
      <w:r>
        <w:t xml:space="preserve"> </w:t>
      </w:r>
      <w:r>
        <w:t xml:space="preserve">(ground truth) pour l’évaluation de notre pipeline de reconstruction. Notre backend stocke ces paramètres en base de données PostgreSQL sous format JSONB, ce qui permet une récupération efficace sans sérialisation/désérialisation additionnelle.</w:t>
      </w:r>
    </w:p>
    <w:bookmarkEnd w:id="53"/>
    <w:bookmarkStart w:id="54" w:name="avantages-et-limites.-1"/>
    <w:p>
      <w:pPr>
        <w:pStyle w:val="Heading5"/>
      </w:pPr>
      <w:r>
        <w:t xml:space="preserve">Avantages et limites.</w:t>
      </w:r>
    </w:p>
    <w:p>
      <w:pPr>
        <w:pStyle w:val="FirstParagraph"/>
      </w:pPr>
      <w:r>
        <w:t xml:space="preserve">SMPL-X est le modèle paramétrique de corps humain le plus expressif et le plus utilisé dans la recherche actuelle </w:t>
      </w:r>
      <w:r>
        <w:t xml:space="preserve">[45]</w:t>
      </w:r>
      <w:r>
        <w:t xml:space="preserve">. Son principal inconvénient réside dans la complexité accrue du fitting (davantage de paramètres à optimiser) et dans une plus grande exigence de données pour son estimation à partir de vidéo seule (SMPLify-X </w:t>
      </w:r>
      <w:r>
        <w:t xml:space="preserve">[45]</w:t>
      </w:r>
      <w:r>
        <w:t xml:space="preserve">).</w:t>
      </w:r>
    </w:p>
    <w:bookmarkEnd w:id="54"/>
    <w:bookmarkEnd w:id="55"/>
    <w:bookmarkEnd w:id="56"/>
    <w:bookmarkStart w:id="59" w:name="sec:similarite"/>
    <w:p>
      <w:pPr>
        <w:pStyle w:val="Heading2"/>
      </w:pPr>
      <w:r>
        <w:t xml:space="preserve">Similarité et comparaison de séquences gestuelles</w:t>
      </w:r>
    </w:p>
    <w:p>
      <w:pPr>
        <w:pStyle w:val="FirstParagraph"/>
      </w:pPr>
      <w:r>
        <w:t xml:space="preserve">La comparaison quantitative de deux séquences de mouvement est la tâche centrale de notre système. Elle se heurte à deux difficultés majeures : les séquences peuvent avoir des durées différentes, et les individus comparés ont des morphologies différentes.</w:t>
      </w:r>
    </w:p>
    <w:bookmarkStart w:id="57" w:name="dtw-dynamic-time-warping"/>
    <w:p>
      <w:pPr>
        <w:pStyle w:val="Heading3"/>
      </w:pPr>
      <w:r>
        <w:t xml:space="preserve">DTW —</w:t>
      </w:r>
      <w:r>
        <w:t xml:space="preserve"> </w:t>
      </w:r>
      <w:r>
        <w:rPr>
          <w:i/>
          <w:iCs/>
        </w:rPr>
        <w:t xml:space="preserve">Dynamic Time Warping</w:t>
      </w:r>
    </w:p>
    <w:p>
      <w:pPr>
        <w:pStyle w:val="FirstParagraph"/>
      </w:pPr>
      <w:r>
        <w:t xml:space="preserve">Le DTW (</w:t>
      </w:r>
      <w:r>
        <w:rPr>
          <w:i/>
          <w:iCs/>
        </w:rPr>
        <w:t xml:space="preserve">Dynamic Time Warping</w:t>
      </w:r>
      <w:r>
        <w:t xml:space="preserve">) </w:t>
      </w:r>
      <w:r>
        <w:t xml:space="preserve">[49], [50]</w:t>
      </w:r>
      <w:r>
        <w:t xml:space="preserve"> </w:t>
      </w:r>
      <w:r>
        <w:t xml:space="preserve">est un algorithme de programmation dynamique qui calcule la distance optimale entre deux séquences temporelles de longueurs potentiellement différentes, en autorisant un alignement non-linéaire dans le temps. Il minimise la distance totale après warping :</w:t>
      </w:r>
    </w:p>
    <w:p>
      <w:pPr>
        <w:pStyle w:val="BodyText"/>
      </w:pPr>
      <m:oMathPara>
        <m:oMathParaPr>
          <m:jc m:val="center"/>
        </m:oMathParaPr>
        <m:oMath>
          <m:r>
            <m:rPr>
              <m:sty m:val="p"/>
            </m:rPr>
            <m:t>D</m:t>
          </m:r>
          <m:r>
            <m:rPr>
              <m:sty m:val="p"/>
            </m:rPr>
            <m:t>T</m:t>
          </m:r>
          <m:r>
            <m:rPr>
              <m:sty m:val="p"/>
            </m:rPr>
            <m:t>W</m:t>
          </m:r>
          <m:r>
            <m:rPr>
              <m:sty m:val="p"/>
            </m:rPr>
            <m:t>(</m:t>
          </m:r>
          <m:r>
            <m:rPr>
              <m:sty m:val="bi"/>
            </m:rPr>
            <m:t>s</m:t>
          </m:r>
          <m:r>
            <m:rPr>
              <m:sty m:val="p"/>
            </m:rPr>
            <m:t>,</m:t>
          </m:r>
          <m:r>
            <m:rPr>
              <m:sty m:val="bi"/>
            </m:rPr>
            <m:t>r</m:t>
          </m:r>
          <m:r>
            <m:rPr>
              <m:sty m:val="p"/>
            </m:rPr>
            <m:t>)</m:t>
          </m:r>
          <m:r>
            <m:rPr>
              <m:sty m:val="p"/>
            </m:rPr>
            <m:t>=</m:t>
          </m:r>
          <m:limLow>
            <m:e>
              <m:r>
                <m:rPr>
                  <m:sty m:val="p"/>
                </m:rPr>
                <m:t>min</m:t>
              </m:r>
            </m:e>
            <m:lim>
              <m:r>
                <m:t>π</m:t>
              </m:r>
            </m:lim>
          </m:limLow>
          <m:nary>
            <m:naryPr>
              <m:chr m:val="∑"/>
              <m:limLoc m:val="undOvr"/>
              <m:subHide m:val="off"/>
              <m:supHide m:val="on"/>
            </m:naryPr>
            <m:sub>
              <m:r>
                <m:rPr>
                  <m:sty m:val="p"/>
                </m:rPr>
                <m:t>(</m:t>
              </m:r>
              <m:r>
                <m:t>i</m:t>
              </m:r>
              <m:r>
                <m:rPr>
                  <m:sty m:val="p"/>
                </m:rPr>
                <m:t>,</m:t>
              </m:r>
              <m:r>
                <m:t>j</m:t>
              </m:r>
              <m:r>
                <m:rPr>
                  <m:sty m:val="p"/>
                </m:rPr>
                <m:t>)</m:t>
              </m:r>
              <m:r>
                <m:rPr>
                  <m:sty m:val="p"/>
                </m:rPr>
                <m:t>∈</m:t>
              </m:r>
              <m:r>
                <m:t>π</m:t>
              </m:r>
            </m:sub>
            <m:sup>
              <m:r>
                <m:t>​</m:t>
              </m:r>
            </m:sup>
            <m:e>
              <m:r>
                <m:t>d</m:t>
              </m:r>
            </m:e>
          </m:nary>
          <m:r>
            <m:rPr>
              <m:sty m:val="p"/>
            </m:rPr>
            <m:t>(</m:t>
          </m:r>
          <m:sSub>
            <m:e>
              <m:r>
                <m:t>s</m:t>
              </m:r>
            </m:e>
            <m:sub>
              <m:r>
                <m:t>i</m:t>
              </m:r>
            </m:sub>
          </m:sSub>
          <m:r>
            <m:rPr>
              <m:sty m:val="p"/>
            </m:rPr>
            <m:t>,</m:t>
          </m:r>
          <m:sSub>
            <m:e>
              <m:r>
                <m:t>r</m:t>
              </m:r>
            </m:e>
            <m:sub>
              <m:r>
                <m:t>j</m:t>
              </m:r>
            </m:sub>
          </m:sSub>
          <m:r>
            <m:rPr>
              <m:sty m:val="p"/>
            </m:rPr>
            <m:t>)</m:t>
          </m:r>
        </m:oMath>
      </m:oMathPara>
    </w:p>
    <w:p>
      <w:pPr>
        <w:pStyle w:val="FirstParagraph"/>
      </w:pPr>
      <w:r>
        <w:t xml:space="preserve">où</w:t>
      </w:r>
      <w:r>
        <w:t xml:space="preserve"> </w:t>
      </w:r>
      <m:oMath>
        <m:r>
          <m:t>π</m:t>
        </m:r>
      </m:oMath>
      <w:r>
        <w:t xml:space="preserve"> </w:t>
      </w:r>
      <w:r>
        <w:t xml:space="preserve">est un chemin d’alignement monotone et</w:t>
      </w:r>
      <w:r>
        <w:t xml:space="preserve"> </w:t>
      </w:r>
      <m:oMath>
        <m:r>
          <m:t>d</m:t>
        </m:r>
      </m:oMath>
      <w:r>
        <w:t xml:space="preserve"> </w:t>
      </w:r>
      <w:r>
        <w:t xml:space="preserve">une métrique de distance entre trames.</w:t>
      </w:r>
    </w:p>
    <w:p>
      <w:pPr>
        <w:pStyle w:val="BodyText"/>
      </w:pPr>
      <w:r>
        <w:t xml:space="preserve">Le DTW est largement utilisé dans la reconnaissance et la comparaison de gestes </w:t>
      </w:r>
      <w:r>
        <w:t xml:space="preserve">[51]</w:t>
      </w:r>
      <w:r>
        <w:t xml:space="preserve"> </w:t>
      </w:r>
      <w:r>
        <w:t xml:space="preserve">car il est naturellement invariant aux différences de vitesse d’exécution. Dans notre système, la distance DTW est calculée dans l’espace des angles articulaires extraits du modèle SMPL-X, ce qui la rend indépendante des différences morphologiques entre sujets.</w:t>
      </w:r>
    </w:p>
    <w:bookmarkEnd w:id="57"/>
    <w:bookmarkStart w:id="58" w:name="X52f7ca5bb78a726c5ef27ea3da9ca050d74ff20"/>
    <w:p>
      <w:pPr>
        <w:pStyle w:val="Heading3"/>
      </w:pPr>
      <w:r>
        <w:t xml:space="preserve">Métriques angulaires et distance euclidienne entre joints</w:t>
      </w:r>
    </w:p>
    <w:p>
      <w:pPr>
        <w:pStyle w:val="FirstParagraph"/>
      </w:pPr>
      <w:r>
        <w:t xml:space="preserve">En complément du DTW, deux métriques géométriques directes sont utilisées pour quantifier les écarts posturaux </w:t>
      </w:r>
      <w:r>
        <w:t xml:space="preserve">[6], [43]</w:t>
      </w:r>
      <w:r>
        <w:t xml:space="preserve"> </w:t>
      </w:r>
      <w:r>
        <w:t xml:space="preserve">:</w:t>
      </w:r>
    </w:p>
    <w:p>
      <w:pPr>
        <w:numPr>
          <w:ilvl w:val="0"/>
          <w:numId w:val="1011"/>
        </w:numPr>
      </w:pPr>
      <w:r>
        <w:rPr>
          <w:b/>
          <w:bCs/>
        </w:rPr>
        <w:t xml:space="preserve">Angle articulaire moyen (MPJAE).</w:t>
      </w:r>
      <w:r>
        <w:t xml:space="preserve"> </w:t>
      </w:r>
      <w:r>
        <w:t xml:space="preserve">Pour chaque frame</w:t>
      </w:r>
      <w:r>
        <w:t xml:space="preserve"> </w:t>
      </w:r>
      <m:oMath>
        <m:r>
          <m:t>t</m:t>
        </m:r>
      </m:oMath>
      <w:r>
        <w:t xml:space="preserve"> </w:t>
      </w:r>
      <w:r>
        <w:t xml:space="preserve">et chaque articulation</w:t>
      </w:r>
      <w:r>
        <w:t xml:space="preserve"> </w:t>
      </w:r>
      <m:oMath>
        <m:r>
          <m:t>j</m:t>
        </m:r>
      </m:oMath>
      <w:r>
        <w:t xml:space="preserve">, l’angle entre les vecteurs osseux du sujet de référence et du sujet évalué est calculé. L’erreur angulaire moyenne sur l’ensemble des frames et des joints donne une mesure globale de la déviation posturale.</w:t>
      </w:r>
    </w:p>
    <w:p>
      <w:pPr>
        <w:numPr>
          <w:ilvl w:val="0"/>
          <w:numId w:val="1011"/>
        </w:numPr>
      </w:pPr>
      <w:r>
        <w:rPr>
          <w:b/>
          <w:bCs/>
        </w:rPr>
        <w:t xml:space="preserve">Distance euclidienne moyenne entre joints (MPJPE).</w:t>
      </w:r>
      <w:r>
        <w:t xml:space="preserve"> </w:t>
      </w:r>
      <w:r>
        <w:t xml:space="preserve">Définie par </w:t>
      </w:r>
      <w:r>
        <w:t xml:space="preserve">[52]</w:t>
      </w:r>
      <w:r>
        <w:t xml:space="preserve"> </w:t>
      </w:r>
      <w:r>
        <w:t xml:space="preserve">comme :</w:t>
      </w:r>
    </w:p>
    <w:p>
      <w:pPr>
        <w:pStyle w:val="BodyText"/>
      </w:pPr>
      <m:oMathPara>
        <m:oMathParaPr>
          <m:jc m:val="center"/>
        </m:oMathParaPr>
        <m:oMath>
          <m:r>
            <m:rPr>
              <m:sty m:val="p"/>
            </m:rPr>
            <m:t>M</m:t>
          </m:r>
          <m:r>
            <m:rPr>
              <m:sty m:val="p"/>
            </m:rPr>
            <m:t>P</m:t>
          </m:r>
          <m:r>
            <m:rPr>
              <m:sty m:val="p"/>
            </m:rPr>
            <m:t>J</m:t>
          </m:r>
          <m:r>
            <m:rPr>
              <m:sty m:val="p"/>
            </m:rPr>
            <m:t>P</m:t>
          </m:r>
          <m:r>
            <m:rPr>
              <m:sty m:val="p"/>
            </m:rPr>
            <m:t>E</m:t>
          </m:r>
          <m:r>
            <m:rPr>
              <m:sty m:val="p"/>
            </m:rPr>
            <m:t>=</m:t>
          </m:r>
          <m:f>
            <m:fPr>
              <m:type m:val="bar"/>
            </m:fPr>
            <m:num>
              <m:r>
                <m:t>1</m:t>
              </m:r>
            </m:num>
            <m:den>
              <m:r>
                <m:t>T</m:t>
              </m:r>
              <m:r>
                <m:rPr>
                  <m:sty m:val="p"/>
                </m:rPr>
                <m:t>⋅</m:t>
              </m:r>
              <m:r>
                <m:t>J</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j</m:t>
                  </m:r>
                  <m:r>
                    <m:rPr>
                      <m:sty m:val="p"/>
                    </m:rPr>
                    <m:t>=</m:t>
                  </m:r>
                  <m:r>
                    <m:t>1</m:t>
                  </m:r>
                </m:sub>
                <m:sup>
                  <m:r>
                    <m:t>J</m:t>
                  </m:r>
                </m:sup>
                <m:e>
                  <m:r>
                    <m:rPr>
                      <m:sty m:val="p"/>
                    </m:rPr>
                    <m:t>∥</m:t>
                  </m:r>
                </m:e>
              </m:nary>
            </m:e>
          </m:nary>
          <m:sSubSup>
            <m:e>
              <m:r>
                <m:rPr>
                  <m:sty m:val="bi"/>
                </m:rPr>
                <m:t>x</m:t>
              </m:r>
            </m:e>
            <m:sub>
              <m:r>
                <m:t>t</m:t>
              </m:r>
              <m:r>
                <m:rPr>
                  <m:sty m:val="p"/>
                </m:rPr>
                <m:t>,</m:t>
              </m:r>
              <m:r>
                <m:t>j</m:t>
              </m:r>
            </m:sub>
            <m:sup>
              <m:r>
                <m:t>p</m:t>
              </m:r>
              <m:r>
                <m:t>r</m:t>
              </m:r>
              <m:r>
                <m:t>e</m:t>
              </m:r>
              <m:r>
                <m:t>d</m:t>
              </m:r>
            </m:sup>
          </m:sSubSup>
          <m:r>
            <m:rPr>
              <m:sty m:val="p"/>
            </m:rPr>
            <m:t>−</m:t>
          </m:r>
          <m:sSubSup>
            <m:e>
              <m:r>
                <m:rPr>
                  <m:sty m:val="bi"/>
                </m:rPr>
                <m:t>x</m:t>
              </m:r>
            </m:e>
            <m:sub>
              <m:r>
                <m:t>t</m:t>
              </m:r>
              <m:r>
                <m:rPr>
                  <m:sty m:val="p"/>
                </m:rPr>
                <m:t>,</m:t>
              </m:r>
              <m:r>
                <m:t>j</m:t>
              </m:r>
            </m:sub>
            <m:sup>
              <m:r>
                <m:t>g</m:t>
              </m:r>
              <m:r>
                <m:t>t</m:t>
              </m:r>
            </m:sup>
          </m:sSubSup>
          <m:sSub>
            <m:e>
              <m:r>
                <m:rPr>
                  <m:sty m:val="p"/>
                </m:rPr>
                <m:t>∥</m:t>
              </m:r>
            </m:e>
            <m:sub>
              <m:r>
                <m:t>2</m:t>
              </m:r>
            </m:sub>
          </m:sSub>
        </m:oMath>
      </m:oMathPara>
    </w:p>
    <w:p>
      <w:pPr>
        <w:numPr>
          <w:ilvl w:val="0"/>
          <w:numId w:val="1000"/>
        </w:numPr>
      </w:pPr>
      <w:r>
        <w:t xml:space="preserve">Cette métrique est calculée dans l’espace des positions 3D normalisées (après alignement procustéen pour éliminer l’effet de translation et d’échelle), ce qui la rend utilisable pour comparer des individus de morphologies différentes.</w:t>
      </w:r>
    </w:p>
    <w:bookmarkEnd w:id="58"/>
    <w:bookmarkEnd w:id="59"/>
    <w:bookmarkStart w:id="60" w:name="sec:travaux_connexes"/>
    <w:p>
      <w:pPr>
        <w:pStyle w:val="Heading2"/>
      </w:pPr>
      <w:r>
        <w:t xml:space="preserve">Travaux connexes</w:t>
      </w:r>
    </w:p>
    <w:p>
      <w:pPr>
        <w:pStyle w:val="FirstParagraph"/>
      </w:pPr>
      <w:r>
        <w:t xml:space="preserve">Le tableau </w:t>
      </w:r>
      <w:hyperlink w:anchor="tab:travaux_connexes">
        <w:r>
          <w:rPr>
            <w:rStyle w:val="Hyperlink"/>
          </w:rPr>
          <w:t xml:space="preserve">[tab:travaux_connexes]</w:t>
        </w:r>
      </w:hyperlink>
      <w:r>
        <w:t xml:space="preserve"> </w:t>
      </w:r>
      <w:r>
        <w:t xml:space="preserve">présente une synthèse comparative des principaux systèmes liés à notre problématique. L’analyse de ces travaux met en évidence que les solutions existantes privilégient systématiquement soit la précision des systèmes professionnels lourds et coûteux, soit l’accessibilité et la légèreté des applications mobiles, sans parvenir à concilier les deux. Notre système se positionne à cette intersection, en proposant un pipeline 3D rigoureux déployé dans une application multi-plateforme accessible.</w:t>
      </w:r>
    </w:p>
    <w:p>
      <w:pPr>
        <w:pStyle w:val="BodyText"/>
      </w:pPr>
      <w:r>
        <w:t xml:space="preserve">p</w:t>
      </w:r>
      <w:r>
        <w:t xml:space="preserve">2.8cm</w:t>
      </w:r>
      <w:r>
        <w:t xml:space="preserve"> </w:t>
      </w:r>
      <w:r>
        <w:t xml:space="preserve">p</w:t>
      </w:r>
      <w:r>
        <w:t xml:space="preserve">2.2cm</w:t>
      </w:r>
      <w:r>
        <w:t xml:space="preserve"> </w:t>
      </w:r>
      <w:r>
        <w:t xml:space="preserve">p</w:t>
      </w:r>
      <w:r>
        <w:t xml:space="preserve">1.8cm</w:t>
      </w:r>
      <w:r>
        <w:t xml:space="preserve"> </w:t>
      </w:r>
      <w:r>
        <w:t xml:space="preserve">p</w:t>
      </w:r>
      <w:r>
        <w:t xml:space="preserve">1.8cm</w:t>
      </w:r>
      <w:r>
        <w:t xml:space="preserve"> </w:t>
      </w:r>
      <w:r>
        <w:t xml:space="preserve">P</w:t>
      </w:r>
      <w:r>
        <w:t xml:space="preserve">2.5cm</w:t>
      </w:r>
      <w:r>
        <w:t xml:space="preserve"> </w:t>
      </w:r>
      <w:r>
        <w:t xml:space="preserve">p</w:t>
      </w:r>
      <w:r>
        <w:t xml:space="preserve">1.8cm</w:t>
      </w:r>
      <w:r>
        <w:t xml:space="preserve"> </w:t>
      </w:r>
      <w:r>
        <w:rPr>
          <w:b/>
          <w:bCs/>
        </w:rPr>
        <w:t xml:space="preserve">Système</w:t>
      </w:r>
      <w:r>
        <w:t xml:space="preserve"> </w:t>
      </w:r>
      <w:r>
        <w:t xml:space="preserve">&amp;</w:t>
      </w:r>
      <w:r>
        <w:t xml:space="preserve"> </w:t>
      </w:r>
      <w:r>
        <w:rPr>
          <w:b/>
          <w:bCs/>
        </w:rPr>
        <w:t xml:space="preserve">Approche</w:t>
      </w:r>
      <w:r>
        <w:t xml:space="preserve"> </w:t>
      </w:r>
      <w:r>
        <w:t xml:space="preserve">&amp;</w:t>
      </w:r>
      <w:r>
        <w:t xml:space="preserve"> </w:t>
      </w:r>
      <w:r>
        <w:rPr>
          <w:b/>
          <w:bCs/>
        </w:rPr>
        <w:t xml:space="preserve">Multi-</w:t>
      </w:r>
      <w:r>
        <w:t xml:space="preserve"> </w:t>
      </w:r>
      <w:r>
        <w:t xml:space="preserve">&amp;</w:t>
      </w:r>
      <w:r>
        <w:t xml:space="preserve"> </w:t>
      </w:r>
      <w:r>
        <w:rPr>
          <w:b/>
          <w:bCs/>
        </w:rPr>
        <w:t xml:space="preserve">Temps</w:t>
      </w:r>
      <w:r>
        <w:t xml:space="preserve"> </w:t>
      </w:r>
      <w:r>
        <w:t xml:space="preserve">&amp;</w:t>
      </w:r>
      <w:r>
        <w:t xml:space="preserve"> </w:t>
      </w:r>
      <w:r>
        <w:rPr>
          <w:b/>
          <w:bCs/>
        </w:rPr>
        <w:t xml:space="preserve">Référence</w:t>
      </w:r>
      <w:r>
        <w:t xml:space="preserve"> </w:t>
      </w:r>
      <w:r>
        <w:t xml:space="preserve">&amp;</w:t>
      </w:r>
      <w:r>
        <w:t xml:space="preserve"> </w:t>
      </w:r>
      <w:r>
        <w:rPr>
          <w:b/>
          <w:bCs/>
        </w:rPr>
        <w:t xml:space="preserve">Comparaison</w:t>
      </w:r>
      <w:r>
        <w:br/>
      </w:r>
      <w:r>
        <w:t xml:space="preserve">&amp; &amp;</w:t>
      </w:r>
      <w:r>
        <w:t xml:space="preserve"> </w:t>
      </w:r>
      <w:r>
        <w:rPr>
          <w:b/>
          <w:bCs/>
        </w:rPr>
        <w:t xml:space="preserve">plateforme</w:t>
      </w:r>
      <w:r>
        <w:t xml:space="preserve"> </w:t>
      </w:r>
      <w:r>
        <w:t xml:space="preserve">&amp;</w:t>
      </w:r>
      <w:r>
        <w:t xml:space="preserve"> </w:t>
      </w:r>
      <w:r>
        <w:rPr>
          <w:b/>
          <w:bCs/>
        </w:rPr>
        <w:t xml:space="preserve">réel</w:t>
      </w:r>
      <w:r>
        <w:t xml:space="preserve"> </w:t>
      </w:r>
      <w:r>
        <w:t xml:space="preserve">&amp; &amp;</w:t>
      </w:r>
      <w:r>
        <w:t xml:space="preserve"> </w:t>
      </w:r>
      <w:r>
        <w:rPr>
          <w:b/>
          <w:bCs/>
        </w:rPr>
        <w:t xml:space="preserve">3D quantitative</w:t>
      </w:r>
      <w:r>
        <w:br/>
      </w:r>
    </w:p>
    <w:p>
      <w:pPr>
        <w:pStyle w:val="BodyText"/>
      </w:pPr>
      <w:r>
        <w:t xml:space="preserve">Vicon / OptiTrack &amp; MoCap optique &amp; &amp; &amp; Personnel spécialisé &amp;</w:t>
      </w:r>
      <w:r>
        <w:br/>
      </w:r>
      <w:r>
        <w:t xml:space="preserve">Xsens MVN &amp; Capteurs IMU &amp; &amp; &amp; Personnel spécialisé &amp;</w:t>
      </w:r>
      <w:r>
        <w:br/>
      </w:r>
      <w:r>
        <w:t xml:space="preserve">Kinovea &amp; Analyse vidéo 2D &amp; Desktop seul &amp; &amp; grand public &amp;</w:t>
      </w:r>
      <w:r>
        <w:br/>
      </w:r>
      <w:r>
        <w:t xml:space="preserve">Coach’s Eye &amp; Analyse vidéo 2D &amp; Mobile + Web &amp; &amp; grand public &amp;</w:t>
      </w:r>
      <w:r>
        <w:br/>
      </w:r>
      <w:r>
        <w:t xml:space="preserve">Kaia Health &amp; IA mobile &amp; Mobile &amp; &amp; grand public &amp;</w:t>
      </w:r>
      <w:r>
        <w:br/>
      </w:r>
      <w:r>
        <w:t xml:space="preserve">OpenPose </w:t>
      </w:r>
      <w:r>
        <w:t xml:space="preserve">[35]</w:t>
      </w:r>
      <w:r>
        <w:t xml:space="preserve"> </w:t>
      </w:r>
      <w:r>
        <w:t xml:space="preserve">&amp; CNN/PAF &amp; Desktop &amp; &amp; Chercheurs &amp;</w:t>
      </w:r>
      <w:r>
        <w:br/>
      </w:r>
      <w:r>
        <w:t xml:space="preserve">SMPLify-X </w:t>
      </w:r>
      <w:r>
        <w:t xml:space="preserve">[45]</w:t>
      </w:r>
      <w:r>
        <w:t xml:space="preserve"> </w:t>
      </w:r>
      <w:r>
        <w:t xml:space="preserve">&amp; Fitting SMPL-X &amp; Desktop &amp; &amp; Chercheurs &amp;</w:t>
      </w:r>
      <w:r>
        <w:br/>
      </w:r>
      <w:r>
        <w:t xml:space="preserve">Pavllo et al. </w:t>
      </w:r>
      <w:r>
        <w:t xml:space="preserve">[29]</w:t>
      </w:r>
      <w:r>
        <w:t xml:space="preserve"> </w:t>
      </w:r>
      <w:r>
        <w:t xml:space="preserve">&amp; Lifting mono &amp; Desktop &amp; &amp; Chercheurs &amp; Partielle</w:t>
      </w:r>
      <w:r>
        <w:br/>
      </w:r>
      <w:r>
        <w:rPr>
          <w:b/>
          <w:bCs/>
        </w:rPr>
        <w:t xml:space="preserve">Notre système</w:t>
      </w:r>
      <w:r>
        <w:t xml:space="preserve"> </w:t>
      </w:r>
      <w:r>
        <w:t xml:space="preserve">&amp;</w:t>
      </w:r>
      <w:r>
        <w:t xml:space="preserve"> </w:t>
      </w:r>
      <w:r>
        <w:rPr>
          <w:b/>
          <w:bCs/>
        </w:rPr>
        <w:t xml:space="preserve">Pipeline 3D</w:t>
      </w:r>
      <w:r>
        <w:t xml:space="preserve"> </w:t>
      </w:r>
      <w:r>
        <w:t xml:space="preserve">&amp;</w:t>
      </w:r>
      <w:r>
        <w:t xml:space="preserve"> </w:t>
      </w:r>
      <w:r>
        <w:rPr>
          <w:b/>
          <w:bCs/>
        </w:rPr>
        <w:t xml:space="preserve">Web+Desk+</w:t>
      </w:r>
      <w:r>
        <w:t xml:space="preserve"> </w:t>
      </w:r>
      <w:r>
        <w:t xml:space="preserve">&amp;</w:t>
      </w:r>
      <w:r>
        <w:t xml:space="preserve"> </w:t>
      </w:r>
      <w:r>
        <w:t xml:space="preserve"> </w:t>
      </w:r>
      <w:r>
        <w:t xml:space="preserve">&amp;</w:t>
      </w:r>
      <w:r>
        <w:t xml:space="preserve"> </w:t>
      </w:r>
      <w:r>
        <w:rPr>
          <w:b/>
          <w:bCs/>
        </w:rPr>
        <w:t xml:space="preserve">Grand public</w:t>
      </w:r>
      <w:r>
        <w:t xml:space="preserve"> </w:t>
      </w:r>
      <w:r>
        <w:t xml:space="preserve">&amp;</w:t>
      </w:r>
      <w:r>
        <w:t xml:space="preserve"> </w:t>
      </w:r>
      <w:r>
        <w:br/>
      </w:r>
      <w:r>
        <w:t xml:space="preserve">&amp;</w:t>
      </w:r>
      <w:r>
        <w:t xml:space="preserve"> </w:t>
      </w:r>
      <w:r>
        <w:rPr>
          <w:b/>
          <w:bCs/>
        </w:rPr>
        <w:t xml:space="preserve">multi-vues</w:t>
      </w:r>
      <w:r>
        <w:t xml:space="preserve"> </w:t>
      </w:r>
      <w:r>
        <w:t xml:space="preserve">&amp;</w:t>
      </w:r>
      <w:r>
        <w:t xml:space="preserve"> </w:t>
      </w:r>
      <w:r>
        <w:rPr>
          <w:b/>
          <w:bCs/>
        </w:rPr>
        <w:t xml:space="preserve">Mobile</w:t>
      </w:r>
      <w:r>
        <w:t xml:space="preserve"> </w:t>
      </w:r>
      <w:r>
        <w:t xml:space="preserve">&amp; &amp; &amp;</w:t>
      </w:r>
      <w:r>
        <w:br/>
      </w:r>
    </w:p>
    <w:bookmarkEnd w:id="60"/>
    <w:bookmarkStart w:id="159" w:name="conclusion"/>
    <w:p>
      <w:pPr>
        <w:pStyle w:val="Heading2"/>
      </w:pPr>
      <w:r>
        <w:t xml:space="preserve">Conclusion</w:t>
      </w:r>
    </w:p>
    <w:p>
      <w:pPr>
        <w:pStyle w:val="FirstParagraph"/>
      </w:pPr>
      <w:r>
        <w:t xml:space="preserve">Ce chapitre a brossé les fondements théoriques indispensables à la compréhension du système développé. Nous avons présenté l’évolution des méthodes d’analyse du mouvement humain, depuis les systèmes de capture classiques à marqueurs jusqu’aux approches modernes basées sur les réseaux de neurones convolutifs.</w:t>
      </w:r>
    </w:p>
    <w:p>
      <w:pPr>
        <w:pStyle w:val="BodyText"/>
      </w:pPr>
      <w:r>
        <w:t xml:space="preserve">Les trois piliers technologiques de notre système ont été définis et analysés en détail :</w:t>
      </w:r>
    </w:p>
    <w:p>
      <w:pPr>
        <w:numPr>
          <w:ilvl w:val="0"/>
          <w:numId w:val="1012"/>
        </w:numPr>
      </w:pPr>
      <w:r>
        <w:rPr>
          <w:b/>
          <w:bCs/>
        </w:rPr>
        <w:t xml:space="preserve">L’estimation de pose 2D</w:t>
      </w:r>
      <w:r>
        <w:t xml:space="preserve"> </w:t>
      </w:r>
      <w:r>
        <w:t xml:space="preserve">par des méthodes modulaires (OpenPose, BlazePose, YOLO-Pose), chacune avec ses compromis propres de précision, de vitesse et de déployabilité.</w:t>
      </w:r>
    </w:p>
    <w:p>
      <w:pPr>
        <w:numPr>
          <w:ilvl w:val="0"/>
          <w:numId w:val="1012"/>
        </w:numPr>
      </w:pPr>
      <w:r>
        <w:rPr>
          <w:b/>
          <w:bCs/>
        </w:rPr>
        <w:t xml:space="preserve">La calibration et la triangulation multi-vues</w:t>
      </w:r>
      <w:r>
        <w:t xml:space="preserve">, qui constituent le cœur de notre reconstruction 3D métriquement fiable, en opposition aux approches monoculaires sujettes à l’ambiguïté de la profondeur.</w:t>
      </w:r>
    </w:p>
    <w:p>
      <w:pPr>
        <w:numPr>
          <w:ilvl w:val="0"/>
          <w:numId w:val="1012"/>
        </w:numPr>
      </w:pPr>
      <w:r>
        <w:rPr>
          <w:b/>
          <w:bCs/>
        </w:rPr>
        <w:t xml:space="preserve">Le modèle SMPL-X</w:t>
      </w:r>
      <w:r>
        <w:t xml:space="preserve">, qui offre une représentation paramétrique compacte, normalisée et indépendante de la morphologie individuelle, idéale pour la comparaison inter-individus.</w:t>
      </w:r>
    </w:p>
    <w:p>
      <w:pPr>
        <w:pStyle w:val="FirstParagraph"/>
      </w:pPr>
      <w:r>
        <w:t xml:space="preserve">Le chapitre suivant s’attache à décrire l’architecture détaillée du système proposé, en articulant ces blocs technologiques dans un pipeline cohérent, depuis l’acquisition vidéo jusqu’au calcul du score de similarité gestuelle.</w:t>
      </w:r>
    </w:p>
    <w:bookmarkStart w:id="158" w:name="refs"/>
    <w:bookmarkStart w:id="62" w:name="ref-Zatsiorsky2002"/>
    <w:p>
      <w:pPr>
        <w:pStyle w:val="Bibliography"/>
      </w:pPr>
      <w:r>
        <w:t xml:space="preserve">[1]</w:t>
      </w:r>
      <w:r>
        <w:t xml:space="preserve"> </w:t>
      </w:r>
      <w:r>
        <w:t xml:space="preserve">	</w:t>
      </w:r>
      <w:r>
        <w:t xml:space="preserve">V. M. Zatsiorsky,</w:t>
      </w:r>
      <w:r>
        <w:t xml:space="preserve"> </w:t>
      </w:r>
      <w:r>
        <w:rPr>
          <w:i/>
          <w:iCs/>
        </w:rPr>
        <w:t xml:space="preserve">Kinetics of human motion</w:t>
      </w:r>
      <w:r>
        <w:t xml:space="preserve">. Champaign, IL: Human Kinetics, 2002. Available:</w:t>
      </w:r>
      <w:r>
        <w:t xml:space="preserve"> </w:t>
      </w:r>
      <w:hyperlink r:id="rId61">
        <w:r>
          <w:rPr>
            <w:rStyle w:val="Hyperlink"/>
          </w:rPr>
          <w:t xml:space="preserve">https://isbnsearch.org/isbn/9780736037785</w:t>
        </w:r>
      </w:hyperlink>
    </w:p>
    <w:bookmarkEnd w:id="62"/>
    <w:bookmarkStart w:id="64" w:name="ref-Perry1992"/>
    <w:p>
      <w:pPr>
        <w:pStyle w:val="Bibliography"/>
      </w:pPr>
      <w:r>
        <w:t xml:space="preserve">[2]</w:t>
      </w:r>
      <w:r>
        <w:t xml:space="preserve"> </w:t>
      </w:r>
      <w:r>
        <w:t xml:space="preserve">	</w:t>
      </w:r>
      <w:r>
        <w:t xml:space="preserve">J. Perry,</w:t>
      </w:r>
      <w:r>
        <w:t xml:space="preserve"> </w:t>
      </w:r>
      <w:r>
        <w:rPr>
          <w:i/>
          <w:iCs/>
        </w:rPr>
        <w:t xml:space="preserve">Gait analysis: Normal and pathological function</w:t>
      </w:r>
      <w:r>
        <w:t xml:space="preserve">. Thorofare, NJ: SLACK Incorporated, 1992. Available:</w:t>
      </w:r>
      <w:r>
        <w:t xml:space="preserve"> </w:t>
      </w:r>
      <w:hyperlink r:id="rId63">
        <w:r>
          <w:rPr>
            <w:rStyle w:val="Hyperlink"/>
          </w:rPr>
          <w:t xml:space="preserve">https://isbnsearch.org/isbn/9781556421921</w:t>
        </w:r>
      </w:hyperlink>
    </w:p>
    <w:bookmarkEnd w:id="64"/>
    <w:bookmarkStart w:id="66" w:name="ref-Bartlett2007"/>
    <w:p>
      <w:pPr>
        <w:pStyle w:val="Bibliography"/>
      </w:pPr>
      <w:r>
        <w:t xml:space="preserve">[3]</w:t>
      </w:r>
      <w:r>
        <w:t xml:space="preserve"> </w:t>
      </w:r>
      <w:r>
        <w:t xml:space="preserve">	</w:t>
      </w:r>
      <w:r>
        <w:t xml:space="preserve">R. Bartlett,</w:t>
      </w:r>
      <w:r>
        <w:t xml:space="preserve"> </w:t>
      </w:r>
      <w:r>
        <w:rPr>
          <w:i/>
          <w:iCs/>
        </w:rPr>
        <w:t xml:space="preserve">Introduction to sports biomechanics: Analysing human movement patterns</w:t>
      </w:r>
      <w:r>
        <w:t xml:space="preserve">, 2nd ed. London: Routledge, 2007. Available:</w:t>
      </w:r>
      <w:r>
        <w:t xml:space="preserve"> </w:t>
      </w:r>
      <w:hyperlink r:id="rId65">
        <w:r>
          <w:rPr>
            <w:rStyle w:val="Hyperlink"/>
          </w:rPr>
          <w:t xml:space="preserve">https://isbnsearch.org/isbn/9780415339940</w:t>
        </w:r>
      </w:hyperlink>
    </w:p>
    <w:bookmarkEnd w:id="66"/>
    <w:bookmarkStart w:id="68" w:name="ref-Chaffin1999"/>
    <w:p>
      <w:pPr>
        <w:pStyle w:val="Bibliography"/>
      </w:pPr>
      <w:r>
        <w:t xml:space="preserve">[4]</w:t>
      </w:r>
      <w:r>
        <w:t xml:space="preserve"> </w:t>
      </w:r>
      <w:r>
        <w:t xml:space="preserve">	</w:t>
      </w:r>
      <w:r>
        <w:t xml:space="preserve">D. B. Chaffin, G. B. J. Andersson, and B. J. Martin,</w:t>
      </w:r>
      <w:r>
        <w:t xml:space="preserve"> </w:t>
      </w:r>
      <w:r>
        <w:rPr>
          <w:i/>
          <w:iCs/>
        </w:rPr>
        <w:t xml:space="preserve">Occupational biomechanics</w:t>
      </w:r>
      <w:r>
        <w:t xml:space="preserve">, 3rd ed. New York: Wiley-Interscience, 1999. Available:</w:t>
      </w:r>
      <w:r>
        <w:t xml:space="preserve"> </w:t>
      </w:r>
      <w:hyperlink r:id="rId67">
        <w:r>
          <w:rPr>
            <w:rStyle w:val="Hyperlink"/>
          </w:rPr>
          <w:t xml:space="preserve">https://isbnsearch.org/isbn/9780471241973</w:t>
        </w:r>
      </w:hyperlink>
    </w:p>
    <w:bookmarkEnd w:id="68"/>
    <w:bookmarkStart w:id="70" w:name="ref-Parent2012"/>
    <w:p>
      <w:pPr>
        <w:pStyle w:val="Bibliography"/>
      </w:pPr>
      <w:r>
        <w:t xml:space="preserve">[5]</w:t>
      </w:r>
      <w:r>
        <w:t xml:space="preserve"> </w:t>
      </w:r>
      <w:r>
        <w:t xml:space="preserve">	</w:t>
      </w:r>
      <w:r>
        <w:t xml:space="preserve">R. Parent,</w:t>
      </w:r>
      <w:r>
        <w:t xml:space="preserve"> </w:t>
      </w:r>
      <w:r>
        <w:rPr>
          <w:i/>
          <w:iCs/>
        </w:rPr>
        <w:t xml:space="preserve">Computer animation: Algorithms and techniques</w:t>
      </w:r>
      <w:r>
        <w:t xml:space="preserve">, 3rd ed. Waltham, MA: Morgan Kaufmann, 2012. Available:</w:t>
      </w:r>
      <w:r>
        <w:t xml:space="preserve"> </w:t>
      </w:r>
      <w:hyperlink r:id="rId69">
        <w:r>
          <w:rPr>
            <w:rStyle w:val="Hyperlink"/>
          </w:rPr>
          <w:t xml:space="preserve">https://isbnsearch.org/isbn/9780124158429</w:t>
        </w:r>
      </w:hyperlink>
    </w:p>
    <w:bookmarkEnd w:id="70"/>
    <w:bookmarkStart w:id="72" w:name="ref-Moeslund2006"/>
    <w:p>
      <w:pPr>
        <w:pStyle w:val="Bibliography"/>
      </w:pPr>
      <w:r>
        <w:t xml:space="preserve">[6]</w:t>
      </w:r>
      <w:r>
        <w:t xml:space="preserve"> </w:t>
      </w:r>
      <w:r>
        <w:t xml:space="preserve">	</w:t>
      </w:r>
      <w:r>
        <w:t xml:space="preserve">T. B. Moeslund, A. Hilton, and V. Krüger,</w:t>
      </w:r>
      <w:r>
        <w:t xml:space="preserve"> </w:t>
      </w:r>
      <w:r>
        <w:t xml:space="preserve">“A survey of advances in vision-based human motion capture and analysis,”</w:t>
      </w:r>
      <w:r>
        <w:t xml:space="preserve"> </w:t>
      </w:r>
      <w:r>
        <w:rPr>
          <w:i/>
          <w:iCs/>
        </w:rPr>
        <w:t xml:space="preserve">Computer Vision and Image Understanding</w:t>
      </w:r>
      <w:r>
        <w:t xml:space="preserve">, vol. 104, no. 2–3, pp. 90–126, 2006, doi:</w:t>
      </w:r>
      <w:r>
        <w:t xml:space="preserve"> </w:t>
      </w:r>
      <w:hyperlink r:id="rId71">
        <w:r>
          <w:rPr>
            <w:rStyle w:val="Hyperlink"/>
          </w:rPr>
          <w:t xml:space="preserve">10.1016/j.cviu.2006.08.002</w:t>
        </w:r>
      </w:hyperlink>
      <w:r>
        <w:t xml:space="preserve">.</w:t>
      </w:r>
    </w:p>
    <w:bookmarkEnd w:id="72"/>
    <w:bookmarkStart w:id="74" w:name="ref-Sutherland2002"/>
    <w:p>
      <w:pPr>
        <w:pStyle w:val="Bibliography"/>
      </w:pPr>
      <w:r>
        <w:t xml:space="preserve">[7]</w:t>
      </w:r>
      <w:r>
        <w:t xml:space="preserve"> </w:t>
      </w:r>
      <w:r>
        <w:t xml:space="preserve">	</w:t>
      </w:r>
      <w:r>
        <w:t xml:space="preserve">D. H. Sutherland,</w:t>
      </w:r>
      <w:r>
        <w:t xml:space="preserve"> </w:t>
      </w:r>
      <w:r>
        <w:t xml:space="preserve">“The evolution of clinical gait analysis — part II: kinematics,”</w:t>
      </w:r>
      <w:r>
        <w:t xml:space="preserve"> </w:t>
      </w:r>
      <w:r>
        <w:rPr>
          <w:i/>
          <w:iCs/>
        </w:rPr>
        <w:t xml:space="preserve">Gait &amp; Posture</w:t>
      </w:r>
      <w:r>
        <w:t xml:space="preserve">, vol. 16, no. 2, pp. 159–179, 2002, doi:</w:t>
      </w:r>
      <w:r>
        <w:t xml:space="preserve"> </w:t>
      </w:r>
      <w:hyperlink r:id="rId73">
        <w:r>
          <w:rPr>
            <w:rStyle w:val="Hyperlink"/>
          </w:rPr>
          <w:t xml:space="preserve">10.1016/S0966-6362(02)00004-8</w:t>
        </w:r>
      </w:hyperlink>
      <w:r>
        <w:t xml:space="preserve">.</w:t>
      </w:r>
    </w:p>
    <w:bookmarkEnd w:id="74"/>
    <w:bookmarkStart w:id="76" w:name="ref-Chiari2005"/>
    <w:p>
      <w:pPr>
        <w:pStyle w:val="Bibliography"/>
      </w:pPr>
      <w:r>
        <w:t xml:space="preserve">[8]</w:t>
      </w:r>
      <w:r>
        <w:t xml:space="preserve"> </w:t>
      </w:r>
      <w:r>
        <w:t xml:space="preserve">	</w:t>
      </w:r>
      <w:r>
        <w:t xml:space="preserve">L. Chiari, U. D. Croce, A. Leardini, and A. Cappozzo,</w:t>
      </w:r>
      <w:r>
        <w:t xml:space="preserve"> </w:t>
      </w:r>
      <w:r>
        <w:t xml:space="preserve">“Human movement analysis using stereophotogrammetry — part 2: Instrumental errors,”</w:t>
      </w:r>
      <w:r>
        <w:t xml:space="preserve"> </w:t>
      </w:r>
      <w:r>
        <w:rPr>
          <w:i/>
          <w:iCs/>
        </w:rPr>
        <w:t xml:space="preserve">Gait &amp; Posture</w:t>
      </w:r>
      <w:r>
        <w:t xml:space="preserve">, vol. 21, no. 2, pp. 197–211, 2005, doi:</w:t>
      </w:r>
      <w:r>
        <w:t xml:space="preserve"> </w:t>
      </w:r>
      <w:hyperlink r:id="rId75">
        <w:r>
          <w:rPr>
            <w:rStyle w:val="Hyperlink"/>
          </w:rPr>
          <w:t xml:space="preserve">10.1016/j.gaitpost.2004.04.004</w:t>
        </w:r>
      </w:hyperlink>
      <w:r>
        <w:t xml:space="preserve">.</w:t>
      </w:r>
    </w:p>
    <w:bookmarkEnd w:id="76"/>
    <w:bookmarkStart w:id="77" w:name="ref-Roetenberg2009"/>
    <w:p>
      <w:pPr>
        <w:pStyle w:val="Bibliography"/>
      </w:pPr>
      <w:r>
        <w:t xml:space="preserve">[9]</w:t>
      </w:r>
      <w:r>
        <w:t xml:space="preserve"> </w:t>
      </w:r>
      <w:r>
        <w:t xml:space="preserve">	</w:t>
      </w:r>
      <w:r>
        <w:t xml:space="preserve">D. Roetenberg, H. Luinge, and P. Slycke,</w:t>
      </w:r>
      <w:r>
        <w:t xml:space="preserve"> </w:t>
      </w:r>
      <w:r>
        <w:t xml:space="preserve">“</w:t>
      </w:r>
      <w:r>
        <w:t xml:space="preserve">Xsens MVN</w:t>
      </w:r>
      <w:r>
        <w:t xml:space="preserve">: Full 6DOF human motion tracking using miniature inertial sensors,”</w:t>
      </w:r>
      <w:r>
        <w:t xml:space="preserve"> </w:t>
      </w:r>
      <w:r>
        <w:rPr>
          <w:i/>
          <w:iCs/>
        </w:rPr>
        <w:t xml:space="preserve">Xsens Technologies B.V. Technical Report</w:t>
      </w:r>
      <w:r>
        <w:t xml:space="preserve">, 2009.</w:t>
      </w:r>
    </w:p>
    <w:bookmarkEnd w:id="77"/>
    <w:bookmarkStart w:id="79" w:name="ref-Moeslund2001"/>
    <w:p>
      <w:pPr>
        <w:pStyle w:val="Bibliography"/>
      </w:pPr>
      <w:r>
        <w:t xml:space="preserve">[10]</w:t>
      </w:r>
      <w:r>
        <w:t xml:space="preserve"> </w:t>
      </w:r>
      <w:r>
        <w:t xml:space="preserve">	</w:t>
      </w:r>
      <w:r>
        <w:t xml:space="preserve">T. B. Moeslund and E. Granum,</w:t>
      </w:r>
      <w:r>
        <w:t xml:space="preserve"> </w:t>
      </w:r>
      <w:r>
        <w:t xml:space="preserve">“A survey of computer vision-based human motion capture,”</w:t>
      </w:r>
      <w:r>
        <w:t xml:space="preserve"> </w:t>
      </w:r>
      <w:r>
        <w:rPr>
          <w:i/>
          <w:iCs/>
        </w:rPr>
        <w:t xml:space="preserve">Computer Vision and Image Understanding</w:t>
      </w:r>
      <w:r>
        <w:t xml:space="preserve">, vol. 81, no. 3, pp. 231–268, 2001, doi:</w:t>
      </w:r>
      <w:r>
        <w:t xml:space="preserve"> </w:t>
      </w:r>
      <w:hyperlink r:id="rId78">
        <w:r>
          <w:rPr>
            <w:rStyle w:val="Hyperlink"/>
          </w:rPr>
          <w:t xml:space="preserve">10.1006/cviu.2000.0897</w:t>
        </w:r>
      </w:hyperlink>
      <w:r>
        <w:t xml:space="preserve">.</w:t>
      </w:r>
    </w:p>
    <w:bookmarkEnd w:id="79"/>
    <w:bookmarkStart w:id="81" w:name="ref-Mitchell1997"/>
    <w:p>
      <w:pPr>
        <w:pStyle w:val="Bibliography"/>
      </w:pPr>
      <w:r>
        <w:t xml:space="preserve">[11]</w:t>
      </w:r>
      <w:r>
        <w:t xml:space="preserve"> </w:t>
      </w:r>
      <w:r>
        <w:t xml:space="preserve">	</w:t>
      </w:r>
      <w:r>
        <w:t xml:space="preserve">T. M. Mitchell,</w:t>
      </w:r>
      <w:r>
        <w:t xml:space="preserve"> </w:t>
      </w:r>
      <w:r>
        <w:rPr>
          <w:i/>
          <w:iCs/>
        </w:rPr>
        <w:t xml:space="preserve">Machine learning</w:t>
      </w:r>
      <w:r>
        <w:t xml:space="preserve">. New York: McGraw-Hill, 1997. Available:</w:t>
      </w:r>
      <w:r>
        <w:t xml:space="preserve"> </w:t>
      </w:r>
      <w:hyperlink r:id="rId80">
        <w:r>
          <w:rPr>
            <w:rStyle w:val="Hyperlink"/>
          </w:rPr>
          <w:t xml:space="preserve">https://isbnsearch.org/isbn/9780070428073</w:t>
        </w:r>
      </w:hyperlink>
    </w:p>
    <w:bookmarkEnd w:id="81"/>
    <w:bookmarkStart w:id="83" w:name="ref-Bishop2006"/>
    <w:p>
      <w:pPr>
        <w:pStyle w:val="Bibliography"/>
      </w:pPr>
      <w:r>
        <w:t xml:space="preserve">[12]</w:t>
      </w:r>
      <w:r>
        <w:t xml:space="preserve"> </w:t>
      </w:r>
      <w:r>
        <w:t xml:space="preserve">	</w:t>
      </w:r>
      <w:r>
        <w:t xml:space="preserve">C. M. Bishop,</w:t>
      </w:r>
      <w:r>
        <w:t xml:space="preserve"> </w:t>
      </w:r>
      <w:r>
        <w:rPr>
          <w:i/>
          <w:iCs/>
        </w:rPr>
        <w:t xml:space="preserve">Pattern recognition and machine learning</w:t>
      </w:r>
      <w:r>
        <w:t xml:space="preserve">. New York: Springer, 2006. Available:</w:t>
      </w:r>
      <w:r>
        <w:t xml:space="preserve"> </w:t>
      </w:r>
      <w:hyperlink r:id="rId82">
        <w:r>
          <w:rPr>
            <w:rStyle w:val="Hyperlink"/>
          </w:rPr>
          <w:t xml:space="preserve">https://isbnsearch.org/isbn/9780387310732</w:t>
        </w:r>
      </w:hyperlink>
    </w:p>
    <w:bookmarkEnd w:id="83"/>
    <w:bookmarkStart w:id="85" w:name="ref-Goodfellow2016"/>
    <w:p>
      <w:pPr>
        <w:pStyle w:val="Bibliography"/>
      </w:pPr>
      <w:r>
        <w:t xml:space="preserve">[13]</w:t>
      </w:r>
      <w:r>
        <w:t xml:space="preserve"> </w:t>
      </w:r>
      <w:r>
        <w:t xml:space="preserve">	</w:t>
      </w:r>
      <w:r>
        <w:t xml:space="preserve">I. Goodfellow, Y. Bengio, and A. Courville,</w:t>
      </w:r>
      <w:r>
        <w:t xml:space="preserve"> </w:t>
      </w:r>
      <w:r>
        <w:rPr>
          <w:i/>
          <w:iCs/>
        </w:rPr>
        <w:t xml:space="preserve">Deep learning</w:t>
      </w:r>
      <w:r>
        <w:t xml:space="preserve">. Cambridge, MA: MIT Press, 2016. Available:</w:t>
      </w:r>
      <w:r>
        <w:t xml:space="preserve"> </w:t>
      </w:r>
      <w:hyperlink r:id="rId84">
        <w:r>
          <w:rPr>
            <w:rStyle w:val="Hyperlink"/>
          </w:rPr>
          <w:t xml:space="preserve">https://www.deeplearningbook.org</w:t>
        </w:r>
      </w:hyperlink>
    </w:p>
    <w:bookmarkEnd w:id="85"/>
    <w:bookmarkStart w:id="87" w:name="ref-LeCun2015"/>
    <w:p>
      <w:pPr>
        <w:pStyle w:val="Bibliography"/>
      </w:pPr>
      <w:r>
        <w:t xml:space="preserve">[14]</w:t>
      </w:r>
      <w:r>
        <w:t xml:space="preserve"> </w:t>
      </w:r>
      <w:r>
        <w:t xml:space="preserve">	</w:t>
      </w:r>
      <w:r>
        <w:t xml:space="preserve">Y. LeCun, Y. Bengio, and G. Hinton,</w:t>
      </w:r>
      <w:r>
        <w:t xml:space="preserve"> </w:t>
      </w:r>
      <w:r>
        <w:t xml:space="preserve">“Deep learning,”</w:t>
      </w:r>
      <w:r>
        <w:t xml:space="preserve"> </w:t>
      </w:r>
      <w:r>
        <w:rPr>
          <w:i/>
          <w:iCs/>
        </w:rPr>
        <w:t xml:space="preserve">Nature</w:t>
      </w:r>
      <w:r>
        <w:t xml:space="preserve">, vol. 521, pp. 436–444, 2015, doi:</w:t>
      </w:r>
      <w:r>
        <w:t xml:space="preserve"> </w:t>
      </w:r>
      <w:hyperlink r:id="rId86">
        <w:r>
          <w:rPr>
            <w:rStyle w:val="Hyperlink"/>
          </w:rPr>
          <w:t xml:space="preserve">10.1038/nature14539</w:t>
        </w:r>
      </w:hyperlink>
      <w:r>
        <w:t xml:space="preserve">.</w:t>
      </w:r>
    </w:p>
    <w:bookmarkEnd w:id="87"/>
    <w:bookmarkStart w:id="89" w:name="ref-Rosenblatt1958"/>
    <w:p>
      <w:pPr>
        <w:pStyle w:val="Bibliography"/>
      </w:pPr>
      <w:r>
        <w:t xml:space="preserve">[15]</w:t>
      </w:r>
      <w:r>
        <w:t xml:space="preserve"> </w:t>
      </w:r>
      <w:r>
        <w:t xml:space="preserve">	</w:t>
      </w:r>
      <w:r>
        <w:t xml:space="preserve">F. Rosenblatt,</w:t>
      </w:r>
      <w:r>
        <w:t xml:space="preserve"> </w:t>
      </w:r>
      <w:r>
        <w:t xml:space="preserve">“The perceptron: A probabilistic model for information storage and organization in the brain,”</w:t>
      </w:r>
      <w:r>
        <w:t xml:space="preserve"> </w:t>
      </w:r>
      <w:r>
        <w:rPr>
          <w:i/>
          <w:iCs/>
        </w:rPr>
        <w:t xml:space="preserve">Psychological Review</w:t>
      </w:r>
      <w:r>
        <w:t xml:space="preserve">, vol. 65, no. 6, pp. 386–408, 1958, doi:</w:t>
      </w:r>
      <w:r>
        <w:t xml:space="preserve"> </w:t>
      </w:r>
      <w:hyperlink r:id="rId88">
        <w:r>
          <w:rPr>
            <w:rStyle w:val="Hyperlink"/>
          </w:rPr>
          <w:t xml:space="preserve">10.1037/h0042519</w:t>
        </w:r>
      </w:hyperlink>
      <w:r>
        <w:t xml:space="preserve">.</w:t>
      </w:r>
    </w:p>
    <w:bookmarkEnd w:id="89"/>
    <w:bookmarkStart w:id="91" w:name="ref-Rumelhart1986"/>
    <w:p>
      <w:pPr>
        <w:pStyle w:val="Bibliography"/>
      </w:pPr>
      <w:r>
        <w:t xml:space="preserve">[16]</w:t>
      </w:r>
      <w:r>
        <w:t xml:space="preserve"> </w:t>
      </w:r>
      <w:r>
        <w:t xml:space="preserve">	</w:t>
      </w:r>
      <w:r>
        <w:t xml:space="preserve">D. E. Rumelhart, G. E. Hinton, and R. J. Williams,</w:t>
      </w:r>
      <w:r>
        <w:t xml:space="preserve"> </w:t>
      </w:r>
      <w:r>
        <w:t xml:space="preserve">“Learning representations by back-propagating errors,”</w:t>
      </w:r>
      <w:r>
        <w:t xml:space="preserve"> </w:t>
      </w:r>
      <w:r>
        <w:rPr>
          <w:i/>
          <w:iCs/>
        </w:rPr>
        <w:t xml:space="preserve">Nature</w:t>
      </w:r>
      <w:r>
        <w:t xml:space="preserve">, vol. 323, pp. 533–536, 1986, doi:</w:t>
      </w:r>
      <w:r>
        <w:t xml:space="preserve"> </w:t>
      </w:r>
      <w:hyperlink r:id="rId90">
        <w:r>
          <w:rPr>
            <w:rStyle w:val="Hyperlink"/>
          </w:rPr>
          <w:t xml:space="preserve">10.1038/323533a0</w:t>
        </w:r>
      </w:hyperlink>
      <w:r>
        <w:t xml:space="preserve">.</w:t>
      </w:r>
    </w:p>
    <w:bookmarkEnd w:id="91"/>
    <w:bookmarkStart w:id="92" w:name="ref-Nair2010"/>
    <w:p>
      <w:pPr>
        <w:pStyle w:val="Bibliography"/>
      </w:pPr>
      <w:r>
        <w:t xml:space="preserve">[17]</w:t>
      </w:r>
      <w:r>
        <w:t xml:space="preserve"> </w:t>
      </w:r>
      <w:r>
        <w:t xml:space="preserve">	</w:t>
      </w:r>
      <w:r>
        <w:t xml:space="preserve">V. Nair and G. E. Hinton,</w:t>
      </w:r>
      <w:r>
        <w:t xml:space="preserve"> </w:t>
      </w:r>
      <w:r>
        <w:t xml:space="preserve">“Rectified linear units improve restricted boltzmann machines,”</w:t>
      </w:r>
      <w:r>
        <w:t xml:space="preserve"> </w:t>
      </w:r>
      <w:r>
        <w:t xml:space="preserve">pp. 807–814, 2010.</w:t>
      </w:r>
    </w:p>
    <w:bookmarkEnd w:id="92"/>
    <w:bookmarkStart w:id="93" w:name="ref-Ioffe2015"/>
    <w:p>
      <w:pPr>
        <w:pStyle w:val="Bibliography"/>
      </w:pPr>
      <w:r>
        <w:t xml:space="preserve">[18]</w:t>
      </w:r>
      <w:r>
        <w:t xml:space="preserve"> </w:t>
      </w:r>
      <w:r>
        <w:t xml:space="preserve">	</w:t>
      </w:r>
      <w:r>
        <w:t xml:space="preserve">S. Ioffe and C. Szegedy,</w:t>
      </w:r>
      <w:r>
        <w:t xml:space="preserve"> </w:t>
      </w:r>
      <w:r>
        <w:t xml:space="preserve">“Batch normalization: Accelerating deep network training by reducing internal covariate shift,”</w:t>
      </w:r>
      <w:r>
        <w:t xml:space="preserve"> </w:t>
      </w:r>
      <w:r>
        <w:t xml:space="preserve">pp. 448–456, 2015.</w:t>
      </w:r>
    </w:p>
    <w:bookmarkEnd w:id="93"/>
    <w:bookmarkStart w:id="95" w:name="ref-He2016"/>
    <w:p>
      <w:pPr>
        <w:pStyle w:val="Bibliography"/>
      </w:pPr>
      <w:r>
        <w:t xml:space="preserve">[19]</w:t>
      </w:r>
      <w:r>
        <w:t xml:space="preserve"> </w:t>
      </w:r>
      <w:r>
        <w:t xml:space="preserve">	</w:t>
      </w:r>
      <w:r>
        <w:t xml:space="preserve">K. He, X. Zhang, S. Ren, and J. Sun,</w:t>
      </w:r>
      <w:r>
        <w:t xml:space="preserve"> </w:t>
      </w:r>
      <w:r>
        <w:t xml:space="preserve">“Deep residual learning for image recognition,”</w:t>
      </w:r>
      <w:r>
        <w:t xml:space="preserve"> </w:t>
      </w:r>
      <w:r>
        <w:t xml:space="preserve">in</w:t>
      </w:r>
      <w:r>
        <w:t xml:space="preserve"> </w:t>
      </w:r>
      <w:r>
        <w:rPr>
          <w:i/>
          <w:iCs/>
        </w:rPr>
        <w:t xml:space="preserve">Proceedings of the IEEE conference on computer vision and pattern recognition (CVPR)</w:t>
      </w:r>
      <w:r>
        <w:t xml:space="preserve">, 2016, pp. 770–778. doi:</w:t>
      </w:r>
      <w:r>
        <w:t xml:space="preserve"> </w:t>
      </w:r>
      <w:hyperlink r:id="rId94">
        <w:r>
          <w:rPr>
            <w:rStyle w:val="Hyperlink"/>
          </w:rPr>
          <w:t xml:space="preserve">10.1109/CVPR.2016.90</w:t>
        </w:r>
      </w:hyperlink>
      <w:r>
        <w:t xml:space="preserve">.</w:t>
      </w:r>
    </w:p>
    <w:bookmarkEnd w:id="95"/>
    <w:bookmarkStart w:id="97" w:name="ref-LeCun1998"/>
    <w:p>
      <w:pPr>
        <w:pStyle w:val="Bibliography"/>
      </w:pPr>
      <w:r>
        <w:t xml:space="preserve">[20]</w:t>
      </w:r>
      <w:r>
        <w:t xml:space="preserve"> </w:t>
      </w:r>
      <w:r>
        <w:t xml:space="preserve">	</w:t>
      </w:r>
      <w:r>
        <w:t xml:space="preserve">Y. LeCun, L. Bottou, Y. Bengio, and P. Haffner,</w:t>
      </w:r>
      <w:r>
        <w:t xml:space="preserve"> </w:t>
      </w:r>
      <w:r>
        <w:t xml:space="preserve">“Gradient-based learning applied to document recognition,”</w:t>
      </w:r>
      <w:r>
        <w:t xml:space="preserve"> </w:t>
      </w:r>
      <w:r>
        <w:rPr>
          <w:i/>
          <w:iCs/>
        </w:rPr>
        <w:t xml:space="preserve">Proceedings of the IEEE</w:t>
      </w:r>
      <w:r>
        <w:t xml:space="preserve">, vol. 86, no. 11, pp. 2278–2324, 1998, doi:</w:t>
      </w:r>
      <w:r>
        <w:t xml:space="preserve"> </w:t>
      </w:r>
      <w:hyperlink r:id="rId96">
        <w:r>
          <w:rPr>
            <w:rStyle w:val="Hyperlink"/>
          </w:rPr>
          <w:t xml:space="preserve">10.1109/5.726791</w:t>
        </w:r>
      </w:hyperlink>
      <w:r>
        <w:t xml:space="preserve">.</w:t>
      </w:r>
    </w:p>
    <w:bookmarkEnd w:id="97"/>
    <w:bookmarkStart w:id="99" w:name="ref-Lin2017"/>
    <w:p>
      <w:pPr>
        <w:pStyle w:val="Bibliography"/>
      </w:pPr>
      <w:r>
        <w:t xml:space="preserve">[21]</w:t>
      </w:r>
      <w:r>
        <w:t xml:space="preserve"> </w:t>
      </w:r>
      <w:r>
        <w:t xml:space="preserve">	</w:t>
      </w:r>
      <w:r>
        <w:t xml:space="preserve">T.-Y. Lin, P. Dollár, R. Girshick, K. He, B. Hariharan, and S. Belongie,</w:t>
      </w:r>
      <w:r>
        <w:t xml:space="preserve"> </w:t>
      </w:r>
      <w:r>
        <w:t xml:space="preserve">“Feature pyramid networks for object detection,”</w:t>
      </w:r>
      <w:r>
        <w:t xml:space="preserve"> </w:t>
      </w:r>
      <w:r>
        <w:t xml:space="preserve">in</w:t>
      </w:r>
      <w:r>
        <w:t xml:space="preserve"> </w:t>
      </w:r>
      <w:r>
        <w:rPr>
          <w:i/>
          <w:iCs/>
        </w:rPr>
        <w:t xml:space="preserve">Proceedings of the IEEE conference on computer vision and pattern recognition (CVPR)</w:t>
      </w:r>
      <w:r>
        <w:t xml:space="preserve">, 2017, pp. 2117–2125. doi:</w:t>
      </w:r>
      <w:r>
        <w:t xml:space="preserve"> </w:t>
      </w:r>
      <w:hyperlink r:id="rId98">
        <w:r>
          <w:rPr>
            <w:rStyle w:val="Hyperlink"/>
          </w:rPr>
          <w:t xml:space="preserve">10.1109/CVPR.2017.106</w:t>
        </w:r>
      </w:hyperlink>
      <w:r>
        <w:t xml:space="preserve">.</w:t>
      </w:r>
    </w:p>
    <w:bookmarkEnd w:id="99"/>
    <w:bookmarkStart w:id="101" w:name="ref-Redmon2016"/>
    <w:p>
      <w:pPr>
        <w:pStyle w:val="Bibliography"/>
      </w:pPr>
      <w:r>
        <w:t xml:space="preserve">[22]</w:t>
      </w:r>
      <w:r>
        <w:t xml:space="preserve"> </w:t>
      </w:r>
      <w:r>
        <w:t xml:space="preserve">	</w:t>
      </w:r>
      <w:r>
        <w:t xml:space="preserve">J. Redmon, S. K. Divvala, R. Girshick, and A. Farhadi,</w:t>
      </w:r>
      <w:r>
        <w:t xml:space="preserve"> </w:t>
      </w:r>
      <w:r>
        <w:t xml:space="preserve">“You only look once: Unified, real-time object detection,”</w:t>
      </w:r>
      <w:r>
        <w:t xml:space="preserve"> </w:t>
      </w:r>
      <w:r>
        <w:t xml:space="preserve">in</w:t>
      </w:r>
      <w:r>
        <w:t xml:space="preserve"> </w:t>
      </w:r>
      <w:r>
        <w:rPr>
          <w:i/>
          <w:iCs/>
        </w:rPr>
        <w:t xml:space="preserve">Proceedings of the IEEE conference on computer vision and pattern recognition (CVPR)</w:t>
      </w:r>
      <w:r>
        <w:t xml:space="preserve">, 2016, pp. 779–788. doi:</w:t>
      </w:r>
      <w:r>
        <w:t xml:space="preserve"> </w:t>
      </w:r>
      <w:hyperlink r:id="rId100">
        <w:r>
          <w:rPr>
            <w:rStyle w:val="Hyperlink"/>
          </w:rPr>
          <w:t xml:space="preserve">10.1109/CVPR.2016.91</w:t>
        </w:r>
      </w:hyperlink>
      <w:r>
        <w:t xml:space="preserve">.</w:t>
      </w:r>
    </w:p>
    <w:bookmarkEnd w:id="101"/>
    <w:bookmarkStart w:id="103" w:name="ref-Howard2017"/>
    <w:p>
      <w:pPr>
        <w:pStyle w:val="Bibliography"/>
      </w:pPr>
      <w:r>
        <w:t xml:space="preserve">[23]</w:t>
      </w:r>
      <w:r>
        <w:t xml:space="preserve"> </w:t>
      </w:r>
      <w:r>
        <w:t xml:space="preserve">	</w:t>
      </w:r>
      <w:r>
        <w:t xml:space="preserve">A. G. Howard</w:t>
      </w:r>
      <w:r>
        <w:t xml:space="preserve"> </w:t>
      </w:r>
      <w:r>
        <w:rPr>
          <w:i/>
          <w:iCs/>
        </w:rPr>
        <w:t xml:space="preserve">et al.</w:t>
      </w:r>
      <w:r>
        <w:t xml:space="preserve">,</w:t>
      </w:r>
      <w:r>
        <w:t xml:space="preserve"> </w:t>
      </w:r>
      <w:r>
        <w:t xml:space="preserve">“</w:t>
      </w:r>
      <w:r>
        <w:t xml:space="preserve">MobileNets</w:t>
      </w:r>
      <w:r>
        <w:t xml:space="preserve">: Efficient convolutional neural networks for mobile vision applications,”</w:t>
      </w:r>
      <w:r>
        <w:t xml:space="preserve"> </w:t>
      </w:r>
      <w:r>
        <w:rPr>
          <w:i/>
          <w:iCs/>
        </w:rPr>
        <w:t xml:space="preserve">arXiv preprint arXiv:1704.04861</w:t>
      </w:r>
      <w:r>
        <w:t xml:space="preserve">, 2017, Available:</w:t>
      </w:r>
      <w:r>
        <w:t xml:space="preserve"> </w:t>
      </w:r>
      <w:hyperlink r:id="rId102">
        <w:r>
          <w:rPr>
            <w:rStyle w:val="Hyperlink"/>
          </w:rPr>
          <w:t xml:space="preserve">https://arxiv.org/abs/1704.04861</w:t>
        </w:r>
      </w:hyperlink>
    </w:p>
    <w:bookmarkEnd w:id="103"/>
    <w:bookmarkStart w:id="104" w:name="ref-Tan2019"/>
    <w:p>
      <w:pPr>
        <w:pStyle w:val="Bibliography"/>
      </w:pPr>
      <w:r>
        <w:t xml:space="preserve">[24]</w:t>
      </w:r>
      <w:r>
        <w:t xml:space="preserve"> </w:t>
      </w:r>
      <w:r>
        <w:t xml:space="preserve">	</w:t>
      </w:r>
      <w:r>
        <w:t xml:space="preserve">M. Tan and Q. V. Le,</w:t>
      </w:r>
      <w:r>
        <w:t xml:space="preserve"> </w:t>
      </w:r>
      <w:r>
        <w:t xml:space="preserve">“</w:t>
      </w:r>
      <w:r>
        <w:t xml:space="preserve">EfficientNet</w:t>
      </w:r>
      <w:r>
        <w:t xml:space="preserve">: Rethinking model scaling for convolutional neural networks,”</w:t>
      </w:r>
      <w:r>
        <w:t xml:space="preserve"> </w:t>
      </w:r>
      <w:r>
        <w:t xml:space="preserve">in</w:t>
      </w:r>
      <w:r>
        <w:t xml:space="preserve"> </w:t>
      </w:r>
      <w:r>
        <w:rPr>
          <w:i/>
          <w:iCs/>
        </w:rPr>
        <w:t xml:space="preserve">Proceedings of the 36th international conference on machine learning (ICML)</w:t>
      </w:r>
      <w:r>
        <w:t xml:space="preserve">, PMLR, 2019, pp. 6105–6114.</w:t>
      </w:r>
    </w:p>
    <w:bookmarkEnd w:id="104"/>
    <w:bookmarkStart w:id="106" w:name="ref-Bazarevsky2020"/>
    <w:p>
      <w:pPr>
        <w:pStyle w:val="Bibliography"/>
      </w:pPr>
      <w:r>
        <w:t xml:space="preserve">[25]</w:t>
      </w:r>
      <w:r>
        <w:t xml:space="preserve"> </w:t>
      </w:r>
      <w:r>
        <w:t xml:space="preserve">	</w:t>
      </w:r>
      <w:r>
        <w:t xml:space="preserve">V. Bazarevsky, I. Grishchenko, K. Raveendran, T. Zhu, F. Zhang, and M. Grundmann,</w:t>
      </w:r>
      <w:r>
        <w:t xml:space="preserve"> </w:t>
      </w:r>
      <w:r>
        <w:t xml:space="preserve">“</w:t>
      </w:r>
      <w:r>
        <w:t xml:space="preserve">BlazePose</w:t>
      </w:r>
      <w:r>
        <w:t xml:space="preserve">: On-device real-time body pose tracking,”</w:t>
      </w:r>
      <w:r>
        <w:t xml:space="preserve"> </w:t>
      </w:r>
      <w:r>
        <w:rPr>
          <w:i/>
          <w:iCs/>
        </w:rPr>
        <w:t xml:space="preserve">arXiv preprint arXiv:2006.10204</w:t>
      </w:r>
      <w:r>
        <w:t xml:space="preserve">, 2020, Available:</w:t>
      </w:r>
      <w:r>
        <w:t xml:space="preserve"> </w:t>
      </w:r>
      <w:hyperlink r:id="rId105">
        <w:r>
          <w:rPr>
            <w:rStyle w:val="Hyperlink"/>
          </w:rPr>
          <w:t xml:space="preserve">https://arxiv.org/abs/2006.10204</w:t>
        </w:r>
      </w:hyperlink>
    </w:p>
    <w:bookmarkEnd w:id="106"/>
    <w:bookmarkStart w:id="108" w:name="ref-Hochreiter1997"/>
    <w:p>
      <w:pPr>
        <w:pStyle w:val="Bibliography"/>
      </w:pPr>
      <w:r>
        <w:t xml:space="preserve">[26]</w:t>
      </w:r>
      <w:r>
        <w:t xml:space="preserve"> </w:t>
      </w:r>
      <w:r>
        <w:t xml:space="preserve">	</w:t>
      </w:r>
      <w:r>
        <w:t xml:space="preserve">S. Hochreiter and J. Schmidhuber,</w:t>
      </w:r>
      <w:r>
        <w:t xml:space="preserve"> </w:t>
      </w:r>
      <w:r>
        <w:t xml:space="preserve">“Long short-term memory,”</w:t>
      </w:r>
      <w:r>
        <w:t xml:space="preserve"> </w:t>
      </w:r>
      <w:r>
        <w:rPr>
          <w:i/>
          <w:iCs/>
        </w:rPr>
        <w:t xml:space="preserve">Neural Computation</w:t>
      </w:r>
      <w:r>
        <w:t xml:space="preserve">, vol. 9, no. 8, pp. 1735–1780, 1997, doi:</w:t>
      </w:r>
      <w:r>
        <w:t xml:space="preserve"> </w:t>
      </w:r>
      <w:hyperlink r:id="rId107">
        <w:r>
          <w:rPr>
            <w:rStyle w:val="Hyperlink"/>
          </w:rPr>
          <w:t xml:space="preserve">10.1162/neco.1997.9.8.1735</w:t>
        </w:r>
      </w:hyperlink>
      <w:r>
        <w:t xml:space="preserve">.</w:t>
      </w:r>
    </w:p>
    <w:bookmarkEnd w:id="108"/>
    <w:bookmarkStart w:id="110" w:name="ref-Cho2014"/>
    <w:p>
      <w:pPr>
        <w:pStyle w:val="Bibliography"/>
      </w:pPr>
      <w:r>
        <w:t xml:space="preserve">[27]</w:t>
      </w:r>
      <w:r>
        <w:t xml:space="preserve"> </w:t>
      </w:r>
      <w:r>
        <w:t xml:space="preserve">	</w:t>
      </w:r>
      <w:r>
        <w:t xml:space="preserve">K. Cho</w:t>
      </w:r>
      <w:r>
        <w:t xml:space="preserve"> </w:t>
      </w:r>
      <w:r>
        <w:rPr>
          <w:i/>
          <w:iCs/>
        </w:rPr>
        <w:t xml:space="preserve">et al.</w:t>
      </w:r>
      <w:r>
        <w:t xml:space="preserve">,</w:t>
      </w:r>
      <w:r>
        <w:t xml:space="preserve"> </w:t>
      </w:r>
      <w:r>
        <w:t xml:space="preserve">“Learning phrase representations using</w:t>
      </w:r>
      <w:r>
        <w:t xml:space="preserve"> </w:t>
      </w:r>
      <w:r>
        <w:t xml:space="preserve">RNN</w:t>
      </w:r>
      <w:r>
        <w:t xml:space="preserve"> </w:t>
      </w:r>
      <w:r>
        <w:t xml:space="preserve">encoder-decoder for statistical machine translation,”</w:t>
      </w:r>
      <w:r>
        <w:t xml:space="preserve"> </w:t>
      </w:r>
      <w:r>
        <w:t xml:space="preserve">in</w:t>
      </w:r>
      <w:r>
        <w:t xml:space="preserve"> </w:t>
      </w:r>
      <w:r>
        <w:rPr>
          <w:i/>
          <w:iCs/>
        </w:rPr>
        <w:t xml:space="preserve">Proceedings of the 2014 conference on empirical methods in natural language processing (EMNLP)</w:t>
      </w:r>
      <w:r>
        <w:t xml:space="preserve">, 2014, pp. 1724–1734. doi:</w:t>
      </w:r>
      <w:r>
        <w:t xml:space="preserve"> </w:t>
      </w:r>
      <w:hyperlink r:id="rId109">
        <w:r>
          <w:rPr>
            <w:rStyle w:val="Hyperlink"/>
          </w:rPr>
          <w:t xml:space="preserve">10.3115/v1/D14-1179</w:t>
        </w:r>
      </w:hyperlink>
      <w:r>
        <w:t xml:space="preserve">.</w:t>
      </w:r>
    </w:p>
    <w:bookmarkEnd w:id="110"/>
    <w:bookmarkStart w:id="112" w:name="ref-Martinez2017Pred"/>
    <w:p>
      <w:pPr>
        <w:pStyle w:val="Bibliography"/>
      </w:pPr>
      <w:r>
        <w:t xml:space="preserve">[28]</w:t>
      </w:r>
      <w:r>
        <w:t xml:space="preserve"> </w:t>
      </w:r>
      <w:r>
        <w:t xml:space="preserve">	</w:t>
      </w:r>
      <w:r>
        <w:t xml:space="preserve">J. Martinez, M. J. Black, and J. Romero,</w:t>
      </w:r>
      <w:r>
        <w:t xml:space="preserve"> </w:t>
      </w:r>
      <w:r>
        <w:t xml:space="preserve">“On human motion prediction using recurrent neural networks,”</w:t>
      </w:r>
      <w:r>
        <w:t xml:space="preserve"> </w:t>
      </w:r>
      <w:r>
        <w:t xml:space="preserve">in</w:t>
      </w:r>
      <w:r>
        <w:t xml:space="preserve"> </w:t>
      </w:r>
      <w:r>
        <w:rPr>
          <w:i/>
          <w:iCs/>
        </w:rPr>
        <w:t xml:space="preserve">Proceedings of the IEEE conference on computer vision and pattern recognition (CVPR)</w:t>
      </w:r>
      <w:r>
        <w:t xml:space="preserve">, 2017, pp. 2891–2900. doi:</w:t>
      </w:r>
      <w:r>
        <w:t xml:space="preserve"> </w:t>
      </w:r>
      <w:hyperlink r:id="rId111">
        <w:r>
          <w:rPr>
            <w:rStyle w:val="Hyperlink"/>
          </w:rPr>
          <w:t xml:space="preserve">10.1109/CVPR.2017.497</w:t>
        </w:r>
      </w:hyperlink>
      <w:r>
        <w:t xml:space="preserve">.</w:t>
      </w:r>
    </w:p>
    <w:bookmarkEnd w:id="112"/>
    <w:bookmarkStart w:id="114" w:name="ref-Pavllo2019"/>
    <w:p>
      <w:pPr>
        <w:pStyle w:val="Bibliography"/>
      </w:pPr>
      <w:r>
        <w:t xml:space="preserve">[29]</w:t>
      </w:r>
      <w:r>
        <w:t xml:space="preserve"> </w:t>
      </w:r>
      <w:r>
        <w:t xml:space="preserve">	</w:t>
      </w:r>
      <w:r>
        <w:t xml:space="preserve">D. Pavllo, C. Feichtenhofer, D. Grangier, and M. Auli,</w:t>
      </w:r>
      <w:r>
        <w:t xml:space="preserve"> </w:t>
      </w:r>
      <w:r>
        <w:t xml:space="preserve">“</w:t>
      </w:r>
      <w:r>
        <w:t xml:space="preserve">3D</w:t>
      </w:r>
      <w:r>
        <w:t xml:space="preserve"> </w:t>
      </w:r>
      <w:r>
        <w:t xml:space="preserve">human pose estimation in video with temporal convolutions and semi-supervised training,”</w:t>
      </w:r>
      <w:r>
        <w:t xml:space="preserve"> </w:t>
      </w:r>
      <w:r>
        <w:t xml:space="preserve">in</w:t>
      </w:r>
      <w:r>
        <w:t xml:space="preserve"> </w:t>
      </w:r>
      <w:r>
        <w:rPr>
          <w:i/>
          <w:iCs/>
        </w:rPr>
        <w:t xml:space="preserve">Proceedings of the IEEE conference on computer vision and pattern recognition (CVPR)</w:t>
      </w:r>
      <w:r>
        <w:t xml:space="preserve">, 2019, pp. 7753–7762. doi:</w:t>
      </w:r>
      <w:r>
        <w:t xml:space="preserve"> </w:t>
      </w:r>
      <w:hyperlink r:id="rId113">
        <w:r>
          <w:rPr>
            <w:rStyle w:val="Hyperlink"/>
          </w:rPr>
          <w:t xml:space="preserve">10.1109/CVPR.2019.00794</w:t>
        </w:r>
      </w:hyperlink>
      <w:r>
        <w:t xml:space="preserve">.</w:t>
      </w:r>
    </w:p>
    <w:bookmarkEnd w:id="114"/>
    <w:bookmarkStart w:id="115" w:name="ref-Vaswani2017"/>
    <w:p>
      <w:pPr>
        <w:pStyle w:val="Bibliography"/>
      </w:pPr>
      <w:r>
        <w:t xml:space="preserve">[30]</w:t>
      </w:r>
      <w:r>
        <w:t xml:space="preserve"> </w:t>
      </w:r>
      <w:r>
        <w:t xml:space="preserve">	</w:t>
      </w:r>
      <w:r>
        <w:t xml:space="preserve">A. Vaswani</w:t>
      </w:r>
      <w:r>
        <w:t xml:space="preserve"> </w:t>
      </w:r>
      <w:r>
        <w:rPr>
          <w:i/>
          <w:iCs/>
        </w:rPr>
        <w:t xml:space="preserve">et al.</w:t>
      </w:r>
      <w:r>
        <w:t xml:space="preserve">,</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2017.</w:t>
      </w:r>
    </w:p>
    <w:bookmarkEnd w:id="115"/>
    <w:bookmarkStart w:id="117" w:name="ref-Szeliski2022"/>
    <w:p>
      <w:pPr>
        <w:pStyle w:val="Bibliography"/>
      </w:pPr>
      <w:r>
        <w:t xml:space="preserve">[31]</w:t>
      </w:r>
      <w:r>
        <w:t xml:space="preserve"> </w:t>
      </w:r>
      <w:r>
        <w:t xml:space="preserve">	</w:t>
      </w:r>
      <w:r>
        <w:t xml:space="preserve">R. Szeliski,</w:t>
      </w:r>
      <w:r>
        <w:t xml:space="preserve"> </w:t>
      </w:r>
      <w:r>
        <w:rPr>
          <w:i/>
          <w:iCs/>
        </w:rPr>
        <w:t xml:space="preserve">Computer vision: Algorithms and applications</w:t>
      </w:r>
      <w:r>
        <w:t xml:space="preserve">, 2nd ed. Cham: Springer, 2022. doi:</w:t>
      </w:r>
      <w:r>
        <w:t xml:space="preserve"> </w:t>
      </w:r>
      <w:hyperlink r:id="rId116">
        <w:r>
          <w:rPr>
            <w:rStyle w:val="Hyperlink"/>
          </w:rPr>
          <w:t xml:space="preserve">10.1007/978-3-030-34372-9</w:t>
        </w:r>
      </w:hyperlink>
      <w:r>
        <w:t xml:space="preserve">.</w:t>
      </w:r>
    </w:p>
    <w:bookmarkEnd w:id="117"/>
    <w:bookmarkStart w:id="118" w:name="ref-Krizhevsky2012"/>
    <w:p>
      <w:pPr>
        <w:pStyle w:val="Bibliography"/>
      </w:pPr>
      <w:r>
        <w:t xml:space="preserve">[32]</w:t>
      </w:r>
      <w:r>
        <w:t xml:space="preserve"> </w:t>
      </w:r>
      <w:r>
        <w:t xml:space="preserve">	</w:t>
      </w:r>
      <w:r>
        <w:t xml:space="preserve">A. Krizhevsky, I. Sutskever, and G. E. Hinton,</w:t>
      </w:r>
      <w:r>
        <w:t xml:space="preserve"> </w:t>
      </w:r>
      <w:r>
        <w:t xml:space="preserve">“</w:t>
      </w:r>
      <w:r>
        <w:t xml:space="preserve">ImageNet</w:t>
      </w:r>
      <w:r>
        <w:t xml:space="preserve"> </w:t>
      </w:r>
      <w:r>
        <w:t xml:space="preserve">classification with deep convolutional neural networks,”</w:t>
      </w:r>
      <w:r>
        <w:t xml:space="preserve"> </w:t>
      </w:r>
      <w:r>
        <w:t xml:space="preserve">in</w:t>
      </w:r>
      <w:r>
        <w:t xml:space="preserve"> </w:t>
      </w:r>
      <w:r>
        <w:rPr>
          <w:i/>
          <w:iCs/>
        </w:rPr>
        <w:t xml:space="preserve">Advances in neural information processing systems (NeurIPS)</w:t>
      </w:r>
      <w:r>
        <w:t xml:space="preserve">, 2012, pp. 1097–1105.</w:t>
      </w:r>
    </w:p>
    <w:bookmarkEnd w:id="118"/>
    <w:bookmarkStart w:id="120" w:name="ref-Jocher2023"/>
    <w:p>
      <w:pPr>
        <w:pStyle w:val="Bibliography"/>
      </w:pPr>
      <w:r>
        <w:t xml:space="preserve">[33]</w:t>
      </w:r>
      <w:r>
        <w:t xml:space="preserve"> </w:t>
      </w:r>
      <w:r>
        <w:t xml:space="preserve">	</w:t>
      </w:r>
      <w:r>
        <w:t xml:space="preserve">G. Jocher, A. Chaurasia, and J. Qiu,</w:t>
      </w:r>
      <w:r>
        <w:t xml:space="preserve"> </w:t>
      </w:r>
      <w:r>
        <w:rPr>
          <w:i/>
          <w:iCs/>
        </w:rPr>
        <w:t xml:space="preserve">YOLO</w:t>
      </w:r>
      <w:r>
        <w:rPr>
          <w:i/>
          <w:iCs/>
        </w:rPr>
        <w:t xml:space="preserve"> </w:t>
      </w:r>
      <w:r>
        <w:rPr>
          <w:i/>
          <w:iCs/>
        </w:rPr>
        <w:t xml:space="preserve">by ultralytics (v8)</w:t>
      </w:r>
      <w:r>
        <w:t xml:space="preserve">. (2023). Available:</w:t>
      </w:r>
      <w:r>
        <w:t xml:space="preserve"> </w:t>
      </w:r>
      <w:hyperlink r:id="rId119">
        <w:r>
          <w:rPr>
            <w:rStyle w:val="Hyperlink"/>
          </w:rPr>
          <w:t xml:space="preserve">https://github.com/ultralytics/ultralytics</w:t>
        </w:r>
      </w:hyperlink>
    </w:p>
    <w:bookmarkEnd w:id="120"/>
    <w:bookmarkStart w:id="122" w:name="ref-Zheng2023Survey"/>
    <w:p>
      <w:pPr>
        <w:pStyle w:val="Bibliography"/>
      </w:pPr>
      <w:r>
        <w:t xml:space="preserve">[34]</w:t>
      </w:r>
      <w:r>
        <w:t xml:space="preserve"> </w:t>
      </w:r>
      <w:r>
        <w:t xml:space="preserve">	</w:t>
      </w:r>
      <w:r>
        <w:t xml:space="preserve">C. Zheng</w:t>
      </w:r>
      <w:r>
        <w:t xml:space="preserve"> </w:t>
      </w:r>
      <w:r>
        <w:rPr>
          <w:i/>
          <w:iCs/>
        </w:rPr>
        <w:t xml:space="preserve">et al.</w:t>
      </w:r>
      <w:r>
        <w:t xml:space="preserve">,</w:t>
      </w:r>
      <w:r>
        <w:t xml:space="preserve"> </w:t>
      </w:r>
      <w:r>
        <w:t xml:space="preserve">“Deep learning-based human pose estimation: A survey,”</w:t>
      </w:r>
      <w:r>
        <w:t xml:space="preserve"> </w:t>
      </w:r>
      <w:r>
        <w:rPr>
          <w:i/>
          <w:iCs/>
        </w:rPr>
        <w:t xml:space="preserve">ACM Computing Surveys</w:t>
      </w:r>
      <w:r>
        <w:t xml:space="preserve">, vol. 56, no. 1, pp. 1–37, 2023, doi:</w:t>
      </w:r>
      <w:r>
        <w:t xml:space="preserve"> </w:t>
      </w:r>
      <w:hyperlink r:id="rId121">
        <w:r>
          <w:rPr>
            <w:rStyle w:val="Hyperlink"/>
          </w:rPr>
          <w:t xml:space="preserve">10.1145/3603618</w:t>
        </w:r>
      </w:hyperlink>
      <w:r>
        <w:t xml:space="preserve">.</w:t>
      </w:r>
    </w:p>
    <w:bookmarkEnd w:id="122"/>
    <w:bookmarkStart w:id="124" w:name="ref-Cao2017"/>
    <w:p>
      <w:pPr>
        <w:pStyle w:val="Bibliography"/>
      </w:pPr>
      <w:r>
        <w:t xml:space="preserve">[35]</w:t>
      </w:r>
      <w:r>
        <w:t xml:space="preserve"> </w:t>
      </w:r>
      <w:r>
        <w:t xml:space="preserve">	</w:t>
      </w:r>
      <w:r>
        <w:t xml:space="preserve">Z. Cao, T. Simon, S.-E. Wei, and Y. Sheikh,</w:t>
      </w:r>
      <w:r>
        <w:t xml:space="preserve"> </w:t>
      </w:r>
      <w:r>
        <w:t xml:space="preserve">“Realtime multi-person</w:t>
      </w:r>
      <w:r>
        <w:t xml:space="preserve"> </w:t>
      </w:r>
      <w:r>
        <w:t xml:space="preserve">2D</w:t>
      </w:r>
      <w:r>
        <w:t xml:space="preserve"> </w:t>
      </w:r>
      <w:r>
        <w:t xml:space="preserve">pose estimation using part affinity fields,”</w:t>
      </w:r>
      <w:r>
        <w:t xml:space="preserve"> </w:t>
      </w:r>
      <w:r>
        <w:t xml:space="preserve">in</w:t>
      </w:r>
      <w:r>
        <w:t xml:space="preserve"> </w:t>
      </w:r>
      <w:r>
        <w:rPr>
          <w:i/>
          <w:iCs/>
        </w:rPr>
        <w:t xml:space="preserve">Proceedings of the IEEE conference on computer vision and pattern recognition (CVPR)</w:t>
      </w:r>
      <w:r>
        <w:t xml:space="preserve">, 2017, pp. 7291–7299. doi:</w:t>
      </w:r>
      <w:r>
        <w:t xml:space="preserve"> </w:t>
      </w:r>
      <w:hyperlink r:id="rId123">
        <w:r>
          <w:rPr>
            <w:rStyle w:val="Hyperlink"/>
          </w:rPr>
          <w:t xml:space="preserve">10.1109/CVPR.2017.143</w:t>
        </w:r>
      </w:hyperlink>
      <w:r>
        <w:t xml:space="preserve">.</w:t>
      </w:r>
    </w:p>
    <w:bookmarkEnd w:id="124"/>
    <w:bookmarkStart w:id="126" w:name="ref-Simonyan2015"/>
    <w:p>
      <w:pPr>
        <w:pStyle w:val="Bibliography"/>
      </w:pPr>
      <w:r>
        <w:t xml:space="preserve">[36]</w:t>
      </w:r>
      <w:r>
        <w:t xml:space="preserve"> </w:t>
      </w:r>
      <w:r>
        <w:t xml:space="preserve">	</w:t>
      </w:r>
      <w:r>
        <w:t xml:space="preserve">K. Simonyan and A. Zisserman,</w:t>
      </w:r>
      <w:r>
        <w:t xml:space="preserve"> </w:t>
      </w:r>
      <w:r>
        <w:t xml:space="preserve">“Very deep convolutional networks for large-scale image recognition,”</w:t>
      </w:r>
      <w:r>
        <w:t xml:space="preserve"> </w:t>
      </w:r>
      <w:r>
        <w:rPr>
          <w:i/>
          <w:iCs/>
        </w:rPr>
        <w:t xml:space="preserve">arXiv preprint arXiv:1409.1556</w:t>
      </w:r>
      <w:r>
        <w:t xml:space="preserve">, 2015, Available:</w:t>
      </w:r>
      <w:r>
        <w:t xml:space="preserve"> </w:t>
      </w:r>
      <w:hyperlink r:id="rId125">
        <w:r>
          <w:rPr>
            <w:rStyle w:val="Hyperlink"/>
          </w:rPr>
          <w:t xml:space="preserve">https://arxiv.org/abs/1409.1556</w:t>
        </w:r>
      </w:hyperlink>
    </w:p>
    <w:bookmarkEnd w:id="126"/>
    <w:bookmarkStart w:id="128" w:name="ref-Bazarevsky2019"/>
    <w:p>
      <w:pPr>
        <w:pStyle w:val="Bibliography"/>
      </w:pPr>
      <w:r>
        <w:t xml:space="preserve">[37]</w:t>
      </w:r>
      <w:r>
        <w:t xml:space="preserve"> </w:t>
      </w:r>
      <w:r>
        <w:t xml:space="preserve">	</w:t>
      </w:r>
      <w:r>
        <w:t xml:space="preserve">V. Bazarevsky, Y. Kartynnik, A. Vakunov, K. Raveendran, and M. Grundmann,</w:t>
      </w:r>
      <w:r>
        <w:t xml:space="preserve"> </w:t>
      </w:r>
      <w:r>
        <w:t xml:space="preserve">“</w:t>
      </w:r>
      <w:r>
        <w:t xml:space="preserve">BlazeFace</w:t>
      </w:r>
      <w:r>
        <w:t xml:space="preserve">: Sub-millisecond neural face detection on mobile GPUs,”</w:t>
      </w:r>
      <w:r>
        <w:t xml:space="preserve"> </w:t>
      </w:r>
      <w:r>
        <w:rPr>
          <w:i/>
          <w:iCs/>
        </w:rPr>
        <w:t xml:space="preserve">arXiv preprint arXiv:1907.05047</w:t>
      </w:r>
      <w:r>
        <w:t xml:space="preserve">, 2019, Available:</w:t>
      </w:r>
      <w:r>
        <w:t xml:space="preserve"> </w:t>
      </w:r>
      <w:hyperlink r:id="rId127">
        <w:r>
          <w:rPr>
            <w:rStyle w:val="Hyperlink"/>
          </w:rPr>
          <w:t xml:space="preserve">https://arxiv.org/abs/1907.05047</w:t>
        </w:r>
      </w:hyperlink>
    </w:p>
    <w:bookmarkEnd w:id="128"/>
    <w:bookmarkStart w:id="130" w:name="ref-Sandler2018"/>
    <w:p>
      <w:pPr>
        <w:pStyle w:val="Bibliography"/>
      </w:pPr>
      <w:r>
        <w:t xml:space="preserve">[38]</w:t>
      </w:r>
      <w:r>
        <w:t xml:space="preserve"> </w:t>
      </w:r>
      <w:r>
        <w:t xml:space="preserve">	</w:t>
      </w:r>
      <w:r>
        <w:t xml:space="preserve">M. Sandler, A. Howard, M. Zhu, A. Zhmoginov, and L.-C. Chen,</w:t>
      </w:r>
      <w:r>
        <w:t xml:space="preserve"> </w:t>
      </w:r>
      <w:r>
        <w:t xml:space="preserve">“</w:t>
      </w:r>
      <w:r>
        <w:t xml:space="preserve">MobileNetV2</w:t>
      </w:r>
      <w:r>
        <w:t xml:space="preserve">: Inverted residuals and linear bottlenecks,”</w:t>
      </w:r>
      <w:r>
        <w:t xml:space="preserve"> </w:t>
      </w:r>
      <w:r>
        <w:t xml:space="preserve">in</w:t>
      </w:r>
      <w:r>
        <w:t xml:space="preserve"> </w:t>
      </w:r>
      <w:r>
        <w:rPr>
          <w:i/>
          <w:iCs/>
        </w:rPr>
        <w:t xml:space="preserve">Proceedings of the IEEE conference on computer vision and pattern recognition (CVPR)</w:t>
      </w:r>
      <w:r>
        <w:t xml:space="preserve">, 2018, pp. 4510–4520. doi:</w:t>
      </w:r>
      <w:r>
        <w:t xml:space="preserve"> </w:t>
      </w:r>
      <w:hyperlink r:id="rId129">
        <w:r>
          <w:rPr>
            <w:rStyle w:val="Hyperlink"/>
          </w:rPr>
          <w:t xml:space="preserve">10.1109/CVPR.2018.00474</w:t>
        </w:r>
      </w:hyperlink>
      <w:r>
        <w:t xml:space="preserve">.</w:t>
      </w:r>
    </w:p>
    <w:bookmarkEnd w:id="130"/>
    <w:bookmarkStart w:id="132" w:name="ref-Martinez2017"/>
    <w:p>
      <w:pPr>
        <w:pStyle w:val="Bibliography"/>
      </w:pPr>
      <w:r>
        <w:t xml:space="preserve">[39]</w:t>
      </w:r>
      <w:r>
        <w:t xml:space="preserve"> </w:t>
      </w:r>
      <w:r>
        <w:t xml:space="preserve">	</w:t>
      </w:r>
      <w:r>
        <w:t xml:space="preserve">J. Martinez, R. Hossain, J. Romero, and J. J. Little,</w:t>
      </w:r>
      <w:r>
        <w:t xml:space="preserve"> </w:t>
      </w:r>
      <w:r>
        <w:t xml:space="preserve">“A simple yet effective baseline for</w:t>
      </w:r>
      <w:r>
        <w:t xml:space="preserve"> </w:t>
      </w:r>
      <w:r>
        <w:t xml:space="preserve">3D</w:t>
      </w:r>
      <w:r>
        <w:t xml:space="preserve"> </w:t>
      </w:r>
      <w:r>
        <w:t xml:space="preserve">human pose estimation,”</w:t>
      </w:r>
      <w:r>
        <w:t xml:space="preserve"> </w:t>
      </w:r>
      <w:r>
        <w:t xml:space="preserve">in</w:t>
      </w:r>
      <w:r>
        <w:t xml:space="preserve"> </w:t>
      </w:r>
      <w:r>
        <w:rPr>
          <w:i/>
          <w:iCs/>
        </w:rPr>
        <w:t xml:space="preserve">Proceedings of the IEEE international conference on computer vision (ICCV)</w:t>
      </w:r>
      <w:r>
        <w:t xml:space="preserve">, 2017, pp. 2659–2668. doi:</w:t>
      </w:r>
      <w:r>
        <w:t xml:space="preserve"> </w:t>
      </w:r>
      <w:hyperlink r:id="rId131">
        <w:r>
          <w:rPr>
            <w:rStyle w:val="Hyperlink"/>
          </w:rPr>
          <w:t xml:space="preserve">10.1109/ICCV.2017.288</w:t>
        </w:r>
      </w:hyperlink>
      <w:r>
        <w:t xml:space="preserve">.</w:t>
      </w:r>
    </w:p>
    <w:bookmarkEnd w:id="132"/>
    <w:bookmarkStart w:id="134" w:name="ref-Hartley2004"/>
    <w:p>
      <w:pPr>
        <w:pStyle w:val="Bibliography"/>
      </w:pPr>
      <w:r>
        <w:t xml:space="preserve">[40]</w:t>
      </w:r>
      <w:r>
        <w:t xml:space="preserve"> </w:t>
      </w:r>
      <w:r>
        <w:t xml:space="preserve">	</w:t>
      </w:r>
      <w:r>
        <w:t xml:space="preserve">R. Hartley and A. Zisserman,</w:t>
      </w:r>
      <w:r>
        <w:t xml:space="preserve"> </w:t>
      </w:r>
      <w:r>
        <w:rPr>
          <w:i/>
          <w:iCs/>
        </w:rPr>
        <w:t xml:space="preserve">Multiple view geometry in computer vision</w:t>
      </w:r>
      <w:r>
        <w:t xml:space="preserve">, 2nd ed. Cambridge: Cambridge University Press, 2004. doi:</w:t>
      </w:r>
      <w:r>
        <w:t xml:space="preserve"> </w:t>
      </w:r>
      <w:hyperlink r:id="rId133">
        <w:r>
          <w:rPr>
            <w:rStyle w:val="Hyperlink"/>
          </w:rPr>
          <w:t xml:space="preserve">10.1017/CBO9780511811685</w:t>
        </w:r>
      </w:hyperlink>
      <w:r>
        <w:t xml:space="preserve">.</w:t>
      </w:r>
    </w:p>
    <w:bookmarkEnd w:id="134"/>
    <w:bookmarkStart w:id="136" w:name="ref-Zhang2000"/>
    <w:p>
      <w:pPr>
        <w:pStyle w:val="Bibliography"/>
      </w:pPr>
      <w:r>
        <w:t xml:space="preserve">[41]</w:t>
      </w:r>
      <w:r>
        <w:t xml:space="preserve"> </w:t>
      </w:r>
      <w:r>
        <w:t xml:space="preserve">	</w:t>
      </w:r>
      <w:r>
        <w:t xml:space="preserve">Z. Zhang,</w:t>
      </w:r>
      <w:r>
        <w:t xml:space="preserve"> </w:t>
      </w:r>
      <w:r>
        <w:t xml:space="preserve">“A flexible new technique for camera calibration,”</w:t>
      </w:r>
      <w:r>
        <w:t xml:space="preserve"> </w:t>
      </w:r>
      <w:r>
        <w:rPr>
          <w:i/>
          <w:iCs/>
        </w:rPr>
        <w:t xml:space="preserve">IEEE Transactions on Pattern Analysis and Machine Intelligence</w:t>
      </w:r>
      <w:r>
        <w:t xml:space="preserve">, vol. 22, no. 11, pp. 1330–1334, 2000, doi:</w:t>
      </w:r>
      <w:r>
        <w:t xml:space="preserve"> </w:t>
      </w:r>
      <w:hyperlink r:id="rId135">
        <w:r>
          <w:rPr>
            <w:rStyle w:val="Hyperlink"/>
          </w:rPr>
          <w:t xml:space="preserve">10.1109/34.888718</w:t>
        </w:r>
      </w:hyperlink>
      <w:r>
        <w:t xml:space="preserve">.</w:t>
      </w:r>
    </w:p>
    <w:bookmarkEnd w:id="136"/>
    <w:bookmarkStart w:id="138" w:name="ref-Bradski2000"/>
    <w:p>
      <w:pPr>
        <w:pStyle w:val="Bibliography"/>
      </w:pPr>
      <w:r>
        <w:t xml:space="preserve">[42]</w:t>
      </w:r>
      <w:r>
        <w:t xml:space="preserve"> </w:t>
      </w:r>
      <w:r>
        <w:t xml:space="preserve">	</w:t>
      </w:r>
      <w:r>
        <w:t xml:space="preserve">G. Bradski and A. Kaehler,</w:t>
      </w:r>
      <w:r>
        <w:t xml:space="preserve"> </w:t>
      </w:r>
      <w:r>
        <w:rPr>
          <w:i/>
          <w:iCs/>
        </w:rPr>
        <w:t xml:space="preserve">Learning</w:t>
      </w:r>
      <w:r>
        <w:rPr>
          <w:i/>
          <w:iCs/>
        </w:rPr>
        <w:t xml:space="preserve"> </w:t>
      </w:r>
      <w:r>
        <w:rPr>
          <w:i/>
          <w:iCs/>
        </w:rPr>
        <w:t xml:space="preserve">OpenCV</w:t>
      </w:r>
      <w:r>
        <w:rPr>
          <w:i/>
          <w:iCs/>
        </w:rPr>
        <w:t xml:space="preserve">: Computer vision with the</w:t>
      </w:r>
      <w:r>
        <w:rPr>
          <w:i/>
          <w:iCs/>
        </w:rPr>
        <w:t xml:space="preserve"> </w:t>
      </w:r>
      <w:r>
        <w:rPr>
          <w:i/>
          <w:iCs/>
        </w:rPr>
        <w:t xml:space="preserve">OpenCV</w:t>
      </w:r>
      <w:r>
        <w:rPr>
          <w:i/>
          <w:iCs/>
        </w:rPr>
        <w:t xml:space="preserve"> </w:t>
      </w:r>
      <w:r>
        <w:rPr>
          <w:i/>
          <w:iCs/>
        </w:rPr>
        <w:t xml:space="preserve">library</w:t>
      </w:r>
      <w:r>
        <w:t xml:space="preserve">. Sebastopol, CA: O’Reilly Media, 2008. Available:</w:t>
      </w:r>
      <w:r>
        <w:t xml:space="preserve"> </w:t>
      </w:r>
      <w:hyperlink r:id="rId137">
        <w:r>
          <w:rPr>
            <w:rStyle w:val="Hyperlink"/>
          </w:rPr>
          <w:t xml:space="preserve">https://isbnsearch.org/isbn/9780596516134</w:t>
        </w:r>
      </w:hyperlink>
    </w:p>
    <w:bookmarkEnd w:id="138"/>
    <w:bookmarkStart w:id="140" w:name="ref-Loper2015"/>
    <w:p>
      <w:pPr>
        <w:pStyle w:val="Bibliography"/>
      </w:pPr>
      <w:r>
        <w:t xml:space="preserve">[43]</w:t>
      </w:r>
      <w:r>
        <w:t xml:space="preserve"> </w:t>
      </w:r>
      <w:r>
        <w:t xml:space="preserve">	</w:t>
      </w:r>
      <w:r>
        <w:t xml:space="preserve">M. Loper, N. Mahmood, J. Romero, G. Pons-Moll, and M. J. Black,</w:t>
      </w:r>
      <w:r>
        <w:t xml:space="preserve"> </w:t>
      </w:r>
      <w:r>
        <w:t xml:space="preserve">“</w:t>
      </w:r>
      <w:r>
        <w:t xml:space="preserve">SMPL</w:t>
      </w:r>
      <w:r>
        <w:t xml:space="preserve">: A skinned multi-person linear model,”</w:t>
      </w:r>
      <w:r>
        <w:t xml:space="preserve"> </w:t>
      </w:r>
      <w:r>
        <w:t xml:space="preserve">in</w:t>
      </w:r>
      <w:r>
        <w:t xml:space="preserve"> </w:t>
      </w:r>
      <w:r>
        <w:rPr>
          <w:i/>
          <w:iCs/>
        </w:rPr>
        <w:t xml:space="preserve">ACM transactions on graphics (proceedings of SIGGRAPH asia)</w:t>
      </w:r>
      <w:r>
        <w:t xml:space="preserve">, 2015, pp. 248:1–248:16. doi:</w:t>
      </w:r>
      <w:r>
        <w:t xml:space="preserve"> </w:t>
      </w:r>
      <w:hyperlink r:id="rId139">
        <w:r>
          <w:rPr>
            <w:rStyle w:val="Hyperlink"/>
          </w:rPr>
          <w:t xml:space="preserve">10.1145/2816795.2818013</w:t>
        </w:r>
      </w:hyperlink>
      <w:r>
        <w:t xml:space="preserve">.</w:t>
      </w:r>
    </w:p>
    <w:bookmarkEnd w:id="140"/>
    <w:bookmarkStart w:id="142" w:name="ref-Lewis2000"/>
    <w:p>
      <w:pPr>
        <w:pStyle w:val="Bibliography"/>
      </w:pPr>
      <w:r>
        <w:t xml:space="preserve">[44]</w:t>
      </w:r>
      <w:r>
        <w:t xml:space="preserve"> </w:t>
      </w:r>
      <w:r>
        <w:t xml:space="preserve">	</w:t>
      </w:r>
      <w:r>
        <w:t xml:space="preserve">J. P. Lewis, M. Cordner, and N. Fong,</w:t>
      </w:r>
      <w:r>
        <w:t xml:space="preserve"> </w:t>
      </w:r>
      <w:r>
        <w:t xml:space="preserve">“Pose space deformation: A unified approach to shape interpolation and skeleton-driven deformation,”</w:t>
      </w:r>
      <w:r>
        <w:t xml:space="preserve"> </w:t>
      </w:r>
      <w:r>
        <w:rPr>
          <w:i/>
          <w:iCs/>
        </w:rPr>
        <w:t xml:space="preserve">Proceedings of the 27th Annual Conference on Computer Graphics and Interactive Techniques (SIGGRAPH)</w:t>
      </w:r>
      <w:r>
        <w:t xml:space="preserve">, pp. 165–172, 2000, doi:</w:t>
      </w:r>
      <w:r>
        <w:t xml:space="preserve"> </w:t>
      </w:r>
      <w:hyperlink r:id="rId141">
        <w:r>
          <w:rPr>
            <w:rStyle w:val="Hyperlink"/>
          </w:rPr>
          <w:t xml:space="preserve">10.1145/344779.344862</w:t>
        </w:r>
      </w:hyperlink>
      <w:r>
        <w:t xml:space="preserve">.</w:t>
      </w:r>
    </w:p>
    <w:bookmarkEnd w:id="142"/>
    <w:bookmarkStart w:id="144" w:name="ref-Pavlakos2019"/>
    <w:p>
      <w:pPr>
        <w:pStyle w:val="Bibliography"/>
      </w:pPr>
      <w:r>
        <w:t xml:space="preserve">[45]</w:t>
      </w:r>
      <w:r>
        <w:t xml:space="preserve"> </w:t>
      </w:r>
      <w:r>
        <w:t xml:space="preserve">	</w:t>
      </w:r>
      <w:r>
        <w:t xml:space="preserve">G. Pavlakos</w:t>
      </w:r>
      <w:r>
        <w:t xml:space="preserve"> </w:t>
      </w:r>
      <w:r>
        <w:rPr>
          <w:i/>
          <w:iCs/>
        </w:rPr>
        <w:t xml:space="preserve">et al.</w:t>
      </w:r>
      <w:r>
        <w:t xml:space="preserve">,</w:t>
      </w:r>
      <w:r>
        <w:t xml:space="preserve"> </w:t>
      </w:r>
      <w:r>
        <w:t xml:space="preserve">“Expressive body capture:</w:t>
      </w:r>
      <w:r>
        <w:t xml:space="preserve"> </w:t>
      </w:r>
      <w:r>
        <w:t xml:space="preserve">3D</w:t>
      </w:r>
      <w:r>
        <w:t xml:space="preserve"> </w:t>
      </w:r>
      <w:r>
        <w:t xml:space="preserve">hands, face, and body from a single image,”</w:t>
      </w:r>
      <w:r>
        <w:t xml:space="preserve"> </w:t>
      </w:r>
      <w:r>
        <w:t xml:space="preserve">in</w:t>
      </w:r>
      <w:r>
        <w:t xml:space="preserve"> </w:t>
      </w:r>
      <w:r>
        <w:rPr>
          <w:i/>
          <w:iCs/>
        </w:rPr>
        <w:t xml:space="preserve">Proceedings of the IEEE conference on computer vision and pattern recognition (CVPR)</w:t>
      </w:r>
      <w:r>
        <w:t xml:space="preserve">, 2019, pp. 10975–10985. doi:</w:t>
      </w:r>
      <w:r>
        <w:t xml:space="preserve"> </w:t>
      </w:r>
      <w:hyperlink r:id="rId143">
        <w:r>
          <w:rPr>
            <w:rStyle w:val="Hyperlink"/>
          </w:rPr>
          <w:t xml:space="preserve">10.1109/CVPR.2019.01123</w:t>
        </w:r>
      </w:hyperlink>
      <w:r>
        <w:t xml:space="preserve">.</w:t>
      </w:r>
    </w:p>
    <w:bookmarkEnd w:id="144"/>
    <w:bookmarkStart w:id="146" w:name="ref-Romero2017"/>
    <w:p>
      <w:pPr>
        <w:pStyle w:val="Bibliography"/>
      </w:pPr>
      <w:r>
        <w:t xml:space="preserve">[46]</w:t>
      </w:r>
      <w:r>
        <w:t xml:space="preserve"> </w:t>
      </w:r>
      <w:r>
        <w:t xml:space="preserve">	</w:t>
      </w:r>
      <w:r>
        <w:t xml:space="preserve">J. Romero, D. Tzionas, and M. J. Black,</w:t>
      </w:r>
      <w:r>
        <w:t xml:space="preserve"> </w:t>
      </w:r>
      <w:r>
        <w:t xml:space="preserve">“Embodied hands: Modeling and capturing hands and bodies together,”</w:t>
      </w:r>
      <w:r>
        <w:t xml:space="preserve"> </w:t>
      </w:r>
      <w:r>
        <w:t xml:space="preserve">in</w:t>
      </w:r>
      <w:r>
        <w:t xml:space="preserve"> </w:t>
      </w:r>
      <w:r>
        <w:rPr>
          <w:i/>
          <w:iCs/>
        </w:rPr>
        <w:t xml:space="preserve">ACM transactions on graphics (proceedings of SIGGRAPH asia)</w:t>
      </w:r>
      <w:r>
        <w:t xml:space="preserve">, 2017, pp. 245:1–245:17. doi:</w:t>
      </w:r>
      <w:r>
        <w:t xml:space="preserve"> </w:t>
      </w:r>
      <w:hyperlink r:id="rId145">
        <w:r>
          <w:rPr>
            <w:rStyle w:val="Hyperlink"/>
          </w:rPr>
          <w:t xml:space="preserve">10.1145/3130800.3130883</w:t>
        </w:r>
      </w:hyperlink>
      <w:r>
        <w:t xml:space="preserve">.</w:t>
      </w:r>
    </w:p>
    <w:bookmarkEnd w:id="146"/>
    <w:bookmarkStart w:id="148" w:name="ref-Li2017"/>
    <w:p>
      <w:pPr>
        <w:pStyle w:val="Bibliography"/>
      </w:pPr>
      <w:r>
        <w:t xml:space="preserve">[47]</w:t>
      </w:r>
      <w:r>
        <w:t xml:space="preserve"> </w:t>
      </w:r>
      <w:r>
        <w:t xml:space="preserve">	</w:t>
      </w:r>
      <w:r>
        <w:t xml:space="preserve">T. Li, T. Bolkart, M. J. Black, H. Li, and J. Romero,</w:t>
      </w:r>
      <w:r>
        <w:t xml:space="preserve"> </w:t>
      </w:r>
      <w:r>
        <w:t xml:space="preserve">“Learning a model of facial shape and expression from</w:t>
      </w:r>
      <w:r>
        <w:t xml:space="preserve"> </w:t>
      </w:r>
      <w:r>
        <w:t xml:space="preserve">4D</w:t>
      </w:r>
      <w:r>
        <w:t xml:space="preserve"> </w:t>
      </w:r>
      <w:r>
        <w:t xml:space="preserve">scans,”</w:t>
      </w:r>
      <w:r>
        <w:t xml:space="preserve"> </w:t>
      </w:r>
      <w:r>
        <w:t xml:space="preserve">in</w:t>
      </w:r>
      <w:r>
        <w:t xml:space="preserve"> </w:t>
      </w:r>
      <w:r>
        <w:rPr>
          <w:i/>
          <w:iCs/>
        </w:rPr>
        <w:t xml:space="preserve">ACM transactions on graphics (proceedings of SIGGRAPH asia)</w:t>
      </w:r>
      <w:r>
        <w:t xml:space="preserve">, 2017, pp. 194:1–194:17. doi:</w:t>
      </w:r>
      <w:r>
        <w:t xml:space="preserve"> </w:t>
      </w:r>
      <w:hyperlink r:id="rId147">
        <w:r>
          <w:rPr>
            <w:rStyle w:val="Hyperlink"/>
          </w:rPr>
          <w:t xml:space="preserve">10.1145/3130800.3130813</w:t>
        </w:r>
      </w:hyperlink>
      <w:r>
        <w:t xml:space="preserve">.</w:t>
      </w:r>
    </w:p>
    <w:bookmarkEnd w:id="148"/>
    <w:bookmarkStart w:id="150" w:name="ref-Fieraru2021"/>
    <w:p>
      <w:pPr>
        <w:pStyle w:val="Bibliography"/>
      </w:pPr>
      <w:r>
        <w:t xml:space="preserve">[48]</w:t>
      </w:r>
      <w:r>
        <w:t xml:space="preserve"> </w:t>
      </w:r>
      <w:r>
        <w:t xml:space="preserve">	</w:t>
      </w:r>
      <w:r>
        <w:t xml:space="preserve">M. Fieraru, M. Zanfir, E. Oneata, A.-I. Popa, V. Olaru, and C. Sminchisescu,</w:t>
      </w:r>
      <w:r>
        <w:t xml:space="preserve"> </w:t>
      </w:r>
      <w:r>
        <w:t xml:space="preserve">“Learning complex</w:t>
      </w:r>
      <w:r>
        <w:t xml:space="preserve"> </w:t>
      </w:r>
      <w:r>
        <w:t xml:space="preserve">3D</w:t>
      </w:r>
      <w:r>
        <w:t xml:space="preserve"> </w:t>
      </w:r>
      <w:r>
        <w:t xml:space="preserve">human self-contact,”</w:t>
      </w:r>
      <w:r>
        <w:t xml:space="preserve"> </w:t>
      </w:r>
      <w:r>
        <w:t xml:space="preserve">in</w:t>
      </w:r>
      <w:r>
        <w:t xml:space="preserve"> </w:t>
      </w:r>
      <w:r>
        <w:rPr>
          <w:i/>
          <w:iCs/>
        </w:rPr>
        <w:t xml:space="preserve">Proceedings of the AAAI conference on artificial intelligence</w:t>
      </w:r>
      <w:r>
        <w:t xml:space="preserve">, 2021. doi:</w:t>
      </w:r>
      <w:r>
        <w:t xml:space="preserve"> </w:t>
      </w:r>
      <w:hyperlink r:id="rId149">
        <w:r>
          <w:rPr>
            <w:rStyle w:val="Hyperlink"/>
          </w:rPr>
          <w:t xml:space="preserve">10.1609/aaai.v35i2.16193</w:t>
        </w:r>
      </w:hyperlink>
      <w:r>
        <w:t xml:space="preserve">.</w:t>
      </w:r>
    </w:p>
    <w:bookmarkEnd w:id="150"/>
    <w:bookmarkStart w:id="152" w:name="ref-Sakoe1978"/>
    <w:p>
      <w:pPr>
        <w:pStyle w:val="Bibliography"/>
      </w:pPr>
      <w:r>
        <w:t xml:space="preserve">[49]</w:t>
      </w:r>
      <w:r>
        <w:t xml:space="preserve"> </w:t>
      </w:r>
      <w:r>
        <w:t xml:space="preserve">	</w:t>
      </w:r>
      <w:r>
        <w:t xml:space="preserve">H. Sakoe and S. Chiba,</w:t>
      </w:r>
      <w:r>
        <w:t xml:space="preserve"> </w:t>
      </w:r>
      <w:r>
        <w:t xml:space="preserve">“Dynamic programming algorithm optimization for spoken word recognition,”</w:t>
      </w:r>
      <w:r>
        <w:t xml:space="preserve"> </w:t>
      </w:r>
      <w:r>
        <w:rPr>
          <w:i/>
          <w:iCs/>
        </w:rPr>
        <w:t xml:space="preserve">IEEE Transactions on Acoustics, Speech, and Signal Processing</w:t>
      </w:r>
      <w:r>
        <w:t xml:space="preserve">, vol. 26, no. 1, pp. 43–49, 1978, doi:</w:t>
      </w:r>
      <w:r>
        <w:t xml:space="preserve"> </w:t>
      </w:r>
      <w:hyperlink r:id="rId151">
        <w:r>
          <w:rPr>
            <w:rStyle w:val="Hyperlink"/>
          </w:rPr>
          <w:t xml:space="preserve">10.1109/TASSP.1978.1163055</w:t>
        </w:r>
      </w:hyperlink>
      <w:r>
        <w:t xml:space="preserve">.</w:t>
      </w:r>
    </w:p>
    <w:bookmarkEnd w:id="152"/>
    <w:bookmarkStart w:id="153" w:name="ref-Berndt1994"/>
    <w:p>
      <w:pPr>
        <w:pStyle w:val="Bibliography"/>
      </w:pPr>
      <w:r>
        <w:t xml:space="preserve">[50]</w:t>
      </w:r>
      <w:r>
        <w:t xml:space="preserve"> </w:t>
      </w:r>
      <w:r>
        <w:t xml:space="preserve">	</w:t>
      </w:r>
      <w:r>
        <w:t xml:space="preserve">D. J. Berndt and J. Clifford,</w:t>
      </w:r>
      <w:r>
        <w:t xml:space="preserve"> </w:t>
      </w:r>
      <w:r>
        <w:t xml:space="preserve">“Using dynamic time warping to find patterns in time series,”</w:t>
      </w:r>
      <w:r>
        <w:t xml:space="preserve"> </w:t>
      </w:r>
      <w:r>
        <w:t xml:space="preserve">in</w:t>
      </w:r>
      <w:r>
        <w:t xml:space="preserve"> </w:t>
      </w:r>
      <w:r>
        <w:rPr>
          <w:i/>
          <w:iCs/>
        </w:rPr>
        <w:t xml:space="preserve">Proceedings of the AAAI workshop on knowledge discovery in databases</w:t>
      </w:r>
      <w:r>
        <w:t xml:space="preserve">, 1994, pp. 359–370.</w:t>
      </w:r>
    </w:p>
    <w:bookmarkEnd w:id="153"/>
    <w:bookmarkStart w:id="155" w:name="ref-Reyes2011"/>
    <w:p>
      <w:pPr>
        <w:pStyle w:val="Bibliography"/>
      </w:pPr>
      <w:r>
        <w:t xml:space="preserve">[51]</w:t>
      </w:r>
      <w:r>
        <w:t xml:space="preserve"> </w:t>
      </w:r>
      <w:r>
        <w:t xml:space="preserve">	</w:t>
      </w:r>
      <w:r>
        <w:t xml:space="preserve">J. L. Reyes-Ortiz, L. Oneto, A. Sama, X. Parra, and D. Anguita,</w:t>
      </w:r>
      <w:r>
        <w:t xml:space="preserve"> </w:t>
      </w:r>
      <w:r>
        <w:t xml:space="preserve">“Transition-aware human activity recognition using smartphones,”</w:t>
      </w:r>
      <w:r>
        <w:t xml:space="preserve"> </w:t>
      </w:r>
      <w:r>
        <w:rPr>
          <w:i/>
          <w:iCs/>
        </w:rPr>
        <w:t xml:space="preserve">Neurocomputing</w:t>
      </w:r>
      <w:r>
        <w:t xml:space="preserve">, vol. 171, pp. 754–767, 2016, doi:</w:t>
      </w:r>
      <w:r>
        <w:t xml:space="preserve"> </w:t>
      </w:r>
      <w:hyperlink r:id="rId154">
        <w:r>
          <w:rPr>
            <w:rStyle w:val="Hyperlink"/>
          </w:rPr>
          <w:t xml:space="preserve">10.1016/j.neucom.2015.07.085</w:t>
        </w:r>
      </w:hyperlink>
      <w:r>
        <w:t xml:space="preserve">.</w:t>
      </w:r>
    </w:p>
    <w:bookmarkEnd w:id="155"/>
    <w:bookmarkStart w:id="157" w:name="ref-Ionescu2014"/>
    <w:p>
      <w:pPr>
        <w:pStyle w:val="Bibliography"/>
      </w:pPr>
      <w:r>
        <w:t xml:space="preserve">[52]</w:t>
      </w:r>
      <w:r>
        <w:t xml:space="preserve"> </w:t>
      </w:r>
      <w:r>
        <w:t xml:space="preserve">	</w:t>
      </w:r>
      <w:r>
        <w:t xml:space="preserve">C. Ionescu, D. Papava, V. Olaru, and C. Sminchisescu,</w:t>
      </w:r>
      <w:r>
        <w:t xml:space="preserve"> </w:t>
      </w:r>
      <w:r>
        <w:t xml:space="preserve">“Human3.6M: Large scale datasets and predictive methods for</w:t>
      </w:r>
      <w:r>
        <w:t xml:space="preserve"> </w:t>
      </w:r>
      <w:r>
        <w:t xml:space="preserve">3D</w:t>
      </w:r>
      <w:r>
        <w:t xml:space="preserve"> </w:t>
      </w:r>
      <w:r>
        <w:t xml:space="preserve">human sensing in natural environments,”</w:t>
      </w:r>
      <w:r>
        <w:t xml:space="preserve"> </w:t>
      </w:r>
      <w:r>
        <w:t xml:space="preserve">in</w:t>
      </w:r>
      <w:r>
        <w:t xml:space="preserve"> </w:t>
      </w:r>
      <w:r>
        <w:rPr>
          <w:i/>
          <w:iCs/>
        </w:rPr>
        <w:t xml:space="preserve">IEEE transactions on pattern analysis and machine intelligence</w:t>
      </w:r>
      <w:r>
        <w:t xml:space="preserve">, 2014, pp. 1325–1339. doi:</w:t>
      </w:r>
      <w:r>
        <w:t xml:space="preserve"> </w:t>
      </w:r>
      <w:hyperlink r:id="rId156">
        <w:r>
          <w:rPr>
            <w:rStyle w:val="Hyperlink"/>
          </w:rPr>
          <w:t xml:space="preserve">10.1109/TPAMI.2013.248</w:t>
        </w:r>
      </w:hyperlink>
      <w:r>
        <w:t xml:space="preserve">.</w:t>
      </w:r>
    </w:p>
    <w:bookmarkEnd w:id="157"/>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5" Target="https://arxiv.org/abs/1409.1556" TargetMode="External" /><Relationship Type="http://schemas.openxmlformats.org/officeDocument/2006/relationships/hyperlink" Id="rId102" Target="https://arxiv.org/abs/1704.04861" TargetMode="External" /><Relationship Type="http://schemas.openxmlformats.org/officeDocument/2006/relationships/hyperlink" Id="rId127" Target="https://arxiv.org/abs/1907.05047" TargetMode="External" /><Relationship Type="http://schemas.openxmlformats.org/officeDocument/2006/relationships/hyperlink" Id="rId105" Target="https://arxiv.org/abs/2006.10204" TargetMode="External" /><Relationship Type="http://schemas.openxmlformats.org/officeDocument/2006/relationships/hyperlink" Id="rId78" Target="https://doi.org/10.1006/cviu.2000.0897" TargetMode="External" /><Relationship Type="http://schemas.openxmlformats.org/officeDocument/2006/relationships/hyperlink" Id="rId116" Target="https://doi.org/10.1007/978-3-030-34372-9" TargetMode="External" /><Relationship Type="http://schemas.openxmlformats.org/officeDocument/2006/relationships/hyperlink" Id="rId73" Target="https://doi.org/10.1016/S0966-6362(02)00004-8" TargetMode="External" /><Relationship Type="http://schemas.openxmlformats.org/officeDocument/2006/relationships/hyperlink" Id="rId71" Target="https://doi.org/10.1016/j.cviu.2006.08.002" TargetMode="External" /><Relationship Type="http://schemas.openxmlformats.org/officeDocument/2006/relationships/hyperlink" Id="rId75" Target="https://doi.org/10.1016/j.gaitpost.2004.04.004" TargetMode="External" /><Relationship Type="http://schemas.openxmlformats.org/officeDocument/2006/relationships/hyperlink" Id="rId154" Target="https://doi.org/10.1016/j.neucom.2015.07.085" TargetMode="External" /><Relationship Type="http://schemas.openxmlformats.org/officeDocument/2006/relationships/hyperlink" Id="rId133" Target="https://doi.org/10.1017/CBO9780511811685" TargetMode="External" /><Relationship Type="http://schemas.openxmlformats.org/officeDocument/2006/relationships/hyperlink" Id="rId88" Target="https://doi.org/10.1037/h0042519" TargetMode="External" /><Relationship Type="http://schemas.openxmlformats.org/officeDocument/2006/relationships/hyperlink" Id="rId90" Target="https://doi.org/10.1038/323533a0" TargetMode="External" /><Relationship Type="http://schemas.openxmlformats.org/officeDocument/2006/relationships/hyperlink" Id="rId86" Target="https://doi.org/10.1038/nature14539" TargetMode="External" /><Relationship Type="http://schemas.openxmlformats.org/officeDocument/2006/relationships/hyperlink" Id="rId135" Target="https://doi.org/10.1109/34.888718" TargetMode="External" /><Relationship Type="http://schemas.openxmlformats.org/officeDocument/2006/relationships/hyperlink" Id="rId96" Target="https://doi.org/10.1109/5.726791" TargetMode="External" /><Relationship Type="http://schemas.openxmlformats.org/officeDocument/2006/relationships/hyperlink" Id="rId94" Target="https://doi.org/10.1109/CVPR.2016.90" TargetMode="External" /><Relationship Type="http://schemas.openxmlformats.org/officeDocument/2006/relationships/hyperlink" Id="rId100" Target="https://doi.org/10.1109/CVPR.2016.91" TargetMode="External" /><Relationship Type="http://schemas.openxmlformats.org/officeDocument/2006/relationships/hyperlink" Id="rId98" Target="https://doi.org/10.1109/CVPR.2017.106" TargetMode="External" /><Relationship Type="http://schemas.openxmlformats.org/officeDocument/2006/relationships/hyperlink" Id="rId123" Target="https://doi.org/10.1109/CVPR.2017.143" TargetMode="External" /><Relationship Type="http://schemas.openxmlformats.org/officeDocument/2006/relationships/hyperlink" Id="rId111" Target="https://doi.org/10.1109/CVPR.2017.497" TargetMode="External" /><Relationship Type="http://schemas.openxmlformats.org/officeDocument/2006/relationships/hyperlink" Id="rId129" Target="https://doi.org/10.1109/CVPR.2018.00474" TargetMode="External" /><Relationship Type="http://schemas.openxmlformats.org/officeDocument/2006/relationships/hyperlink" Id="rId113" Target="https://doi.org/10.1109/CVPR.2019.00794" TargetMode="External" /><Relationship Type="http://schemas.openxmlformats.org/officeDocument/2006/relationships/hyperlink" Id="rId143" Target="https://doi.org/10.1109/CVPR.2019.01123" TargetMode="External" /><Relationship Type="http://schemas.openxmlformats.org/officeDocument/2006/relationships/hyperlink" Id="rId131" Target="https://doi.org/10.1109/ICCV.2017.288" TargetMode="External" /><Relationship Type="http://schemas.openxmlformats.org/officeDocument/2006/relationships/hyperlink" Id="rId151" Target="https://doi.org/10.1109/TASSP.1978.1163055" TargetMode="External" /><Relationship Type="http://schemas.openxmlformats.org/officeDocument/2006/relationships/hyperlink" Id="rId156" Target="https://doi.org/10.1109/TPAMI.2013.248" TargetMode="External" /><Relationship Type="http://schemas.openxmlformats.org/officeDocument/2006/relationships/hyperlink" Id="rId139" Target="https://doi.org/10.1145/2816795.2818013" TargetMode="External" /><Relationship Type="http://schemas.openxmlformats.org/officeDocument/2006/relationships/hyperlink" Id="rId147" Target="https://doi.org/10.1145/3130800.3130813" TargetMode="External" /><Relationship Type="http://schemas.openxmlformats.org/officeDocument/2006/relationships/hyperlink" Id="rId145" Target="https://doi.org/10.1145/3130800.3130883" TargetMode="External" /><Relationship Type="http://schemas.openxmlformats.org/officeDocument/2006/relationships/hyperlink" Id="rId141" Target="https://doi.org/10.1145/344779.344862" TargetMode="External" /><Relationship Type="http://schemas.openxmlformats.org/officeDocument/2006/relationships/hyperlink" Id="rId121" Target="https://doi.org/10.1145/3603618" TargetMode="External" /><Relationship Type="http://schemas.openxmlformats.org/officeDocument/2006/relationships/hyperlink" Id="rId107" Target="https://doi.org/10.1162/neco.1997.9.8.1735" TargetMode="External" /><Relationship Type="http://schemas.openxmlformats.org/officeDocument/2006/relationships/hyperlink" Id="rId149" Target="https://doi.org/10.1609/aaai.v35i2.16193" TargetMode="External" /><Relationship Type="http://schemas.openxmlformats.org/officeDocument/2006/relationships/hyperlink" Id="rId109" Target="https://doi.org/10.3115/v1/D14-1179" TargetMode="External" /><Relationship Type="http://schemas.openxmlformats.org/officeDocument/2006/relationships/hyperlink" Id="rId119" Target="https://github.com/ultralytics/ultralytics" TargetMode="External" /><Relationship Type="http://schemas.openxmlformats.org/officeDocument/2006/relationships/hyperlink" Id="rId80" Target="https://isbnsearch.org/isbn/9780070428073" TargetMode="External" /><Relationship Type="http://schemas.openxmlformats.org/officeDocument/2006/relationships/hyperlink" Id="rId69" Target="https://isbnsearch.org/isbn/9780124158429" TargetMode="External" /><Relationship Type="http://schemas.openxmlformats.org/officeDocument/2006/relationships/hyperlink" Id="rId82" Target="https://isbnsearch.org/isbn/9780387310732" TargetMode="External" /><Relationship Type="http://schemas.openxmlformats.org/officeDocument/2006/relationships/hyperlink" Id="rId65" Target="https://isbnsearch.org/isbn/9780415339940" TargetMode="External" /><Relationship Type="http://schemas.openxmlformats.org/officeDocument/2006/relationships/hyperlink" Id="rId67" Target="https://isbnsearch.org/isbn/9780471241973" TargetMode="External" /><Relationship Type="http://schemas.openxmlformats.org/officeDocument/2006/relationships/hyperlink" Id="rId137" Target="https://isbnsearch.org/isbn/9780596516134" TargetMode="External" /><Relationship Type="http://schemas.openxmlformats.org/officeDocument/2006/relationships/hyperlink" Id="rId61" Target="https://isbnsearch.org/isbn/9780736037785" TargetMode="External" /><Relationship Type="http://schemas.openxmlformats.org/officeDocument/2006/relationships/hyperlink" Id="rId63" Target="https://isbnsearch.org/isbn/9781556421921" TargetMode="External" /><Relationship Type="http://schemas.openxmlformats.org/officeDocument/2006/relationships/hyperlink" Id="rId84" Target="https://www.deeplearningbook.org" TargetMode="External" /></Relationships>
</file>

<file path=word/_rels/footnotes.xml.rels><?xml version="1.0" encoding="UTF-8"?><Relationships xmlns="http://schemas.openxmlformats.org/package/2006/relationships"><Relationship Type="http://schemas.openxmlformats.org/officeDocument/2006/relationships/hyperlink" Id="rId125" Target="https://arxiv.org/abs/1409.1556" TargetMode="External" /><Relationship Type="http://schemas.openxmlformats.org/officeDocument/2006/relationships/hyperlink" Id="rId102" Target="https://arxiv.org/abs/1704.04861" TargetMode="External" /><Relationship Type="http://schemas.openxmlformats.org/officeDocument/2006/relationships/hyperlink" Id="rId127" Target="https://arxiv.org/abs/1907.05047" TargetMode="External" /><Relationship Type="http://schemas.openxmlformats.org/officeDocument/2006/relationships/hyperlink" Id="rId105" Target="https://arxiv.org/abs/2006.10204" TargetMode="External" /><Relationship Type="http://schemas.openxmlformats.org/officeDocument/2006/relationships/hyperlink" Id="rId78" Target="https://doi.org/10.1006/cviu.2000.0897" TargetMode="External" /><Relationship Type="http://schemas.openxmlformats.org/officeDocument/2006/relationships/hyperlink" Id="rId116" Target="https://doi.org/10.1007/978-3-030-34372-9" TargetMode="External" /><Relationship Type="http://schemas.openxmlformats.org/officeDocument/2006/relationships/hyperlink" Id="rId73" Target="https://doi.org/10.1016/S0966-6362(02)00004-8" TargetMode="External" /><Relationship Type="http://schemas.openxmlformats.org/officeDocument/2006/relationships/hyperlink" Id="rId71" Target="https://doi.org/10.1016/j.cviu.2006.08.002" TargetMode="External" /><Relationship Type="http://schemas.openxmlformats.org/officeDocument/2006/relationships/hyperlink" Id="rId75" Target="https://doi.org/10.1016/j.gaitpost.2004.04.004" TargetMode="External" /><Relationship Type="http://schemas.openxmlformats.org/officeDocument/2006/relationships/hyperlink" Id="rId154" Target="https://doi.org/10.1016/j.neucom.2015.07.085" TargetMode="External" /><Relationship Type="http://schemas.openxmlformats.org/officeDocument/2006/relationships/hyperlink" Id="rId133" Target="https://doi.org/10.1017/CBO9780511811685" TargetMode="External" /><Relationship Type="http://schemas.openxmlformats.org/officeDocument/2006/relationships/hyperlink" Id="rId88" Target="https://doi.org/10.1037/h0042519" TargetMode="External" /><Relationship Type="http://schemas.openxmlformats.org/officeDocument/2006/relationships/hyperlink" Id="rId90" Target="https://doi.org/10.1038/323533a0" TargetMode="External" /><Relationship Type="http://schemas.openxmlformats.org/officeDocument/2006/relationships/hyperlink" Id="rId86" Target="https://doi.org/10.1038/nature14539" TargetMode="External" /><Relationship Type="http://schemas.openxmlformats.org/officeDocument/2006/relationships/hyperlink" Id="rId135" Target="https://doi.org/10.1109/34.888718" TargetMode="External" /><Relationship Type="http://schemas.openxmlformats.org/officeDocument/2006/relationships/hyperlink" Id="rId96" Target="https://doi.org/10.1109/5.726791" TargetMode="External" /><Relationship Type="http://schemas.openxmlformats.org/officeDocument/2006/relationships/hyperlink" Id="rId94" Target="https://doi.org/10.1109/CVPR.2016.90" TargetMode="External" /><Relationship Type="http://schemas.openxmlformats.org/officeDocument/2006/relationships/hyperlink" Id="rId100" Target="https://doi.org/10.1109/CVPR.2016.91" TargetMode="External" /><Relationship Type="http://schemas.openxmlformats.org/officeDocument/2006/relationships/hyperlink" Id="rId98" Target="https://doi.org/10.1109/CVPR.2017.106" TargetMode="External" /><Relationship Type="http://schemas.openxmlformats.org/officeDocument/2006/relationships/hyperlink" Id="rId123" Target="https://doi.org/10.1109/CVPR.2017.143" TargetMode="External" /><Relationship Type="http://schemas.openxmlformats.org/officeDocument/2006/relationships/hyperlink" Id="rId111" Target="https://doi.org/10.1109/CVPR.2017.497" TargetMode="External" /><Relationship Type="http://schemas.openxmlformats.org/officeDocument/2006/relationships/hyperlink" Id="rId129" Target="https://doi.org/10.1109/CVPR.2018.00474" TargetMode="External" /><Relationship Type="http://schemas.openxmlformats.org/officeDocument/2006/relationships/hyperlink" Id="rId113" Target="https://doi.org/10.1109/CVPR.2019.00794" TargetMode="External" /><Relationship Type="http://schemas.openxmlformats.org/officeDocument/2006/relationships/hyperlink" Id="rId143" Target="https://doi.org/10.1109/CVPR.2019.01123" TargetMode="External" /><Relationship Type="http://schemas.openxmlformats.org/officeDocument/2006/relationships/hyperlink" Id="rId131" Target="https://doi.org/10.1109/ICCV.2017.288" TargetMode="External" /><Relationship Type="http://schemas.openxmlformats.org/officeDocument/2006/relationships/hyperlink" Id="rId151" Target="https://doi.org/10.1109/TASSP.1978.1163055" TargetMode="External" /><Relationship Type="http://schemas.openxmlformats.org/officeDocument/2006/relationships/hyperlink" Id="rId156" Target="https://doi.org/10.1109/TPAMI.2013.248" TargetMode="External" /><Relationship Type="http://schemas.openxmlformats.org/officeDocument/2006/relationships/hyperlink" Id="rId139" Target="https://doi.org/10.1145/2816795.2818013" TargetMode="External" /><Relationship Type="http://schemas.openxmlformats.org/officeDocument/2006/relationships/hyperlink" Id="rId147" Target="https://doi.org/10.1145/3130800.3130813" TargetMode="External" /><Relationship Type="http://schemas.openxmlformats.org/officeDocument/2006/relationships/hyperlink" Id="rId145" Target="https://doi.org/10.1145/3130800.3130883" TargetMode="External" /><Relationship Type="http://schemas.openxmlformats.org/officeDocument/2006/relationships/hyperlink" Id="rId141" Target="https://doi.org/10.1145/344779.344862" TargetMode="External" /><Relationship Type="http://schemas.openxmlformats.org/officeDocument/2006/relationships/hyperlink" Id="rId121" Target="https://doi.org/10.1145/3603618" TargetMode="External" /><Relationship Type="http://schemas.openxmlformats.org/officeDocument/2006/relationships/hyperlink" Id="rId107" Target="https://doi.org/10.1162/neco.1997.9.8.1735" TargetMode="External" /><Relationship Type="http://schemas.openxmlformats.org/officeDocument/2006/relationships/hyperlink" Id="rId149" Target="https://doi.org/10.1609/aaai.v35i2.16193" TargetMode="External" /><Relationship Type="http://schemas.openxmlformats.org/officeDocument/2006/relationships/hyperlink" Id="rId109" Target="https://doi.org/10.3115/v1/D14-1179" TargetMode="External" /><Relationship Type="http://schemas.openxmlformats.org/officeDocument/2006/relationships/hyperlink" Id="rId119" Target="https://github.com/ultralytics/ultralytics" TargetMode="External" /><Relationship Type="http://schemas.openxmlformats.org/officeDocument/2006/relationships/hyperlink" Id="rId80" Target="https://isbnsearch.org/isbn/9780070428073" TargetMode="External" /><Relationship Type="http://schemas.openxmlformats.org/officeDocument/2006/relationships/hyperlink" Id="rId69" Target="https://isbnsearch.org/isbn/9780124158429" TargetMode="External" /><Relationship Type="http://schemas.openxmlformats.org/officeDocument/2006/relationships/hyperlink" Id="rId82" Target="https://isbnsearch.org/isbn/9780387310732" TargetMode="External" /><Relationship Type="http://schemas.openxmlformats.org/officeDocument/2006/relationships/hyperlink" Id="rId65" Target="https://isbnsearch.org/isbn/9780415339940" TargetMode="External" /><Relationship Type="http://schemas.openxmlformats.org/officeDocument/2006/relationships/hyperlink" Id="rId67" Target="https://isbnsearch.org/isbn/9780471241973" TargetMode="External" /><Relationship Type="http://schemas.openxmlformats.org/officeDocument/2006/relationships/hyperlink" Id="rId137" Target="https://isbnsearch.org/isbn/9780596516134" TargetMode="External" /><Relationship Type="http://schemas.openxmlformats.org/officeDocument/2006/relationships/hyperlink" Id="rId61" Target="https://isbnsearch.org/isbn/9780736037785" TargetMode="External" /><Relationship Type="http://schemas.openxmlformats.org/officeDocument/2006/relationships/hyperlink" Id="rId63" Target="https://isbnsearch.org/isbn/9781556421921" TargetMode="External" /><Relationship Type="http://schemas.openxmlformats.org/officeDocument/2006/relationships/hyperlink" Id="rId84" Target="https://www.deeplearningbook.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2026-03-24T19:13:11Z</dcterms:created>
  <dcterms:modified xsi:type="dcterms:W3CDTF">2026-03-24T19:13:11Z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ies>
</file>