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jc w:val="center"/>
      </w:pPr>
      <w:r>
        <w:drawing>
          <wp:inline distT="0" distB="0" distL="0" distR="0">
            <wp:extent cx="2377440" cy="900704"/>
            <wp:effectExtent t="0" r="0" b="0" l="0"/>
            <wp:docPr id="100" name="logo_emsi" descr="Logo EMSI" title="Logo EM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emsi" descr="Logo EMSI"/>
                    <pic:cNvPicPr>
                      <a:picLocks noChangeAspect="1" noChangeArrowheads="1"/>
                    </pic:cNvPicPr>
                  </pic:nvPicPr>
                  <pic:blipFill>
                    <a:blip r:embed="rId19" cstate="none"/>
                    <a:srcRect/>
                    <a:stretch>
                      <a:fillRect/>
                    </a:stretch>
                  </pic:blipFill>
                  <pic:spPr bwMode="auto">
                    <a:xfrm>
                      <a:off x="0" y="0"/>
                      <a:ext cx="2377440" cy="900704"/>
                    </a:xfrm>
                    <a:prstGeom prst="rect">
                      <a:avLst/>
                    </a:prstGeom>
                  </pic:spPr>
                </pic:pic>
              </a:graphicData>
            </a:graphic>
          </wp:inline>
        </w:drawing>
      </w:r>
    </w:p>
    <w:p>
      <w:pPr>
        <w:spacing w:after="200"/>
        <w:jc w:val="center"/>
      </w:pPr>
      <w:r>
        <w:rPr>
          <w:b/>
          <w:bCs/>
          <w:color w:val="595959"/>
          <w:sz w:val="26"/>
          <w:szCs w:val="26"/>
        </w:rPr>
        <w:t xml:space="preserve">RAPPORT SCIENTIFIQUE</w:t>
      </w:r>
    </w:p>
    <w:p>
      <w:pPr>
        <w:spacing w:after="120"/>
        <w:jc w:val="center"/>
      </w:pPr>
      <w:r>
        <w:rPr>
          <w:b/>
          <w:bCs/>
          <w:color w:val="1F4E79"/>
          <w:sz w:val="48"/>
          <w:szCs w:val="48"/>
        </w:rPr>
        <w:t xml:space="preserve">Projet de fin de module — Deep Learning</w:t>
      </w:r>
    </w:p>
    <w:p>
      <w:pPr>
        <w:spacing w:after="600"/>
        <w:jc w:val="center"/>
      </w:pPr>
      <w:r>
        <w:rPr>
          <w:i/>
          <w:iCs/>
          <w:color w:val="595959"/>
          <w:sz w:val="26"/>
          <w:szCs w:val="26"/>
        </w:rPr>
        <w:t xml:space="preserve">Implémentation et analyse comparative de trois familles d’architectures de réseaux de neurones — MLP, CNN et RNN/LSTM/GRU</w:t>
      </w:r>
    </w:p>
    <w:p>
      <w:pPr>
        <w:pBdr>
          <w:bottom w:val="single" w:color="1F4E79" w:sz="8" w:space="1"/>
        </w:pBdr>
        <w:spacing w:after="600"/>
      </w:pPr>
    </w:p>
    <w:p>
      <w:pPr>
        <w:spacing w:after="160"/>
        <w:jc w:val="center"/>
      </w:pPr>
      <w:r>
        <w:rPr>
          <w:b/>
          <w:bCs/>
          <w:sz w:val="24"/>
          <w:szCs w:val="24"/>
        </w:rPr>
        <w:t xml:space="preserve">Établissement : </w:t>
      </w:r>
      <w:r>
        <w:rPr>
          <w:sz w:val="24"/>
          <w:szCs w:val="24"/>
        </w:rPr>
        <w:t xml:space="preserve">EMSI Casablanca — Cycle MSI</w:t>
      </w:r>
    </w:p>
    <w:p>
      <w:pPr>
        <w:spacing w:after="160"/>
        <w:jc w:val="center"/>
      </w:pPr>
      <w:r>
        <w:rPr>
          <w:b/>
          <w:bCs/>
          <w:sz w:val="24"/>
          <w:szCs w:val="24"/>
        </w:rPr>
        <w:t xml:space="preserve">Module : </w:t>
      </w:r>
      <w:r>
        <w:rPr>
          <w:sz w:val="24"/>
          <w:szCs w:val="24"/>
        </w:rPr>
        <w:t xml:space="preserve">Deep Learning</w:t>
      </w:r>
    </w:p>
    <w:p>
      <w:pPr>
        <w:spacing w:after="160"/>
        <w:jc w:val="center"/>
      </w:pPr>
      <w:r>
        <w:rPr>
          <w:b/>
          <w:bCs/>
          <w:sz w:val="24"/>
          <w:szCs w:val="24"/>
        </w:rPr>
        <w:t xml:space="preserve">Type de travail : </w:t>
      </w:r>
      <w:r>
        <w:rPr>
          <w:sz w:val="24"/>
          <w:szCs w:val="24"/>
        </w:rPr>
        <w:t xml:space="preserve">Projet individuel (équivalent examen)</w:t>
      </w:r>
    </w:p>
    <w:p>
      <w:pPr>
        <w:spacing w:after="160"/>
        <w:jc w:val="center"/>
      </w:pPr>
      <w:r>
        <w:rPr>
          <w:b/>
          <w:bCs/>
          <w:sz w:val="24"/>
          <w:szCs w:val="24"/>
        </w:rPr>
        <w:t xml:space="preserve">Année universitaire : </w:t>
      </w:r>
      <w:r>
        <w:rPr>
          <w:sz w:val="24"/>
          <w:szCs w:val="24"/>
        </w:rPr>
        <w:t xml:space="preserve">2025–2026</w:t>
      </w:r>
    </w:p>
    <w:p>
      <w:pPr>
        <w:spacing w:after="160"/>
        <w:jc w:val="center"/>
      </w:pPr>
      <w:r>
        <w:rPr>
          <w:b/>
          <w:bCs/>
          <w:sz w:val="24"/>
          <w:szCs w:val="24"/>
        </w:rPr>
        <w:t xml:space="preserve">Réalisé par : </w:t>
      </w:r>
      <w:r>
        <w:rPr>
          <w:sz w:val="24"/>
          <w:szCs w:val="24"/>
        </w:rPr>
        <w:t xml:space="preserve">[Votre nom et prénom]</w:t>
      </w:r>
    </w:p>
    <w:p>
      <w:pPr>
        <w:spacing w:after="1200"/>
      </w:pPr>
    </w:p>
    <w:p>
      <w:r>
        <w:br w:type="page"/>
      </w:r>
    </w:p>
    <w:p>
      <w:pPr>
        <w:pStyle w:val="Heading1"/>
      </w:pPr>
      <w:r>
        <w:t xml:space="preserve">Table des matières</w:t>
      </w:r>
    </w:p>
    <w:p>
      <w:pPr>
        <w:tabs>
          <w:tab w:val="right" w:pos="9360"/>
        </w:tabs>
        <w:spacing w:after="160"/>
      </w:pPr>
      <w:r>
        <w:rPr>
          <w:sz w:val="24"/>
          <w:szCs w:val="24"/>
        </w:rPr>
        <w:t xml:space="preserve">1. Introduction</w:t>
      </w:r>
    </w:p>
    <w:p>
      <w:pPr>
        <w:tabs>
          <w:tab w:val="right" w:pos="9360"/>
        </w:tabs>
        <w:spacing w:after="160"/>
      </w:pPr>
      <w:r>
        <w:rPr>
          <w:sz w:val="24"/>
          <w:szCs w:val="24"/>
        </w:rPr>
        <w:t xml:space="preserve">2. Objectifs</w:t>
      </w:r>
    </w:p>
    <w:p>
      <w:pPr>
        <w:tabs>
          <w:tab w:val="right" w:pos="9360"/>
        </w:tabs>
        <w:spacing w:after="160"/>
      </w:pPr>
      <w:r>
        <w:rPr>
          <w:sz w:val="24"/>
          <w:szCs w:val="24"/>
        </w:rPr>
        <w:t xml:space="preserve">3. Méthodologie générale</w:t>
      </w:r>
    </w:p>
    <w:p>
      <w:pPr>
        <w:tabs>
          <w:tab w:val="right" w:pos="9360"/>
        </w:tabs>
        <w:spacing w:after="160"/>
      </w:pPr>
      <w:r>
        <w:rPr>
          <w:sz w:val="24"/>
          <w:szCs w:val="24"/>
        </w:rPr>
        <w:t xml:space="preserve">4. Partie I — MLP sur données tabulaires</w:t>
      </w:r>
    </w:p>
    <w:p>
      <w:pPr>
        <w:tabs>
          <w:tab w:val="right" w:pos="9360"/>
        </w:tabs>
        <w:spacing w:after="160"/>
      </w:pPr>
      <w:r>
        <w:rPr>
          <w:sz w:val="24"/>
          <w:szCs w:val="24"/>
        </w:rPr>
        <w:t xml:space="preserve">5. Partie II — CNN sur données image</w:t>
      </w:r>
    </w:p>
    <w:p>
      <w:pPr>
        <w:tabs>
          <w:tab w:val="right" w:pos="9360"/>
        </w:tabs>
        <w:spacing w:after="160"/>
      </w:pPr>
      <w:r>
        <w:rPr>
          <w:sz w:val="24"/>
          <w:szCs w:val="24"/>
        </w:rPr>
        <w:t xml:space="preserve">6. Partie III — RNN / LSTM / GRU pour l’analyse de sentiment (IMDB)</w:t>
      </w:r>
    </w:p>
    <w:p>
      <w:pPr>
        <w:tabs>
          <w:tab w:val="right" w:pos="9360"/>
        </w:tabs>
        <w:spacing w:after="160"/>
      </w:pPr>
      <w:r>
        <w:rPr>
          <w:sz w:val="24"/>
          <w:szCs w:val="24"/>
        </w:rPr>
        <w:t xml:space="preserve">7. Discussion transversale</w:t>
      </w:r>
    </w:p>
    <w:p>
      <w:pPr>
        <w:tabs>
          <w:tab w:val="right" w:pos="9360"/>
        </w:tabs>
        <w:spacing w:after="160"/>
      </w:pPr>
      <w:r>
        <w:rPr>
          <w:sz w:val="24"/>
          <w:szCs w:val="24"/>
        </w:rPr>
        <w:t xml:space="preserve">8. Limites générales du projet</w:t>
      </w:r>
    </w:p>
    <w:p>
      <w:pPr>
        <w:tabs>
          <w:tab w:val="right" w:pos="9360"/>
        </w:tabs>
        <w:spacing w:after="160"/>
      </w:pPr>
      <w:r>
        <w:rPr>
          <w:sz w:val="24"/>
          <w:szCs w:val="24"/>
        </w:rPr>
        <w:t xml:space="preserve">9. Conclusion</w:t>
      </w:r>
    </w:p>
    <w:p>
      <w:r>
        <w:br w:type="page"/>
      </w:r>
    </w:p>
    <w:p>
      <w:pPr>
        <w:pStyle w:val="Heading1"/>
      </w:pPr>
      <w:r>
        <w:t xml:space="preserve">1. Introduction</w:t>
      </w:r>
    </w:p>
    <w:p>
      <w:pPr>
        <w:spacing w:after="160" w:line="300"/>
        <w:jc w:val="both"/>
      </w:pPr>
      <w:r>
        <w:rPr>
          <w:b w:val="false"/>
          <w:bCs w:val="false"/>
          <w:i w:val="false"/>
          <w:iCs w:val="false"/>
        </w:rPr>
        <w:t xml:space="preserve">Ce projet couvre trois grandes familles d'architectures de réseaux de neurones — le perceptron multicouche (MLP), le réseau de neurones convolutif (CNN) et les réseaux récurrents (RNN, LSTM, GRU) — appliquées respectivement à des données tabulaires, des images et du texte. L'objectif n'est pas seulement d'obtenir des modèles fonctionnels, mais de comprendre pourquoi une architecture donnée convient à un type de données donné, à travers une implémentation manuelle de certains blocs de base, une comparaison numérique avec les couches PyTorch équivalentes, et une analyse critique systématique des résultats obtenus.</w:t>
      </w:r>
    </w:p>
    <w:p>
      <w:pPr>
        <w:spacing w:after="160" w:line="300"/>
        <w:jc w:val="both"/>
      </w:pPr>
      <w:r>
        <w:rPr>
          <w:b w:val="false"/>
          <w:bCs w:val="false"/>
          <w:i w:val="false"/>
          <w:iCs w:val="false"/>
        </w:rPr>
        <w:t xml:space="preserve">L'ensemble des résultats chiffrés présentés dans ce rapport — tableaux, courbes et figures — proviennent de l'exécution réelle et complète des trois notebooks fournis avec le projet. Aucune valeur n'a été estimée ni anticipée théoriquement : chaque métrique citée correspond à une sortie effective des cellules de code correspondantes.</w:t>
      </w:r>
    </w:p>
    <w:p>
      <w:pPr>
        <w:pStyle w:val="Heading1"/>
      </w:pPr>
      <w:r>
        <w:t xml:space="preserve">2. Objectifs</w:t>
      </w:r>
    </w:p>
    <w:p>
      <w:pPr>
        <w:pStyle w:val="ListParagraph"/>
        <w:numPr>
          <w:ilvl w:val="0"/>
          <w:numId w:val="2"/>
        </w:numPr>
        <w:spacing w:after="100" w:line="280"/>
      </w:pPr>
      <w:r>
        <w:t xml:space="preserve">Manipuler nn.Module, les paramètres, le calcul de gradient et la sauvegarde/chargement de modèles dans trois contextes différents (tabulaire, image, séquence).</w:t>
      </w:r>
    </w:p>
    <w:p>
      <w:pPr>
        <w:pStyle w:val="ListParagraph"/>
        <w:numPr>
          <w:ilvl w:val="0"/>
          <w:numId w:val="2"/>
        </w:numPr>
        <w:spacing w:after="100" w:line="280"/>
      </w:pPr>
      <w:r>
        <w:t xml:space="preserve">Comparer plusieurs choix de conception (stratégies d'initialisation, hyperparamètres convolutifs, type de cellule récurrente) à l'aide de tableaux et de courbes.</w:t>
      </w:r>
    </w:p>
    <w:p>
      <w:pPr>
        <w:pStyle w:val="ListParagraph"/>
        <w:numPr>
          <w:ilvl w:val="0"/>
          <w:numId w:val="2"/>
        </w:numPr>
        <w:spacing w:after="100" w:line="280"/>
      </w:pPr>
      <w:r>
        <w:t xml:space="preserve">Implémenter manuellement certaines opérations clés (convolution, pooling) et vérifier leur cohérence numérique avec l'implémentation PyTorch correspondante.</w:t>
      </w:r>
    </w:p>
    <w:p>
      <w:pPr>
        <w:pStyle w:val="ListParagraph"/>
        <w:numPr>
          <w:ilvl w:val="0"/>
          <w:numId w:val="2"/>
        </w:numPr>
        <w:spacing w:after="100" w:line="280"/>
      </w:pPr>
      <w:r>
        <w:t xml:space="preserve">Évaluer chaque modèle avec des métriques adaptées : accuracy, précision, rappel, F1 et matrice de confusion, aussi bien pour la classification d'image ou tabulaire que pour la classification de séquence textuelle.</w:t>
      </w:r>
    </w:p>
    <w:p>
      <w:pPr>
        <w:pStyle w:val="ListParagraph"/>
        <w:numPr>
          <w:ilvl w:val="0"/>
          <w:numId w:val="2"/>
        </w:numPr>
        <w:spacing w:after="100" w:line="280"/>
      </w:pPr>
      <w:r>
        <w:t xml:space="preserve">Relier les trois parties dans une discussion transversale sur l'adéquation entre architecture et structure des données.</w:t>
      </w:r>
    </w:p>
    <w:p>
      <w:pPr>
        <w:pStyle w:val="Heading1"/>
      </w:pPr>
      <w:r>
        <w:t xml:space="preserve">3. Méthodologie générale</w:t>
      </w:r>
    </w:p>
    <w:p>
      <w:pPr>
        <w:spacing w:after="160" w:line="300"/>
        <w:jc w:val="both"/>
      </w:pPr>
      <w:r>
        <w:rPr>
          <w:b w:val="false"/>
          <w:bCs w:val="false"/>
          <w:i w:val="false"/>
          <w:iCs w:val="false"/>
        </w:rPr>
        <w:t xml:space="preserve">L'ensemble du projet est implémenté en Python avec PyTorch, sous la forme de trois notebooks Jupyter indépendants (part1_mlp.ipynb, part2_cnn.ipynb, part3_rnn.ipynb), chacun correspondant à une partie du cahier des charges. Pour chaque partie, la même démarche est suivie : préparation des données et séparation train / validation / test, implémentation du ou des modèles, entraînement avec suivi de la perte, évaluation quantitative, puis analyse critique. Les modèles entraînés sont sauvegardés au format .pth dans le dossier saved_models/. L'exécution a été réalisée sur un environnement Python local (CPU), avec PyTorch, pandas, scikit-learn, matplotlib et seaborn.</w:t>
      </w:r>
    </w:p>
    <w:p>
      <w:pPr>
        <w:pStyle w:val="Heading1"/>
      </w:pPr>
      <w:r>
        <w:t xml:space="preserve">4. Partie I — MLP sur données tabulaires</w:t>
      </w:r>
    </w:p>
    <w:p>
      <w:pPr>
        <w:pStyle w:val="Heading2"/>
      </w:pPr>
      <w:r>
        <w:t xml:space="preserve">4.1 Données</w:t>
      </w:r>
    </w:p>
    <w:p>
      <w:pPr>
        <w:spacing w:after="160" w:line="300"/>
        <w:jc w:val="both"/>
      </w:pPr>
      <w:r>
        <w:rPr>
          <w:b w:val="false"/>
          <w:bCs w:val="false"/>
          <w:i w:val="false"/>
          <w:iCs w:val="false"/>
        </w:rPr>
        <w:t xml:space="preserve">Le jeu de données utilisé est winequality-red.csv (1599 lignes, 12 colonnes : 11 variables physico-chimiques et une note de qualité comprise entre 0 et 10). Une variable cible binaire est construite en considérant qu'un vin est de « bonne qualité » lorsque sa note est supérieure ou égale à 6. Après normalisation des variables (StandardScaler) et séparation stratifiée train/validation/test (60 % / 20 % / 20 %), le jeu de données est réparti en 959 exemples d'entraînement, 320 de validation et 320 de test.</w:t>
      </w:r>
    </w:p>
    <w:p>
      <w:pPr>
        <w:pStyle w:val="Heading2"/>
      </w:pPr>
      <w:r>
        <w:t xml:space="preserve">4.2 Implémentation</w:t>
      </w:r>
    </w:p>
    <w:p>
      <w:pPr>
        <w:spacing w:after="160" w:line="300"/>
        <w:jc w:val="both"/>
      </w:pPr>
      <w:r>
        <w:rPr>
          <w:b w:val="false"/>
          <w:bCs w:val="false"/>
          <w:i w:val="false"/>
          <w:iCs w:val="false"/>
        </w:rPr>
        <w:t xml:space="preserve">Deux versions équivalentes du même MLP (11 → 64 → 32 → 1, activations ReLU et sortie sigmoïde) ont été implémentées : une via nn.Sequential et une via une classe personnalisée héritant de nn.Module, afin d'illustrer les deux approches de construction d'un réseau et de comparer leurs paramètres via named_parameters() et state_dict(). L'entraînement utilise une perte BCELoss et l'optimiseur Adam.</w:t>
      </w:r>
    </w:p>
    <w:p>
      <w:pPr>
        <w:pStyle w:val="Heading2"/>
      </w:pPr>
      <w:r>
        <w:t xml:space="preserve">4.3 Comparaison des stratégies d'initialisation</w:t>
      </w:r>
    </w:p>
    <w:p>
      <w:pPr>
        <w:spacing w:after="160" w:line="300"/>
        <w:jc w:val="both"/>
      </w:pPr>
      <w:r>
        <w:rPr>
          <w:b w:val="false"/>
          <w:bCs w:val="false"/>
          <w:i w:val="false"/>
          <w:iCs w:val="false"/>
        </w:rPr>
        <w:t xml:space="preserve">Trois stratégies d'initialisation des poids ont été comparées sur 80 époques, sur la classe CustomMLP : initialisation gaussienne (écart-type 0,02), initialisation constante (valeur 0,1) et initialisation de Xavier. Le tableau suivant rapporte les valeurs réellement obtenues à l'issue de cette comparaison expérimentale.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40"/>
        <w:gridCol w:w="1240"/>
        <w:gridCol w:w="1080"/>
        <w:gridCol w:w="1080"/>
        <w:gridCol w:w="1080"/>
        <w:gridCol w:w="1040"/>
      </w:tblGrid>
      <w:tr>
        <w:trPr>
          <w:tblHeader/>
        </w:trPr>
        <w:tc>
          <w:tcPr>
            <w:tcW w:type="dxa" w:w="16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pPr>
              <w:jc w:val="center"/>
            </w:pPr>
            <w:r>
              <w:rPr>
                <w:b/>
                <w:bCs/>
                <w:color w:val="FFFFFF"/>
                <w:sz w:val="19"/>
                <w:szCs w:val="19"/>
              </w:rPr>
              <w:t xml:space="preserve">Stratégie</w:t>
            </w:r>
          </w:p>
        </w:tc>
        <w:tc>
          <w:tcPr>
            <w:tcW w:type="dxa" w:w="124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pPr>
              <w:jc w:val="center"/>
            </w:pPr>
            <w:r>
              <w:rPr>
                <w:b/>
                <w:bCs/>
                <w:color w:val="FFFFFF"/>
                <w:sz w:val="19"/>
                <w:szCs w:val="19"/>
              </w:rPr>
              <w:t xml:space="preserve">Perte train (finale)</w:t>
            </w:r>
          </w:p>
        </w:tc>
        <w:tc>
          <w:tcPr>
            <w:tcW w:type="dxa" w:w="124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pPr>
              <w:jc w:val="center"/>
            </w:pPr>
            <w:r>
              <w:rPr>
                <w:b/>
                <w:bCs/>
                <w:color w:val="FFFFFF"/>
                <w:sz w:val="19"/>
                <w:szCs w:val="19"/>
              </w:rPr>
              <w:t xml:space="preserve">Perte val. (finale)</w:t>
            </w:r>
          </w:p>
        </w:tc>
        <w:tc>
          <w:tcPr>
            <w:tcW w:type="dxa" w:w="108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pPr>
              <w:jc w:val="center"/>
            </w:pPr>
            <w:r>
              <w:rPr>
                <w:b/>
                <w:bCs/>
                <w:color w:val="FFFFFF"/>
                <w:sz w:val="19"/>
                <w:szCs w:val="19"/>
              </w:rPr>
              <w:t xml:space="preserve">Accuracy</w:t>
            </w:r>
          </w:p>
        </w:tc>
        <w:tc>
          <w:tcPr>
            <w:tcW w:type="dxa" w:w="108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pPr>
              <w:jc w:val="center"/>
            </w:pPr>
            <w:r>
              <w:rPr>
                <w:b/>
                <w:bCs/>
                <w:color w:val="FFFFFF"/>
                <w:sz w:val="19"/>
                <w:szCs w:val="19"/>
              </w:rPr>
              <w:t xml:space="preserve">Précision</w:t>
            </w:r>
          </w:p>
        </w:tc>
        <w:tc>
          <w:tcPr>
            <w:tcW w:type="dxa" w:w="108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pPr>
              <w:jc w:val="center"/>
            </w:pPr>
            <w:r>
              <w:rPr>
                <w:b/>
                <w:bCs/>
                <w:color w:val="FFFFFF"/>
                <w:sz w:val="19"/>
                <w:szCs w:val="19"/>
              </w:rPr>
              <w:t xml:space="preserve">Rappel</w:t>
            </w:r>
          </w:p>
        </w:tc>
        <w:tc>
          <w:tcPr>
            <w:tcW w:type="dxa" w:w="104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pPr>
              <w:jc w:val="center"/>
            </w:pPr>
            <w:r>
              <w:rPr>
                <w:b/>
                <w:bCs/>
                <w:color w:val="FFFFFF"/>
                <w:sz w:val="19"/>
                <w:szCs w:val="19"/>
              </w:rPr>
              <w:t xml:space="preserve">F1</w:t>
            </w:r>
          </w:p>
        </w:tc>
      </w:tr>
      <w:tr>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bCs/>
                <w:sz w:val="19"/>
                <w:szCs w:val="19"/>
              </w:rPr>
              <w:t xml:space="preserve">Gaussienne</w:t>
            </w:r>
          </w:p>
        </w:tc>
        <w:tc>
          <w:tcPr>
            <w:tcW w:type="dxa" w:w="124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0,5066</w:t>
            </w:r>
          </w:p>
        </w:tc>
        <w:tc>
          <w:tcPr>
            <w:tcW w:type="dxa" w:w="124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0,5785</w:t>
            </w:r>
          </w:p>
        </w:tc>
        <w:tc>
          <w:tcPr>
            <w:tcW w:type="dxa" w:w="10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0,7000</w:t>
            </w:r>
          </w:p>
        </w:tc>
        <w:tc>
          <w:tcPr>
            <w:tcW w:type="dxa" w:w="10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0,7451</w:t>
            </w:r>
          </w:p>
        </w:tc>
        <w:tc>
          <w:tcPr>
            <w:tcW w:type="dxa" w:w="10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0,6667</w:t>
            </w:r>
          </w:p>
        </w:tc>
        <w:tc>
          <w:tcPr>
            <w:tcW w:type="dxa" w:w="104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0,7037</w:t>
            </w:r>
          </w:p>
        </w:tc>
      </w:tr>
      <w:tr>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bCs/>
                <w:sz w:val="19"/>
                <w:szCs w:val="19"/>
              </w:rPr>
              <w:t xml:space="preserve">Constante</w:t>
            </w:r>
          </w:p>
        </w:tc>
        <w:tc>
          <w:tcPr>
            <w:tcW w:type="dxa" w:w="124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0,6786</w:t>
            </w:r>
          </w:p>
        </w:tc>
        <w:tc>
          <w:tcPr>
            <w:tcW w:type="dxa" w:w="124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0,6948</w:t>
            </w:r>
          </w:p>
        </w:tc>
        <w:tc>
          <w:tcPr>
            <w:tcW w:type="dxa" w:w="10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0,5562</w:t>
            </w:r>
          </w:p>
        </w:tc>
        <w:tc>
          <w:tcPr>
            <w:tcW w:type="dxa" w:w="10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0,6218</w:t>
            </w:r>
          </w:p>
        </w:tc>
        <w:tc>
          <w:tcPr>
            <w:tcW w:type="dxa" w:w="10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0,4327</w:t>
            </w:r>
          </w:p>
        </w:tc>
        <w:tc>
          <w:tcPr>
            <w:tcW w:type="dxa" w:w="104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0,5103</w:t>
            </w:r>
          </w:p>
        </w:tc>
      </w:tr>
      <w:tr>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bCs/>
                <w:sz w:val="19"/>
                <w:szCs w:val="19"/>
              </w:rPr>
              <w:t xml:space="preserve">Xavier</w:t>
            </w:r>
          </w:p>
        </w:tc>
        <w:tc>
          <w:tcPr>
            <w:tcW w:type="dxa" w:w="124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0,4757</w:t>
            </w:r>
          </w:p>
        </w:tc>
        <w:tc>
          <w:tcPr>
            <w:tcW w:type="dxa" w:w="124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0,5368</w:t>
            </w:r>
          </w:p>
        </w:tc>
        <w:tc>
          <w:tcPr>
            <w:tcW w:type="dxa" w:w="10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0,7312</w:t>
            </w:r>
          </w:p>
        </w:tc>
        <w:tc>
          <w:tcPr>
            <w:tcW w:type="dxa" w:w="10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0,7607</w:t>
            </w:r>
          </w:p>
        </w:tc>
        <w:tc>
          <w:tcPr>
            <w:tcW w:type="dxa" w:w="10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0,7251</w:t>
            </w:r>
          </w:p>
        </w:tc>
        <w:tc>
          <w:tcPr>
            <w:tcW w:type="dxa" w:w="104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0,7425</w:t>
            </w:r>
          </w:p>
        </w:tc>
      </w:tr>
    </w:tbl>
    <w:p>
      <w:pPr>
        <w:spacing w:after="160"/>
      </w:pPr>
    </w:p>
    <w:p>
      <w:pPr>
        <w:spacing w:after="60" w:before="120"/>
        <w:jc w:val="center"/>
      </w:pPr>
      <w:r>
        <w:drawing>
          <wp:inline distT="0" distB="0" distL="0" distR="0">
            <wp:extent cx="5334000" cy="18859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885950"/>
                    </a:xfrm>
                    <a:prstGeom prst="rect">
                      <a:avLst/>
                    </a:prstGeom>
                  </pic:spPr>
                </pic:pic>
              </a:graphicData>
            </a:graphic>
          </wp:inline>
        </w:drawing>
      </w:r>
    </w:p>
    <w:p>
      <w:pPr>
        <w:spacing w:after="280" w:before="60"/>
        <w:jc w:val="center"/>
      </w:pPr>
      <w:r>
        <w:rPr>
          <w:i/>
          <w:iCs/>
          <w:color w:val="595959"/>
          <w:sz w:val="20"/>
          <w:szCs w:val="20"/>
        </w:rPr>
        <w:t xml:space="preserve">Figure 1 — Courbes de perte d'entraînement et de validation selon la stratégie d'initialisation (80 époques).</w:t>
      </w:r>
    </w:p>
    <w:p>
      <w:pPr>
        <w:spacing w:after="160" w:line="300"/>
        <w:jc w:val="both"/>
      </w:pPr>
      <w:r>
        <w:rPr>
          <w:b w:val="false"/>
          <w:bCs w:val="false"/>
          <w:i w:val="false"/>
          <w:iCs w:val="false"/>
        </w:rPr>
        <w:t xml:space="preserve">Les résultats confirment les attentes théoriques. L'initialisation constante place tous les neurones d'une même couche dans un état rigoureusement identique : en l'absence de brisure de symétrie, ils reçoivent le même gradient à chaque itération et évoluent de façon strictement identique tout au long de l'entraînement. Le réseau se comporte alors, en pratique, comme un modèle disposant d'une capacité effective bien plus faible que son nombre réel de paramètres, ce qui explique la perte qui stagne nettement plus haut (0,6948 contre 0,5368 pour Xavier) et l'accuracy la plus faible des trois stratégies (0,5562, à peine au-dessus du hasard pour ce problème binaire légèrement déséquilibré). L'initialisation de Xavier, conçue pour préserver la variance des activations à travers les couches, obtient ici la meilleure perte finale et le meilleur F1 (0,7425), devançant légèrement l'initialisation gaussienne simple (0,7037).</w:t>
      </w:r>
    </w:p>
    <w:p>
      <w:pPr>
        <w:pStyle w:val="Heading2"/>
      </w:pPr>
      <w:r>
        <w:t xml:space="preserve">4.4 Modèle retenu et résultats sur l'ensemble de test</w:t>
      </w:r>
    </w:p>
    <w:p>
      <w:pPr>
        <w:spacing w:after="160" w:line="300"/>
        <w:jc w:val="both"/>
      </w:pPr>
      <w:r>
        <w:rPr>
          <w:b w:val="false"/>
          <w:bCs w:val="false"/>
          <w:i w:val="false"/>
          <w:iCs w:val="false"/>
        </w:rPr>
        <w:t xml:space="preserve">Indépendamment de la comparaison précédente, les deux architectures (Sequential et Custom) ont été entraînées avec l'initialisation de Xavier sur 40 époques et évaluées sur l'ensemble de validation, afin de vérifier la cohérence des deux styles de construction de modèle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60"/>
        <w:gridCol w:w="1600"/>
        <w:gridCol w:w="1600"/>
        <w:gridCol w:w="1600"/>
        <w:gridCol w:w="1600"/>
      </w:tblGrid>
      <w:tr>
        <w:trPr>
          <w:tblHeader/>
        </w:trPr>
        <w:tc>
          <w:tcPr>
            <w:tcW w:type="dxa" w:w="29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pPr>
              <w:jc w:val="center"/>
            </w:pPr>
            <w:r>
              <w:rPr>
                <w:b/>
                <w:bCs/>
                <w:color w:val="FFFFFF"/>
                <w:sz w:val="19"/>
                <w:szCs w:val="19"/>
              </w:rPr>
              <w:t xml:space="preserve">Implémentation</w:t>
            </w:r>
          </w:p>
        </w:tc>
        <w:tc>
          <w:tcPr>
            <w:tcW w:type="dxa" w:w="16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pPr>
              <w:jc w:val="center"/>
            </w:pPr>
            <w:r>
              <w:rPr>
                <w:b/>
                <w:bCs/>
                <w:color w:val="FFFFFF"/>
                <w:sz w:val="19"/>
                <w:szCs w:val="19"/>
              </w:rPr>
              <w:t xml:space="preserve">Accuracy (val)</w:t>
            </w:r>
          </w:p>
        </w:tc>
        <w:tc>
          <w:tcPr>
            <w:tcW w:type="dxa" w:w="16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pPr>
              <w:jc w:val="center"/>
            </w:pPr>
            <w:r>
              <w:rPr>
                <w:b/>
                <w:bCs/>
                <w:color w:val="FFFFFF"/>
                <w:sz w:val="19"/>
                <w:szCs w:val="19"/>
              </w:rPr>
              <w:t xml:space="preserve">Précision (val)</w:t>
            </w:r>
          </w:p>
        </w:tc>
        <w:tc>
          <w:tcPr>
            <w:tcW w:type="dxa" w:w="16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pPr>
              <w:jc w:val="center"/>
            </w:pPr>
            <w:r>
              <w:rPr>
                <w:b/>
                <w:bCs/>
                <w:color w:val="FFFFFF"/>
                <w:sz w:val="19"/>
                <w:szCs w:val="19"/>
              </w:rPr>
              <w:t xml:space="preserve">Rappel (val)</w:t>
            </w:r>
          </w:p>
        </w:tc>
        <w:tc>
          <w:tcPr>
            <w:tcW w:type="dxa" w:w="16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pPr>
              <w:jc w:val="center"/>
            </w:pPr>
            <w:r>
              <w:rPr>
                <w:b/>
                <w:bCs/>
                <w:color w:val="FFFFFF"/>
                <w:sz w:val="19"/>
                <w:szCs w:val="19"/>
              </w:rPr>
              <w:t xml:space="preserve">F1 (val)</w:t>
            </w:r>
          </w:p>
        </w:tc>
      </w:tr>
      <w:tr>
        <w:tc>
          <w:tcPr>
            <w:tcW w:type="dxa" w:w="2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bCs/>
                <w:sz w:val="19"/>
                <w:szCs w:val="19"/>
              </w:rPr>
              <w:t xml:space="preserve">nn.Sequential</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0,7125</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0,7365</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0,7193</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0,7278</w:t>
            </w:r>
          </w:p>
        </w:tc>
      </w:tr>
      <w:tr>
        <w:tc>
          <w:tcPr>
            <w:tcW w:type="dxa" w:w="2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bCs/>
                <w:sz w:val="19"/>
                <w:szCs w:val="19"/>
              </w:rPr>
              <w:t xml:space="preserve">Classe personnalisée</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0,6844</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0,7188</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0,6725</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0,6949</w:t>
            </w:r>
          </w:p>
        </w:tc>
      </w:tr>
    </w:tbl>
    <w:p>
      <w:pPr>
        <w:spacing w:after="160"/>
      </w:pPr>
    </w:p>
    <w:p>
      <w:pPr>
        <w:spacing w:after="160" w:line="300"/>
        <w:jc w:val="both"/>
      </w:pPr>
      <w:r>
        <w:rPr>
          <w:b w:val="false"/>
          <w:bCs w:val="false"/>
          <w:i w:val="false"/>
          <w:iCs w:val="false"/>
        </w:rPr>
        <w:t xml:space="preserve">Un modèle CustomMLP a ensuite été entraîné séparément (même protocole : Xavier, 40 époques), sauvegardé dans saved_models/part1_mlp_best.pth, puis rechargé pour l'évaluation finale sur l'ensemble de test, totalement indépendant de l'entraînement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pPr>
              <w:jc w:val="center"/>
            </w:pPr>
            <w:r>
              <w:rPr>
                <w:b/>
                <w:bCs/>
                <w:color w:val="FFFFFF"/>
                <w:sz w:val="19"/>
                <w:szCs w:val="19"/>
              </w:rPr>
              <w:t xml:space="preserve">Métrique</w:t>
            </w:r>
          </w:p>
        </w:tc>
        <w:tc>
          <w:tcPr>
            <w:tcW w:type="dxa" w:w="468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pPr>
              <w:jc w:val="center"/>
            </w:pPr>
            <w:r>
              <w:rPr>
                <w:b/>
                <w:bCs/>
                <w:color w:val="FFFFFF"/>
                <w:sz w:val="19"/>
                <w:szCs w:val="19"/>
              </w:rPr>
              <w:t xml:space="preserve">Valeur (test, 320 exemples)</w:t>
            </w:r>
          </w:p>
        </w:tc>
      </w:tr>
      <w:tr>
        <w:tc>
          <w:tcPr>
            <w:tcW w:type="dxa" w:w="46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sz w:val="19"/>
                <w:szCs w:val="19"/>
              </w:rPr>
              <w:t xml:space="preserve">Accuracy</w:t>
            </w:r>
          </w:p>
        </w:tc>
        <w:tc>
          <w:tcPr>
            <w:tcW w:type="dxa" w:w="46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0,7469</w:t>
            </w:r>
          </w:p>
        </w:tc>
      </w:tr>
      <w:tr>
        <w:tc>
          <w:tcPr>
            <w:tcW w:type="dxa" w:w="46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sz w:val="19"/>
                <w:szCs w:val="19"/>
              </w:rPr>
              <w:t xml:space="preserve">Précision</w:t>
            </w:r>
          </w:p>
        </w:tc>
        <w:tc>
          <w:tcPr>
            <w:tcW w:type="dxa" w:w="46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0,7813</w:t>
            </w:r>
          </w:p>
        </w:tc>
      </w:tr>
      <w:tr>
        <w:tc>
          <w:tcPr>
            <w:tcW w:type="dxa" w:w="46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sz w:val="19"/>
                <w:szCs w:val="19"/>
              </w:rPr>
              <w:t xml:space="preserve">Rappel</w:t>
            </w:r>
          </w:p>
        </w:tc>
        <w:tc>
          <w:tcPr>
            <w:tcW w:type="dxa" w:w="46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0,7310</w:t>
            </w:r>
          </w:p>
        </w:tc>
      </w:tr>
      <w:tr>
        <w:tc>
          <w:tcPr>
            <w:tcW w:type="dxa" w:w="46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sz w:val="19"/>
                <w:szCs w:val="19"/>
              </w:rPr>
              <w:t xml:space="preserve">F1-score</w:t>
            </w:r>
          </w:p>
        </w:tc>
        <w:tc>
          <w:tcPr>
            <w:tcW w:type="dxa" w:w="46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0,7553</w:t>
            </w:r>
          </w:p>
        </w:tc>
      </w:tr>
    </w:tbl>
    <w:p>
      <w:pPr>
        <w:spacing w:after="160"/>
      </w:pPr>
    </w:p>
    <w:p>
      <w:pPr>
        <w:spacing w:after="60" w:before="120"/>
        <w:jc w:val="center"/>
      </w:pPr>
      <w:r>
        <w:drawing>
          <wp:inline distT="0" distB="0" distL="0" distR="0">
            <wp:extent cx="3048000" cy="269557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48000" cy="2695575"/>
                    </a:xfrm>
                    <a:prstGeom prst="rect">
                      <a:avLst/>
                    </a:prstGeom>
                  </pic:spPr>
                </pic:pic>
              </a:graphicData>
            </a:graphic>
          </wp:inline>
        </w:drawing>
      </w:r>
    </w:p>
    <w:p>
      <w:pPr>
        <w:spacing w:after="280" w:before="60"/>
        <w:jc w:val="center"/>
      </w:pPr>
      <w:r>
        <w:rPr>
          <w:i/>
          <w:iCs/>
          <w:color w:val="595959"/>
          <w:sz w:val="20"/>
          <w:szCs w:val="20"/>
        </w:rPr>
        <w:t xml:space="preserve">Figure 2 — Matrice de confusion du modèle final (CustomMLP, Xavier) sur l'ensemble de test.</w:t>
      </w:r>
    </w:p>
    <w:p>
      <w:pPr>
        <w:pStyle w:val="Heading2"/>
      </w:pPr>
      <w:r>
        <w:t xml:space="preserve">4.5 Interprétation et limites</w:t>
      </w:r>
    </w:p>
    <w:p>
      <w:pPr>
        <w:spacing w:after="160" w:line="300"/>
        <w:jc w:val="both"/>
      </w:pPr>
      <w:r>
        <w:rPr>
          <w:b w:val="false"/>
          <w:bCs w:val="false"/>
          <w:i w:val="false"/>
          <w:iCs w:val="false"/>
        </w:rPr>
        <w:t xml:space="preserve">Les performances obtenues (accuracy comprise entre 0,68 et 0,75 selon l'exécution) sont cohérentes avec la difficulté intrinsèque de la tâche : prédire une note de qualité de vin à partir de mesures physico-chimiques est un problème bruité, où la variable cible est elle-même une moyenne d'évaluations humaines subjectives. On notera par ailleurs un écart non négligeable entre l'accuracy de validation du CustomMLP lors de la comparaison Sequential/Custom (0,6844) et celle du modèle final rechargé sur le test set (0,7469), bien que les deux modèles partagent strictement la même architecture, la même initialisation et le même protocole d'entraînement. Cet écart illustre une limite méthodologique importante plutôt qu'une incohérence : aucune graine aléatoire (random seed) n'étant fixée d'une exécution à l'autre, deux entraînements indépendants du « même » modèle peuvent converger vers des solutions sensiblement différentes sur un jeu de données de cette taille (959 exemples d'entraînement). Cette variabilité d'un entraînement à l'autre est elle-même un résultat pédagogique pertinent : elle rappelle qu'une seule exécution ne suffit pas à caractériser fiablement la performance d'un modèle sur de petits jeux de données, et qu'une évaluation rigoureuse demanderait plusieurs répétitions avec graines fixées.</w:t>
      </w:r>
    </w:p>
    <w:p>
      <w:pPr>
        <w:pStyle w:val="Heading1"/>
      </w:pPr>
      <w:r>
        <w:t xml:space="preserve">5. Partie II — CNN sur données image</w:t>
      </w:r>
    </w:p>
    <w:p>
      <w:pPr>
        <w:pStyle w:val="Heading2"/>
      </w:pPr>
      <w:r>
        <w:t xml:space="preserve">5.1 Données</w:t>
      </w:r>
    </w:p>
    <w:p>
      <w:pPr>
        <w:spacing w:after="160" w:line="300"/>
        <w:jc w:val="both"/>
      </w:pPr>
      <w:r>
        <w:rPr>
          <w:b w:val="false"/>
          <w:bCs w:val="false"/>
          <w:i w:val="false"/>
          <w:iCs w:val="false"/>
        </w:rPr>
        <w:t xml:space="preserve">Le jeu de données utilisé est Fashion-MNIST (images en niveaux de gris 28×28, 10 classes : T-shirt/top, Trouser, Pullover, Dress, Coat, Sandal, Shirt, Sneaker, Bag, Ankle boot), comportant 60 000 images d'entraînement et 10 000 images de test, chargé via torchvision.</w:t>
      </w:r>
    </w:p>
    <w:p>
      <w:pPr>
        <w:pStyle w:val="Heading2"/>
      </w:pPr>
      <w:r>
        <w:t xml:space="preserve">5.2 Implémentations manuelles vs PyTorch</w:t>
      </w:r>
    </w:p>
    <w:p>
      <w:pPr>
        <w:spacing w:after="160" w:line="300"/>
        <w:jc w:val="both"/>
      </w:pPr>
      <w:r>
        <w:rPr>
          <w:b w:val="false"/>
          <w:bCs w:val="false"/>
          <w:i w:val="false"/>
          <w:iCs w:val="false"/>
        </w:rPr>
        <w:t xml:space="preserve">Une convolution 2D, un max-pooling et un average-pooling ont été implémentés manuellement (boucles explicites sur les positions spatiales), puis comparés numériquement à nn.Conv2d, nn.MaxPool2d et nn.AvgPool2d sur le même exemple d'image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pPr>
              <w:jc w:val="center"/>
            </w:pPr>
            <w:r>
              <w:rPr>
                <w:b/>
                <w:bCs/>
                <w:color w:val="FFFFFF"/>
                <w:sz w:val="19"/>
                <w:szCs w:val="19"/>
              </w:rPr>
              <w:t xml:space="preserve">Opération</w:t>
            </w:r>
          </w:p>
        </w:tc>
        <w:tc>
          <w:tcPr>
            <w:tcW w:type="dxa" w:w="468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pPr>
              <w:jc w:val="center"/>
            </w:pPr>
            <w:r>
              <w:rPr>
                <w:b/>
                <w:bCs/>
                <w:color w:val="FFFFFF"/>
                <w:sz w:val="19"/>
                <w:szCs w:val="19"/>
              </w:rPr>
              <w:t xml:space="preserve">Écart maximal avec l'implémentation PyTorch</w:t>
            </w:r>
          </w:p>
        </w:tc>
      </w:tr>
      <w:tr>
        <w:tc>
          <w:tcPr>
            <w:tcW w:type="dxa" w:w="46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sz w:val="19"/>
                <w:szCs w:val="19"/>
              </w:rPr>
              <w:t xml:space="preserve">Convolution 2D</w:t>
            </w:r>
          </w:p>
        </w:tc>
        <w:tc>
          <w:tcPr>
            <w:tcW w:type="dxa" w:w="46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9,5 × 10⁻⁷</w:t>
            </w:r>
          </w:p>
        </w:tc>
      </w:tr>
      <w:tr>
        <w:tc>
          <w:tcPr>
            <w:tcW w:type="dxa" w:w="46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sz w:val="19"/>
                <w:szCs w:val="19"/>
              </w:rPr>
              <w:t xml:space="preserve">Max-pooling</w:t>
            </w:r>
          </w:p>
        </w:tc>
        <w:tc>
          <w:tcPr>
            <w:tcW w:type="dxa" w:w="46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0,0</w:t>
            </w:r>
          </w:p>
        </w:tc>
      </w:tr>
      <w:tr>
        <w:tc>
          <w:tcPr>
            <w:tcW w:type="dxa" w:w="46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sz w:val="19"/>
                <w:szCs w:val="19"/>
              </w:rPr>
              <w:t xml:space="preserve">Average-pooling</w:t>
            </w:r>
          </w:p>
        </w:tc>
        <w:tc>
          <w:tcPr>
            <w:tcW w:type="dxa" w:w="46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0,0</w:t>
            </w:r>
          </w:p>
        </w:tc>
      </w:tr>
    </w:tbl>
    <w:p>
      <w:pPr>
        <w:spacing w:after="160"/>
      </w:pPr>
    </w:p>
    <w:p>
      <w:pPr>
        <w:spacing w:after="160" w:line="300"/>
        <w:jc w:val="both"/>
      </w:pPr>
      <w:r>
        <w:rPr>
          <w:b w:val="false"/>
          <w:bCs w:val="false"/>
          <w:i w:val="false"/>
          <w:iCs w:val="false"/>
        </w:rPr>
        <w:t xml:space="preserve">Ces écarts, nuls ou de l'ordre de la précision flottante, confirment que les trois implémentations manuelles sont numériquement équivalentes à leurs homologues PyTorch.</w:t>
      </w:r>
    </w:p>
    <w:p>
      <w:pPr>
        <w:pStyle w:val="Heading2"/>
      </w:pPr>
      <w:r>
        <w:t xml:space="preserve">5.3 Modèles et résultats globaux</w:t>
      </w:r>
    </w:p>
    <w:p>
      <w:pPr>
        <w:spacing w:after="160" w:line="300"/>
        <w:jc w:val="both"/>
      </w:pPr>
      <w:r>
        <w:rPr>
          <w:b w:val="false"/>
          <w:bCs w:val="false"/>
          <w:i w:val="false"/>
          <w:iCs w:val="false"/>
        </w:rPr>
        <w:t xml:space="preserve">Un MLP de référence (image aplatie en vecteur de 784 valeurs) et un CNN inspiré de LeNet ont été entraînés sur 3 époques sur l'ensemble d'entraînement complet, puis évalués sur l'ensemble de test complet (10 000 images)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pPr>
              <w:jc w:val="center"/>
            </w:pPr>
            <w:r>
              <w:rPr>
                <w:b/>
                <w:bCs/>
                <w:color w:val="FFFFFF"/>
                <w:sz w:val="19"/>
                <w:szCs w:val="19"/>
              </w:rPr>
              <w:t xml:space="preserve">Modèle</w:t>
            </w:r>
          </w:p>
        </w:tc>
        <w:tc>
          <w:tcPr>
            <w:tcW w:type="dxa" w:w="468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pPr>
              <w:jc w:val="center"/>
            </w:pPr>
            <w:r>
              <w:rPr>
                <w:b/>
                <w:bCs/>
                <w:color w:val="FFFFFF"/>
                <w:sz w:val="19"/>
                <w:szCs w:val="19"/>
              </w:rPr>
              <w:t xml:space="preserve">Accuracy (test)</w:t>
            </w:r>
          </w:p>
        </w:tc>
      </w:tr>
      <w:tr>
        <w:tc>
          <w:tcPr>
            <w:tcW w:type="dxa" w:w="46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bCs/>
                <w:sz w:val="19"/>
                <w:szCs w:val="19"/>
              </w:rPr>
              <w:t xml:space="preserve">MLP (baseline)</w:t>
            </w:r>
          </w:p>
        </w:tc>
        <w:tc>
          <w:tcPr>
            <w:tcW w:type="dxa" w:w="46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0,8759</w:t>
            </w:r>
          </w:p>
        </w:tc>
      </w:tr>
      <w:tr>
        <w:tc>
          <w:tcPr>
            <w:tcW w:type="dxa" w:w="46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bCs/>
                <w:sz w:val="19"/>
                <w:szCs w:val="19"/>
              </w:rPr>
              <w:t xml:space="preserve">CNN</w:t>
            </w:r>
          </w:p>
        </w:tc>
        <w:tc>
          <w:tcPr>
            <w:tcW w:type="dxa" w:w="46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0,8945</w:t>
            </w:r>
          </w:p>
        </w:tc>
      </w:tr>
    </w:tbl>
    <w:p>
      <w:pPr>
        <w:spacing w:after="160"/>
      </w:pPr>
    </w:p>
    <w:p>
      <w:pPr>
        <w:spacing w:after="160" w:line="300"/>
        <w:jc w:val="both"/>
      </w:pPr>
      <w:r>
        <w:rPr>
          <w:b w:val="false"/>
          <w:bCs w:val="false"/>
          <w:i w:val="false"/>
          <w:iCs w:val="false"/>
        </w:rPr>
        <w:t xml:space="preserve">Le CNN améliore l'accuracy de test de 1,86 point par rapport au MLP avec seulement trois époques d'entraînement, ce qui illustre directement l'intérêt d'exploiter la structure spatiale de l'image plutôt que de la traiter comme un vecteur de pixels indépendants. Le rapport de classification détaillé montre que cet écart provient surtout des classes visuellement proches (Pullover, Coat, Shirt) : le CNN améliore nettement le rappel sur Pullover (0,92 contre 0,82 pour le MLP) tandis que la classe Shirt reste, pour les deux modèles, la plus difficile à séparer de T-shirt/top et de Coat.</w:t>
      </w:r>
    </w:p>
    <w:p>
      <w:pPr>
        <w:pStyle w:val="Heading2"/>
      </w:pPr>
      <w:r>
        <w:t xml:space="preserve">5.4 Étude expérimentale des choix architecturaux</w:t>
      </w:r>
    </w:p>
    <w:p>
      <w:pPr>
        <w:spacing w:after="160" w:line="300"/>
        <w:jc w:val="both"/>
      </w:pPr>
      <w:r>
        <w:rPr>
          <w:b w:val="false"/>
          <w:bCs w:val="false"/>
          <w:i w:val="false"/>
          <w:iCs w:val="false"/>
        </w:rPr>
        <w:t xml:space="preserve">Une étude d'ablation a été menée sur un sous-échantillon (5 000 exemples d'entraînement, 2 000 de test, 3 époques) afin de garder l'étude rapide : à partir d'une configuration de référence, cinq variantes sont testées en ne changeant qu'un facteur à la fois.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60"/>
        <w:gridCol w:w="2640"/>
        <w:gridCol w:w="1560"/>
      </w:tblGrid>
      <w:tr>
        <w:trPr>
          <w:tblHeader/>
        </w:trPr>
        <w:tc>
          <w:tcPr>
            <w:tcW w:type="dxa" w:w="51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pPr>
              <w:jc w:val="center"/>
            </w:pPr>
            <w:r>
              <w:rPr>
                <w:b/>
                <w:bCs/>
                <w:color w:val="FFFFFF"/>
                <w:sz w:val="19"/>
                <w:szCs w:val="19"/>
              </w:rPr>
              <w:t xml:space="preserve">Configuration</w:t>
            </w:r>
          </w:p>
        </w:tc>
        <w:tc>
          <w:tcPr>
            <w:tcW w:type="dxa" w:w="264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pPr>
              <w:jc w:val="center"/>
            </w:pPr>
            <w:r>
              <w:rPr>
                <w:b/>
                <w:bCs/>
                <w:color w:val="FFFFFF"/>
                <w:sz w:val="19"/>
                <w:szCs w:val="19"/>
              </w:rPr>
              <w:t xml:space="preserve">Accuracy (test, sous-échantillon)</w:t>
            </w:r>
          </w:p>
        </w:tc>
        <w:tc>
          <w:tcPr>
            <w:tcW w:type="dxa" w:w="15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pPr>
              <w:jc w:val="center"/>
            </w:pPr>
            <w:r>
              <w:rPr>
                <w:b/>
                <w:bCs/>
                <w:color w:val="FFFFFF"/>
                <w:sz w:val="19"/>
                <w:szCs w:val="19"/>
              </w:rPr>
              <w:t xml:space="preserve">Nombre de paramètres</w:t>
            </w:r>
          </w:p>
        </w:tc>
      </w:tr>
      <w:tr>
        <w:tc>
          <w:tcPr>
            <w:tcW w:type="dxa" w:w="5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bCs/>
                <w:sz w:val="19"/>
                <w:szCs w:val="19"/>
              </w:rPr>
              <w:t xml:space="preserve">Baseline (pad=1, stride=1, max, 16-32)</w:t>
            </w:r>
          </w:p>
        </w:tc>
        <w:tc>
          <w:tcPr>
            <w:tcW w:type="dxa" w:w="264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0,7635</w:t>
            </w:r>
          </w:p>
        </w:tc>
        <w:tc>
          <w:tcPr>
            <w:tcW w:type="dxa" w:w="1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71 754</w:t>
            </w:r>
          </w:p>
        </w:tc>
      </w:tr>
      <w:tr>
        <w:tc>
          <w:tcPr>
            <w:tcW w:type="dxa" w:w="5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bCs/>
                <w:sz w:val="19"/>
                <w:szCs w:val="19"/>
              </w:rPr>
              <w:t xml:space="preserve">Sans padding (pad=0)</w:t>
            </w:r>
          </w:p>
        </w:tc>
        <w:tc>
          <w:tcPr>
            <w:tcW w:type="dxa" w:w="264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0,7570</w:t>
            </w:r>
          </w:p>
        </w:tc>
        <w:tc>
          <w:tcPr>
            <w:tcW w:type="dxa" w:w="1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71 754</w:t>
            </w:r>
          </w:p>
        </w:tc>
      </w:tr>
      <w:tr>
        <w:tc>
          <w:tcPr>
            <w:tcW w:type="dxa" w:w="5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bCs/>
                <w:sz w:val="19"/>
                <w:szCs w:val="19"/>
              </w:rPr>
              <w:t xml:space="preserve">Stride=2 (conv)</w:t>
            </w:r>
          </w:p>
        </w:tc>
        <w:tc>
          <w:tcPr>
            <w:tcW w:type="dxa" w:w="264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0,7780</w:t>
            </w:r>
          </w:p>
        </w:tc>
        <w:tc>
          <w:tcPr>
            <w:tcW w:type="dxa" w:w="1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71 754</w:t>
            </w:r>
          </w:p>
        </w:tc>
      </w:tr>
      <w:tr>
        <w:tc>
          <w:tcPr>
            <w:tcW w:type="dxa" w:w="5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bCs/>
                <w:sz w:val="19"/>
                <w:szCs w:val="19"/>
              </w:rPr>
              <w:t xml:space="preserve">Average pooling</w:t>
            </w:r>
          </w:p>
        </w:tc>
        <w:tc>
          <w:tcPr>
            <w:tcW w:type="dxa" w:w="264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0,7305</w:t>
            </w:r>
          </w:p>
        </w:tc>
        <w:tc>
          <w:tcPr>
            <w:tcW w:type="dxa" w:w="1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71 754</w:t>
            </w:r>
          </w:p>
        </w:tc>
      </w:tr>
      <w:tr>
        <w:tc>
          <w:tcPr>
            <w:tcW w:type="dxa" w:w="5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bCs/>
                <w:sz w:val="19"/>
                <w:szCs w:val="19"/>
              </w:rPr>
              <w:t xml:space="preserve">Plus de filtres (32-64)</w:t>
            </w:r>
          </w:p>
        </w:tc>
        <w:tc>
          <w:tcPr>
            <w:tcW w:type="dxa" w:w="264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0,7710</w:t>
            </w:r>
          </w:p>
        </w:tc>
        <w:tc>
          <w:tcPr>
            <w:tcW w:type="dxa" w:w="1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151 306</w:t>
            </w:r>
          </w:p>
        </w:tc>
      </w:tr>
      <w:tr>
        <w:tc>
          <w:tcPr>
            <w:tcW w:type="dxa" w:w="5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bCs/>
                <w:sz w:val="19"/>
                <w:szCs w:val="19"/>
              </w:rPr>
              <w:t xml:space="preserve">Avec conv. 1×1</w:t>
            </w:r>
          </w:p>
        </w:tc>
        <w:tc>
          <w:tcPr>
            <w:tcW w:type="dxa" w:w="264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0,7285</w:t>
            </w:r>
          </w:p>
        </w:tc>
        <w:tc>
          <w:tcPr>
            <w:tcW w:type="dxa" w:w="1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72 026</w:t>
            </w:r>
          </w:p>
        </w:tc>
      </w:tr>
    </w:tbl>
    <w:p>
      <w:pPr>
        <w:spacing w:after="160"/>
      </w:pPr>
    </w:p>
    <w:p>
      <w:pPr>
        <w:spacing w:after="60" w:before="120"/>
        <w:jc w:val="center"/>
      </w:pPr>
      <w:r>
        <w:drawing>
          <wp:inline distT="0" distB="0" distL="0" distR="0">
            <wp:extent cx="4572000" cy="25146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514600"/>
                    </a:xfrm>
                    <a:prstGeom prst="rect">
                      <a:avLst/>
                    </a:prstGeom>
                  </pic:spPr>
                </pic:pic>
              </a:graphicData>
            </a:graphic>
          </wp:inline>
        </w:drawing>
      </w:r>
    </w:p>
    <w:p>
      <w:pPr>
        <w:spacing w:after="280" w:before="60"/>
        <w:jc w:val="center"/>
      </w:pPr>
      <w:r>
        <w:rPr>
          <w:i/>
          <w:iCs/>
          <w:color w:val="595959"/>
          <w:sz w:val="20"/>
          <w:szCs w:val="20"/>
        </w:rPr>
        <w:t xml:space="preserve">Figure 3 — Influence des choix architecturaux sur l'accuracy (étude d'ablation, sous-échantillon).</w:t>
      </w:r>
    </w:p>
    <w:p>
      <w:pPr>
        <w:spacing w:after="160" w:line="300"/>
        <w:jc w:val="both"/>
      </w:pPr>
      <w:r>
        <w:rPr>
          <w:b w:val="false"/>
          <w:bCs w:val="false"/>
          <w:i w:val="false"/>
          <w:iCs w:val="false"/>
        </w:rPr>
        <w:t xml:space="preserve">Sur ce régime d'entraînement court, la variante la plus performante est, de façon inattendue, le sous-échantillonnage par convolution à stride 2 (0,7780), qui dépasse légèrement la configuration de référence à max-pooling (0,7635) : dans ce cadre rapide, un sous-échantillonnage appris peut donc rivaliser avec le pooling classique. L'average pooling est en revanche la configuration la moins performante après l'ajout d'une convolution 1×1 (0,7305), ce qui confirme qu'il lisse davantage l'information que le max-pooling et préserve moins bien les activations saillantes utiles à la discrimination des silhouettes de vêtements. L'ajout de filtres supplémentaires (32-64 plutôt que 16-32) améliore légèrement l'accuracy (0,7710) au prix d'un nombre de paramètres plus de deux fois supérieur (151 306 contre 71 754), tandis que l'ajout d'une convolution 1×1 n'apporte ici aucun gain, son surcroît de capacité n'ayant probablement pas le temps de s'exprimer sur seulement 3 époques.</w:t>
      </w:r>
    </w:p>
    <w:p>
      <w:pPr>
        <w:pStyle w:val="Heading2"/>
      </w:pPr>
      <w:r>
        <w:t xml:space="preserve">5.5 Comparaison détaillée MLP vs CNN</w:t>
      </w:r>
    </w:p>
    <w:p>
      <w:pPr>
        <w:spacing w:after="160" w:line="300"/>
        <w:jc w:val="both"/>
      </w:pPr>
      <w:r>
        <w:rPr>
          <w:b w:val="false"/>
          <w:bCs w:val="false"/>
          <w:i w:val="false"/>
          <w:iCs w:val="false"/>
        </w:rPr>
        <w:t xml:space="preserve">Une comparaison multi-métrique (accuracy, précision/rappel/F1 macro-moyennés, nombre de paramètres) a été calculée sur l'ensemble de test complet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620"/>
        <w:gridCol w:w="1560"/>
        <w:gridCol w:w="1500"/>
        <w:gridCol w:w="1380"/>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pPr>
              <w:jc w:val="center"/>
            </w:pPr>
            <w:r>
              <w:rPr>
                <w:b/>
                <w:bCs/>
                <w:color w:val="FFFFFF"/>
                <w:sz w:val="19"/>
                <w:szCs w:val="19"/>
              </w:rPr>
              <w:t xml:space="preserve">Modèle</w:t>
            </w:r>
          </w:p>
        </w:tc>
        <w:tc>
          <w:tcPr>
            <w:tcW w:type="dxa" w:w="15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pPr>
              <w:jc w:val="center"/>
            </w:pPr>
            <w:r>
              <w:rPr>
                <w:b/>
                <w:bCs/>
                <w:color w:val="FFFFFF"/>
                <w:sz w:val="19"/>
                <w:szCs w:val="19"/>
              </w:rPr>
              <w:t xml:space="preserve">Accuracy</w:t>
            </w:r>
          </w:p>
        </w:tc>
        <w:tc>
          <w:tcPr>
            <w:tcW w:type="dxa" w:w="162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pPr>
              <w:jc w:val="center"/>
            </w:pPr>
            <w:r>
              <w:rPr>
                <w:b/>
                <w:bCs/>
                <w:color w:val="FFFFFF"/>
                <w:sz w:val="19"/>
                <w:szCs w:val="19"/>
              </w:rPr>
              <w:t xml:space="preserve">Précision macro</w:t>
            </w:r>
          </w:p>
        </w:tc>
        <w:tc>
          <w:tcPr>
            <w:tcW w:type="dxa" w:w="15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pPr>
              <w:jc w:val="center"/>
            </w:pPr>
            <w:r>
              <w:rPr>
                <w:b/>
                <w:bCs/>
                <w:color w:val="FFFFFF"/>
                <w:sz w:val="19"/>
                <w:szCs w:val="19"/>
              </w:rPr>
              <w:t xml:space="preserve">Rappel macro</w:t>
            </w:r>
          </w:p>
        </w:tc>
        <w:tc>
          <w:tcPr>
            <w:tcW w:type="dxa" w:w="15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pPr>
              <w:jc w:val="center"/>
            </w:pPr>
            <w:r>
              <w:rPr>
                <w:b/>
                <w:bCs/>
                <w:color w:val="FFFFFF"/>
                <w:sz w:val="19"/>
                <w:szCs w:val="19"/>
              </w:rPr>
              <w:t xml:space="preserve">F1 macro</w:t>
            </w:r>
          </w:p>
        </w:tc>
        <w:tc>
          <w:tcPr>
            <w:tcW w:type="dxa" w:w="138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pPr>
              <w:jc w:val="center"/>
            </w:pPr>
            <w:r>
              <w:rPr>
                <w:b/>
                <w:bCs/>
                <w:color w:val="FFFFFF"/>
                <w:sz w:val="19"/>
                <w:szCs w:val="19"/>
              </w:rPr>
              <w:t xml:space="preserve">Nb. paramètres</w:t>
            </w:r>
          </w:p>
        </w:tc>
      </w:tr>
      <w:t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bCs/>
                <w:sz w:val="19"/>
                <w:szCs w:val="19"/>
              </w:rPr>
              <w:t xml:space="preserve">MLP</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0,8759</w:t>
            </w:r>
          </w:p>
        </w:tc>
        <w:tc>
          <w:tcPr>
            <w:tcW w:type="dxa" w:w="16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0,8768</w:t>
            </w:r>
          </w:p>
        </w:tc>
        <w:tc>
          <w:tcPr>
            <w:tcW w:type="dxa" w:w="1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0,8759</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0,8745</w:t>
            </w:r>
          </w:p>
        </w:tc>
        <w:tc>
          <w:tcPr>
            <w:tcW w:type="dxa" w:w="13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235 146</w:t>
            </w:r>
          </w:p>
        </w:tc>
      </w:tr>
      <w:t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bCs/>
                <w:sz w:val="19"/>
                <w:szCs w:val="19"/>
              </w:rPr>
              <w:t xml:space="preserve">CNN</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0,8945</w:t>
            </w:r>
          </w:p>
        </w:tc>
        <w:tc>
          <w:tcPr>
            <w:tcW w:type="dxa" w:w="16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0,8975</w:t>
            </w:r>
          </w:p>
        </w:tc>
        <w:tc>
          <w:tcPr>
            <w:tcW w:type="dxa" w:w="1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0,8945</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0,8937</w:t>
            </w:r>
          </w:p>
        </w:tc>
        <w:tc>
          <w:tcPr>
            <w:tcW w:type="dxa" w:w="13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206 922</w:t>
            </w:r>
          </w:p>
        </w:tc>
      </w:tr>
    </w:tbl>
    <w:p>
      <w:pPr>
        <w:spacing w:after="160"/>
      </w:pPr>
    </w:p>
    <w:p>
      <w:pPr>
        <w:spacing w:after="60" w:before="120"/>
        <w:jc w:val="center"/>
      </w:pPr>
      <w:r>
        <w:drawing>
          <wp:inline distT="0" distB="0" distL="0" distR="0">
            <wp:extent cx="4381500" cy="27241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724150"/>
                    </a:xfrm>
                    <a:prstGeom prst="rect">
                      <a:avLst/>
                    </a:prstGeom>
                  </pic:spPr>
                </pic:pic>
              </a:graphicData>
            </a:graphic>
          </wp:inline>
        </w:drawing>
      </w:r>
    </w:p>
    <w:p>
      <w:pPr>
        <w:spacing w:after="280" w:before="60"/>
        <w:jc w:val="center"/>
      </w:pPr>
      <w:r>
        <w:rPr>
          <w:i/>
          <w:iCs/>
          <w:color w:val="595959"/>
          <w:sz w:val="20"/>
          <w:szCs w:val="20"/>
        </w:rPr>
        <w:t xml:space="preserve">Figure 4 — Comparaison MLP vs CNN sur les quatre métriques macro-moyennées (Fashion-MNIST, test set complet).</w:t>
      </w:r>
    </w:p>
    <w:p>
      <w:pPr>
        <w:spacing w:after="60" w:before="120"/>
        <w:jc w:val="center"/>
      </w:pPr>
      <w:r>
        <w:drawing>
          <wp:inline distT="0" distB="0" distL="0" distR="0">
            <wp:extent cx="3619500" cy="341947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3419475"/>
                    </a:xfrm>
                    <a:prstGeom prst="rect">
                      <a:avLst/>
                    </a:prstGeom>
                  </pic:spPr>
                </pic:pic>
              </a:graphicData>
            </a:graphic>
          </wp:inline>
        </w:drawing>
      </w:r>
    </w:p>
    <w:p>
      <w:pPr>
        <w:spacing w:after="280" w:before="60"/>
        <w:jc w:val="center"/>
      </w:pPr>
      <w:r>
        <w:rPr>
          <w:i/>
          <w:iCs/>
          <w:color w:val="595959"/>
          <w:sz w:val="20"/>
          <w:szCs w:val="20"/>
        </w:rPr>
        <w:t xml:space="preserve">Figure 5 — Matrice de confusion du CNN sur l'ensemble de test (Fashion-MNIST).</w:t>
      </w:r>
    </w:p>
    <w:p>
      <w:pPr>
        <w:spacing w:after="160" w:line="300"/>
        <w:jc w:val="both"/>
      </w:pPr>
      <w:r>
        <w:rPr>
          <w:b w:val="false"/>
          <w:bCs w:val="false"/>
          <w:i w:val="false"/>
          <w:iCs w:val="false"/>
        </w:rPr>
        <w:t xml:space="preserve">Le CNN domine le MLP sur les quatre métriques tout en utilisant environ 12 % de paramètres en moins (206 922 contre 235 146). Le gain de performance provient donc bien d'un biais architectural mieux adapté à la structure spatiale de l'image (connectivité locale, partage de poids) et non d'une simple augmentation de capacité du modèle.</w:t>
      </w:r>
    </w:p>
    <w:p>
      <w:pPr>
        <w:spacing w:after="60" w:before="120"/>
        <w:jc w:val="center"/>
      </w:pPr>
      <w:r>
        <w:drawing>
          <wp:inline distT="0" distB="0" distL="0" distR="0">
            <wp:extent cx="3429000" cy="383857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429000" cy="3838575"/>
                    </a:xfrm>
                    <a:prstGeom prst="rect">
                      <a:avLst/>
                    </a:prstGeom>
                  </pic:spPr>
                </pic:pic>
              </a:graphicData>
            </a:graphic>
          </wp:inline>
        </w:drawing>
      </w:r>
    </w:p>
    <w:p>
      <w:pPr>
        <w:spacing w:after="280" w:before="60"/>
        <w:jc w:val="center"/>
      </w:pPr>
      <w:r>
        <w:rPr>
          <w:i/>
          <w:iCs/>
          <w:color w:val="595959"/>
          <w:sz w:val="20"/>
          <w:szCs w:val="20"/>
        </w:rPr>
        <w:t xml:space="preserve">Figure 6 — Cartes de caractéristiques de la première couche de convolution du CNN, sur un exemple de chaussure (Sneaker).</w:t>
      </w:r>
    </w:p>
    <w:p>
      <w:pPr>
        <w:spacing w:after="160" w:line="300"/>
        <w:jc w:val="both"/>
      </w:pPr>
      <w:r>
        <w:rPr>
          <w:b w:val="false"/>
          <w:bCs w:val="false"/>
          <w:i w:val="false"/>
          <w:iCs w:val="false"/>
        </w:rPr>
        <w:t xml:space="preserve">La visualisation des cartes de caractéristiques de la première couche confirme que les filtres appris réagissent à des motifs locaux (contours de la semelle, contraste entre la chaussure et le fond) plutôt qu'à l'image entière, illustrant concrètement la connectivité locale propre au CNN.</w:t>
      </w:r>
    </w:p>
    <w:p>
      <w:pPr>
        <w:pStyle w:val="Heading2"/>
      </w:pPr>
      <w:r>
        <w:t xml:space="preserve">5.6 Limites spécifiques à cette partie</w:t>
      </w:r>
    </w:p>
    <w:p>
      <w:pPr>
        <w:spacing w:after="160" w:line="300"/>
        <w:jc w:val="both"/>
      </w:pPr>
      <w:r>
        <w:rPr>
          <w:b w:val="false"/>
          <w:bCs w:val="false"/>
          <w:i w:val="false"/>
          <w:iCs w:val="false"/>
        </w:rPr>
        <w:t xml:space="preserve">Les modèles principaux (MLP et CNN, section 5.3 et 5.5) comme l'étude d'ablation (section 5.4) n'ont été entraînés que sur 3 époques, ce qui limite la portée des conclusions : les écarts observés reflètent des tendances après un entraînement court plutôt que les performances plafond de chaque architecture, qui nécessiteraient davantage d'époques pour converger pleinement, en particulier pour le CNN, dont l'accuracy continuait de progresser sur les trois époques observées.</w:t>
      </w:r>
    </w:p>
    <w:p>
      <w:pPr>
        <w:pStyle w:val="Heading1"/>
      </w:pPr>
      <w:r>
        <w:t xml:space="preserve">6. Partie III — RNN / LSTM / GRU pour l’analyse de sentiment (IMDB)</w:t>
      </w:r>
    </w:p>
    <w:p>
      <w:pPr>
        <w:pStyle w:val="Heading2"/>
      </w:pPr>
      <w:r>
        <w:t xml:space="preserve">6.1 Données</w:t>
      </w:r>
    </w:p>
    <w:p>
      <w:pPr>
        <w:spacing w:after="160" w:line="300"/>
        <w:jc w:val="both"/>
      </w:pPr>
      <w:r>
        <w:rPr>
          <w:b w:val="false"/>
          <w:bCs w:val="false"/>
          <w:i w:val="false"/>
          <w:iCs w:val="false"/>
        </w:rPr>
        <w:t xml:space="preserve">Le corpus utilisé est </w:t>
      </w:r>
      <w:r>
        <w:rPr>
          <w:i/>
          <w:iCs/>
        </w:rPr>
        <w:t xml:space="preserve">IMDB Dataset of 50K Movie Reviews</w:t>
      </w:r>
      <w:r>
        <w:t xml:space="preserve"> (IMDB-Dataset.csv), un jeu de données réel et standard en traitement du langage naturel : 50 000 critiques de films en anglais, parfaitement équilibrées (25 000 positives, 25 000 négatives). La tâche associée est une classification binaire de séquence (prédire le sentiment d’une critique à partir de son texte), et non plus une tâche de traduction. Pour garder un temps d’entraînement raisonnable sur CPU, un sous-échantillon équilibré de 8 000 critiques (4 000 positives, 4 000 négatives) a été tiré des 50 000 disponibles. Après nettoyage (suppression des balises HTML, minuscules, ponctuation) et tokenisation simple par espaces, un vocabulaire des 8 000 mots les plus fréquents est construit, et chaque critique est tronquée ou complétée par padding à 100 tokens. Le jeu obtenu (8 000 exemples) est séparé en 6 400 critiques d’entraînement et 1 600 critiques de test, de façon stratifiée (50 % positives / 50 % négatives dans les deux ensembles).</w:t>
      </w:r>
    </w:p>
    <w:p>
      <w:pPr>
        <w:pStyle w:val="Heading2"/>
      </w:pPr>
      <w:r>
        <w:t xml:space="preserve">6.2 Modèles et entraînement</w:t>
      </w:r>
    </w:p>
    <w:p>
      <w:pPr>
        <w:spacing w:after="160" w:line="300"/>
        <w:jc w:val="both"/>
      </w:pPr>
      <w:r>
        <w:rPr>
          <w:b w:val="false"/>
          <w:bCs w:val="false"/>
          <w:i w:val="false"/>
          <w:iCs w:val="false"/>
        </w:rPr>
        <w:t xml:space="preserve">Trois variantes d’un même modèle de classification de séquence ont été entraînées sur 10 époques, en ne changeant que le type de cellule récurrente, avec gradient clipping actif par défaut (seuil = 1,0) ; seul le dernier état caché de la récurrence est utilisé, projeté sur 2 classes via une couche linéaire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3500"/>
        <w:gridCol w:w="3500"/>
      </w:tblGrid>
      <w:tr>
        <w:trPr>
          <w:tblHeader/>
        </w:trPr>
        <w:tc>
          <w:tcPr>
            <w:tcW w:type="dxa" w:w="23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pPr>
              <w:jc w:val="center"/>
            </w:pPr>
            <w:r>
              <w:rPr>
                <w:b/>
                <w:bCs/>
                <w:color w:val="FFFFFF"/>
                <w:sz w:val="19"/>
                <w:szCs w:val="19"/>
              </w:rPr>
              <w:t xml:space="preserve">Architecture</w:t>
            </w:r>
          </w:p>
        </w:tc>
        <w:tc>
          <w:tcPr>
            <w:tcW w:type="dxa" w:w="35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pPr>
              <w:jc w:val="center"/>
            </w:pPr>
            <w:r>
              <w:rPr>
                <w:b/>
                <w:bCs/>
                <w:color w:val="FFFFFF"/>
                <w:sz w:val="19"/>
                <w:szCs w:val="19"/>
              </w:rPr>
              <w:t xml:space="preserve">Perte train (époque 0 → 9)</w:t>
            </w:r>
          </w:p>
        </w:tc>
        <w:tc>
          <w:tcPr>
            <w:tcW w:type="dxa" w:w="35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pPr>
              <w:jc w:val="center"/>
            </w:pPr>
            <w:r>
              <w:rPr>
                <w:b/>
                <w:bCs/>
                <w:color w:val="FFFFFF"/>
                <w:sz w:val="19"/>
                <w:szCs w:val="19"/>
              </w:rPr>
              <w:t xml:space="preserve">Perte validation (époque 0 → 9)</w:t>
            </w:r>
          </w:p>
        </w:tc>
      </w:tr>
      <w:tr>
        <w:tc>
          <w:tcPr>
            <w:tcW w:type="dxa" w:w="2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bCs/>
                <w:sz w:val="19"/>
                <w:szCs w:val="19"/>
              </w:rPr>
              <w:t xml:space="preserve">RNN simple</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0,701 → 0,666</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0,692 → 0,702</w:t>
            </w:r>
          </w:p>
        </w:tc>
      </w:tr>
      <w:tr>
        <w:tc>
          <w:tcPr>
            <w:tcW w:type="dxa" w:w="2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bCs/>
                <w:sz w:val="19"/>
                <w:szCs w:val="19"/>
              </w:rPr>
              <w:t xml:space="preserve">LSTM</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0,697 → 0,607</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0,692 → 0,638</w:t>
            </w:r>
          </w:p>
        </w:tc>
      </w:tr>
      <w:tr>
        <w:tc>
          <w:tcPr>
            <w:tcW w:type="dxa" w:w="2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bCs/>
                <w:sz w:val="19"/>
                <w:szCs w:val="19"/>
              </w:rPr>
              <w:t xml:space="preserve">GRU</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0,696 → 0,597</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0,691 → 0,622</w:t>
            </w:r>
          </w:p>
        </w:tc>
      </w:tr>
    </w:tbl>
    <w:p>
      <w:pPr>
        <w:spacing w:after="160"/>
      </w:pPr>
    </w:p>
    <w:p>
      <w:pPr>
        <w:spacing w:after="160" w:line="300"/>
        <w:jc w:val="both"/>
      </w:pPr>
      <w:r>
        <w:rPr>
          <w:b w:val="false"/>
          <w:bCs w:val="false"/>
          <w:i w:val="false"/>
          <w:iCs w:val="false"/>
        </w:rPr>
        <w:t xml:space="preserve">Les trois architectures partent d’une perte proche de ln(2) ≈ 0,693 (la perte attendue d’un modèle aléatoire à 2 classes équilibrées). Le RNN simple diminue très peu sa perte d’entraînement et sa perte de validation augmente légèrement après l’époque 4 (signe d’un début de surapprentissage sans réel apprentissage généralisable), tandis que LSTM et GRU diminuent nettement plus leur perte d’entraînement et de validation sur les 10 époques, confirmant dès cette étape l’avantage des architectures à portes de mémoire sur des séquences de 100 tokens.</w:t>
      </w:r>
    </w:p>
    <w:p>
      <w:pPr>
        <w:pStyle w:val="Heading2"/>
      </w:pPr>
      <w:r>
        <w:t xml:space="preserve">6.3 Illustration expérimentale de l'effet du gradient clipping</w:t>
      </w:r>
    </w:p>
    <w:p>
      <w:pPr>
        <w:spacing w:after="160" w:line="300"/>
        <w:jc w:val="both"/>
      </w:pPr>
      <w:r>
        <w:rPr>
          <w:b w:val="false"/>
          <w:bCs w:val="false"/>
          <w:i w:val="false"/>
          <w:iCs w:val="false"/>
        </w:rPr>
        <w:t xml:space="preserve">Pour visualiser concrètement l’effet du clipping (déjà utilisé par défaut dans la boucle d’entraînement principale), un RNN simple est entraîné sur 40 pas avec un taux d’apprentissage volontairement élevé (0,1), avec et sans clipping actif, en enregistrant à chaque pas la norme du gradient avant clipping.</w:t>
      </w:r>
    </w:p>
    <w:p>
      <w:pPr>
        <w:spacing w:after="60" w:before="120"/>
        <w:jc w:val="center"/>
      </w:pPr>
      <w:r>
        <w:drawing>
          <wp:inline distT="0" distB="0" distL="0" distR="0">
            <wp:extent cx="4381500" cy="2717639"/>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2717639"/>
                    </a:xfrm>
                    <a:prstGeom prst="rect">
                      <a:avLst/>
                    </a:prstGeom>
                  </pic:spPr>
                </pic:pic>
              </a:graphicData>
            </a:graphic>
          </wp:inline>
        </w:drawing>
      </w:r>
    </w:p>
    <w:p>
      <w:pPr>
        <w:spacing w:after="280" w:before="60"/>
        <w:jc w:val="center"/>
      </w:pPr>
      <w:r>
        <w:rPr>
          <w:i/>
          <w:iCs/>
          <w:color w:val="595959"/>
          <w:sz w:val="20"/>
          <w:szCs w:val="20"/>
        </w:rPr>
        <w:t xml:space="preserve">Figure 7 — Norme du gradient avant clipping, avec et sans clipping actif (RNN simple sur IMDB, 40 pas, lr=0,1).</w:t>
      </w:r>
    </w:p>
    <w:p>
      <w:pPr>
        <w:spacing w:after="60" w:before="120"/>
        <w:jc w:val="center"/>
      </w:pPr>
      <w:r>
        <w:drawing>
          <wp:inline distT="0" distB="0" distL="0" distR="0">
            <wp:extent cx="4381500" cy="2717639"/>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2717639"/>
                    </a:xfrm>
                    <a:prstGeom prst="rect">
                      <a:avLst/>
                    </a:prstGeom>
                  </pic:spPr>
                </pic:pic>
              </a:graphicData>
            </a:graphic>
          </wp:inline>
        </w:drawing>
      </w:r>
    </w:p>
    <w:p>
      <w:pPr>
        <w:spacing w:after="280" w:before="60"/>
        <w:jc w:val="center"/>
      </w:pPr>
      <w:r>
        <w:rPr>
          <w:i/>
          <w:iCs/>
          <w:color w:val="595959"/>
          <w:sz w:val="20"/>
          <w:szCs w:val="20"/>
        </w:rPr>
        <w:t xml:space="preserve">Figure 8 — Effet du gradient clipping sur la convergence de la perte d’entraînement (RNN simple sur IMDB).</w:t>
      </w:r>
    </w:p>
    <w:p>
      <w:pPr>
        <w:spacing w:after="160" w:line="300"/>
        <w:jc w:val="both"/>
      </w:pPr>
      <w:r>
        <w:rPr>
          <w:b w:val="false"/>
          <w:bCs w:val="false"/>
          <w:i w:val="false"/>
          <w:iCs w:val="false"/>
        </w:rPr>
        <w:t xml:space="preserve">Sur le run sans clipping, la norme du gradient atteint un maximum de 131,7 (alors que le seuil de clipping est fixé à 1,0), et dépasse ce seuil sur 38 des 40 pas observés — une illustration nette du phénomène d’explosion du gradient propre à la rétropropagation à travers le temps (BPTT) sur des séquences de 100 tokens. Le graphique des normes de gradient montre des pics très supérieurs au seuil aussi bien avec que sans clipping : ceci s’explique par le fait que la norme est systématiquement mesurée avant l’application du clipping, dans les deux cas — le clipping agit seulement sur la mise à jour des poids qui suit, pas sur la valeur affichée elle-même. Sur la courbe de perte, le clipping ne produit pas ici une trajectoire strictement plus régulière : la perte oscille fortement (avec ou sans clipping) sur ce RNN entraîné à lr=0,1, ce qui est cohérent avec l’instabilité connue des RNN simples face à un taux d’apprentissage élevé, et rappelle que le clipping limite l’amplitude d’une seule mise à jour de poids sans pour autant garantir, à lui seul, la stabilité globale de l’entraînement.</w:t>
      </w:r>
    </w:p>
    <w:p>
      <w:pPr>
        <w:pStyle w:val="Heading2"/>
      </w:pPr>
      <w:r>
        <w:t xml:space="preserve">6.4 Évaluation finale — accuracy, précision, rappel et F1</w:t>
      </w:r>
    </w:p>
    <w:p>
      <w:pPr>
        <w:spacing w:after="160" w:line="300"/>
        <w:jc w:val="both"/>
      </w:pPr>
      <w:r>
        <w:rPr>
          <w:b w:val="false"/>
          <w:bCs w:val="false"/>
          <w:i w:val="false"/>
          <w:iCs w:val="false"/>
        </w:rPr>
        <w:t xml:space="preserve">Les trois modèles entraînés ont été évalués sur l’intégralité de l’ensemble de test (1 600 critiques), avec les métriques standard de classification binaire : accuracy, précision, rappel, F1, ainsi que le nombre de paramètres de chaque modèle.</w:t>
      </w:r>
    </w:p>
    <w:p>
      <w:pPr>
        <w:pStyle w:val="Heading2"/>
      </w:pPr>
      <w:r>
        <w:t xml:space="preserve">6.5 Tableau comparatif — métriques de classification sur l’ensemble de test complet</w:t>
      </w:r>
    </w:p>
    <w:p>
      <w:pPr>
        <w:spacing w:after="160" w:line="300"/>
        <w:jc w:val="both"/>
      </w:pPr>
      <w:r>
        <w:rPr>
          <w:b w:val="false"/>
          <w:bCs w:val="false"/>
          <w:i w:val="false"/>
          <w:iCs w:val="false"/>
        </w:rPr>
        <w:t xml:space="preserve">Le tableau ci-dessous rapporte, pour chaque architecture, l’accuracy, la précision, le rappel et le F1 sur l’intégralité de l’ensemble de test (1 600 critiques), ainsi que le nombre de paramètres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pPr>
              <w:jc w:val="center"/>
            </w:pPr>
            <w:r>
              <w:rPr>
                <w:b/>
                <w:bCs/>
                <w:color w:val="FFFFFF"/>
                <w:sz w:val="19"/>
                <w:szCs w:val="19"/>
              </w:rPr>
              <w:t xml:space="preserve">Architecture</w:t>
            </w:r>
          </w:p>
        </w:tc>
        <w:tc>
          <w:tcPr>
            <w:tcW w:type="dxa" w:w="15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pPr>
              <w:jc w:val="center"/>
            </w:pPr>
            <w:r>
              <w:rPr>
                <w:b/>
                <w:bCs/>
                <w:color w:val="FFFFFF"/>
                <w:sz w:val="19"/>
                <w:szCs w:val="19"/>
              </w:rPr>
              <w:t xml:space="preserve">Accuracy</w:t>
            </w:r>
          </w:p>
        </w:tc>
        <w:tc>
          <w:tcPr>
            <w:tcW w:type="dxa" w:w="15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pPr>
              <w:jc w:val="center"/>
            </w:pPr>
            <w:r>
              <w:rPr>
                <w:b/>
                <w:bCs/>
                <w:color w:val="FFFFFF"/>
                <w:sz w:val="19"/>
                <w:szCs w:val="19"/>
              </w:rPr>
              <w:t xml:space="preserve">Précision</w:t>
            </w:r>
          </w:p>
        </w:tc>
        <w:tc>
          <w:tcPr>
            <w:tcW w:type="dxa" w:w="15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pPr>
              <w:jc w:val="center"/>
            </w:pPr>
            <w:r>
              <w:rPr>
                <w:b/>
                <w:bCs/>
                <w:color w:val="FFFFFF"/>
                <w:sz w:val="19"/>
                <w:szCs w:val="19"/>
              </w:rPr>
              <w:t xml:space="preserve">Rappel</w:t>
            </w:r>
          </w:p>
        </w:tc>
        <w:tc>
          <w:tcPr>
            <w:tcW w:type="dxa" w:w="15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pPr>
              <w:jc w:val="center"/>
            </w:pPr>
            <w:r>
              <w:rPr>
                <w:b/>
                <w:bCs/>
                <w:color w:val="FFFFFF"/>
                <w:sz w:val="19"/>
                <w:szCs w:val="19"/>
              </w:rPr>
              <w:t xml:space="preserve">F1</w:t>
            </w:r>
          </w:p>
        </w:tc>
        <w:tc>
          <w:tcPr>
            <w:tcW w:type="dxa" w:w="15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pPr>
              <w:jc w:val="center"/>
            </w:pPr>
            <w:r>
              <w:rPr>
                <w:b/>
                <w:bCs/>
                <w:color w:val="FFFFFF"/>
                <w:sz w:val="19"/>
                <w:szCs w:val="19"/>
              </w:rPr>
              <w:t xml:space="preserve">Nb. paramètres</w:t>
            </w:r>
          </w:p>
        </w:tc>
      </w:tr>
      <w:tr>
        <w:tc>
          <w:tcPr>
            <w:tcW w:type="dxa" w:w="1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bCs/>
                <w:sz w:val="19"/>
                <w:szCs w:val="19"/>
              </w:rPr>
              <w:t xml:space="preserve">RNN</w:t>
            </w:r>
          </w:p>
        </w:tc>
        <w:tc>
          <w:tcPr>
            <w:tcW w:type="dxa" w:w="1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0,5325</w:t>
            </w:r>
          </w:p>
        </w:tc>
        <w:tc>
          <w:tcPr>
            <w:tcW w:type="dxa" w:w="1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0,5461</w:t>
            </w:r>
          </w:p>
        </w:tc>
        <w:tc>
          <w:tcPr>
            <w:tcW w:type="dxa" w:w="1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0,3850</w:t>
            </w:r>
          </w:p>
        </w:tc>
        <w:tc>
          <w:tcPr>
            <w:tcW w:type="dxa" w:w="1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0,4516</w:t>
            </w:r>
          </w:p>
        </w:tc>
        <w:tc>
          <w:tcPr>
            <w:tcW w:type="dxa" w:w="1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262 402</w:t>
            </w:r>
          </w:p>
        </w:tc>
      </w:tr>
      <w:tr>
        <w:tc>
          <w:tcPr>
            <w:tcW w:type="dxa" w:w="1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bCs/>
                <w:sz w:val="19"/>
                <w:szCs w:val="19"/>
              </w:rPr>
              <w:t xml:space="preserve">LSTM</w:t>
            </w:r>
          </w:p>
        </w:tc>
        <w:tc>
          <w:tcPr>
            <w:tcW w:type="dxa" w:w="1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0,6594</w:t>
            </w:r>
          </w:p>
        </w:tc>
        <w:tc>
          <w:tcPr>
            <w:tcW w:type="dxa" w:w="1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0,6568</w:t>
            </w:r>
          </w:p>
        </w:tc>
        <w:tc>
          <w:tcPr>
            <w:tcW w:type="dxa" w:w="1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0,6675</w:t>
            </w:r>
          </w:p>
        </w:tc>
        <w:tc>
          <w:tcPr>
            <w:tcW w:type="dxa" w:w="1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0,6621</w:t>
            </w:r>
          </w:p>
        </w:tc>
        <w:tc>
          <w:tcPr>
            <w:tcW w:type="dxa" w:w="1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281 218</w:t>
            </w:r>
          </w:p>
        </w:tc>
      </w:tr>
      <w:tr>
        <w:tc>
          <w:tcPr>
            <w:tcW w:type="dxa" w:w="1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bCs/>
                <w:sz w:val="19"/>
                <w:szCs w:val="19"/>
              </w:rPr>
              <w:t xml:space="preserve">GRU</w:t>
            </w:r>
          </w:p>
        </w:tc>
        <w:tc>
          <w:tcPr>
            <w:tcW w:type="dxa" w:w="1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0,6806</w:t>
            </w:r>
          </w:p>
        </w:tc>
        <w:tc>
          <w:tcPr>
            <w:tcW w:type="dxa" w:w="1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0,6264</w:t>
            </w:r>
          </w:p>
        </w:tc>
        <w:tc>
          <w:tcPr>
            <w:tcW w:type="dxa" w:w="1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0,8950</w:t>
            </w:r>
          </w:p>
        </w:tc>
        <w:tc>
          <w:tcPr>
            <w:tcW w:type="dxa" w:w="1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0,7370</w:t>
            </w:r>
          </w:p>
        </w:tc>
        <w:tc>
          <w:tcPr>
            <w:tcW w:type="dxa" w:w="1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274 946</w:t>
            </w:r>
          </w:p>
        </w:tc>
      </w:tr>
    </w:tbl>
    <w:p>
      <w:pPr>
        <w:spacing w:after="160"/>
      </w:pPr>
    </w:p>
    <w:p>
      <w:pPr>
        <w:spacing w:after="60" w:before="120"/>
        <w:jc w:val="center"/>
      </w:pPr>
      <w:r>
        <w:drawing>
          <wp:inline distT="0" distB="0" distL="0" distR="0">
            <wp:extent cx="5715000" cy="128870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1288705"/>
                    </a:xfrm>
                    <a:prstGeom prst="rect">
                      <a:avLst/>
                    </a:prstGeom>
                  </pic:spPr>
                </pic:pic>
              </a:graphicData>
            </a:graphic>
          </wp:inline>
        </w:drawing>
      </w:r>
    </w:p>
    <w:p>
      <w:pPr>
        <w:spacing w:after="280" w:before="60"/>
        <w:jc w:val="center"/>
      </w:pPr>
      <w:r>
        <w:rPr>
          <w:i/>
          <w:iCs/>
          <w:color w:val="595959"/>
          <w:sz w:val="20"/>
          <w:szCs w:val="20"/>
        </w:rPr>
        <w:t xml:space="preserve">Figure 9 — Accuracy par architecture (gauche) et matrices de confusion RNN / LSTM / GRU (droite), ensemble de test complet (1600 critiques IMDB).</w:t>
      </w:r>
    </w:p>
    <w:p>
      <w:pPr>
        <w:spacing w:after="160" w:line="300"/>
        <w:jc w:val="both"/>
      </w:pPr>
      <w:r>
        <w:rPr>
          <w:b w:val="false"/>
          <w:bCs w:val="false"/>
          <w:i w:val="false"/>
          <w:iCs w:val="false"/>
        </w:rPr>
        <w:t xml:space="preserve">Le RNN simple reste proche du hasard (accuracy de 0,5325, à peine au-dessus de 0,50), ce qui confirme, sur un vrai corpus et un ensemble de test de taille statistiquement significative (1 600 exemples), sa difficulté à exploiter une séquence de 100 tokens pour une tâche où l’information pertinente (mots-clés de sentiment) peut apparaître n’importe où dans le texte. LSTM et GRU obtiennent des performances nettement supérieures (accuracy de 0,66 et 0,68, F1 de 0,66 et 0,74), le GRU se montrant ici le plus performant avec un rappel élevé (0,895) au prix d’une précision plus faible (0,6264) : les matrices de confusion (Figure 9) montrent que le GRU a tendance à prédire plus souvent la classe positive, ce qui explique ce compromis précision/rappel. Le meilleur modèle au sens du F1 (GRU) est automatiquement sauvegardé dans saved_models/part3_rnn_sentiment_best.pth.</w:t>
      </w:r>
    </w:p>
    <w:p>
      <w:pPr>
        <w:pStyle w:val="Heading2"/>
      </w:pPr>
      <w:r>
        <w:t xml:space="preserve">6.6 Limites spécifiques à cette partie</w:t>
      </w:r>
    </w:p>
    <w:p>
      <w:pPr>
        <w:spacing w:after="160" w:line="300"/>
        <w:jc w:val="both"/>
      </w:pPr>
      <w:r>
        <w:rPr>
          <w:b w:val="false"/>
          <w:bCs w:val="false"/>
          <w:i w:val="false"/>
          <w:iCs w:val="false"/>
        </w:rPr>
        <w:t xml:space="preserve">Le vocabulaire est limité aux 8 000 mots les plus fréquents (les mots plus rares sont remplacés par un token &lt;unk&gt;), les critiques sont tronquées à 100 tokens alors que leur longueur moyenne réelle dépasse 230 mots, et l’entraînement porte sur un sous-échantillon de 8 000 critiques parmi les 50 000 disponibles. Ces choix, documentés et justifiés par le temps de calcul disponible sur CPU, limitent la performance absolue atteignable (en particulier pour le LSTM/GRU, dont l’accuracy resterait probablement plus élevée avec l’ensemble complet, davantage d’époques, ou des embeddings pré-entraînés), mais n’invalident pas la comparaison relative entre RNN, LSTM et GRU, qui est l’objet pédagogique de cette partie. Sans mécanisme d’attention ni embeddings pré-entraînés (Word2Vec, GloVe), ce pipeline reste une base ; un modèle de type Transformer (BERT) serait l’étape naturelle suivante pour améliorer la performance absolue sur cette tâche.</w:t>
      </w:r>
    </w:p>
    <w:p>
      <w:pPr>
        <w:pStyle w:val="Heading1"/>
      </w:pPr>
      <w:r>
        <w:t xml:space="preserve">7. Discussion transversale</w:t>
      </w:r>
    </w:p>
    <w:p>
      <w:pPr>
        <w:pBdr>
          <w:left w:val="single" w:color="1F4E79" w:sz="12" w:space="8"/>
        </w:pBdr>
        <w:spacing w:after="200" w:before="100" w:line="300"/>
        <w:ind w:left="480"/>
      </w:pPr>
      <w:r>
        <w:rPr>
          <w:i/>
          <w:iCs/>
          <w:color w:val="595959"/>
        </w:rPr>
        <w:t xml:space="preserve">Comment le deep learning adapte-t-il ses architectures à la structure des données — tabulaire, image et séquentielle — et pourquoi un même paradigme d'apprentissage supervisé doit-il être décliné différemment selon la géométrie, la dépendance locale, la temporalité et la représentation des données ?</w:t>
      </w:r>
    </w:p>
    <w:p>
      <w:pPr>
        <w:spacing w:after="160" w:line="300"/>
        <w:jc w:val="both"/>
      </w:pPr>
      <w:r>
        <w:rPr>
          <w:b w:val="false"/>
          <w:bCs w:val="false"/>
          <w:i w:val="false"/>
          <w:iCs w:val="false"/>
        </w:rPr>
        <w:t xml:space="preserve">Les trois parties de ce projet illustrent un même principe directeur : le choix d'une architecture de réseau de neurones n'est jamais arbitraire, il découle directement de la structure géométrique et statistique des données à traiter. Un même paradigme — l'apprentissage supervisé par descente de gradient et rétropropagation — se décline en trois familles d'architectures différentes parce que les données tabulaires, les images et les séquences textuelles ne partagent ni la même géométrie, ni le même type de dépendance locale, ni la même relation à la temporalité ou à la représentation.</w:t>
      </w:r>
    </w:p>
    <w:p>
      <w:pPr>
        <w:spacing w:after="80"/>
      </w:pPr>
    </w:p>
    <w:p>
      <w:pPr>
        <w:spacing w:after="80"/>
      </w:pPr>
      <w:r>
        <w:rPr>
          <w:rFonts w:ascii="Courier New" w:cs="Courier New" w:eastAsia="Courier New" w:hAnsi="Courier New"/>
          <w:sz w:val="15"/>
          <w:szCs w:val="15"/>
        </w:rPr>
        <w:t xml:space="preserve">Données tabulaires     →  vecteurs indépendants            →  MLP  (connectivité totale)</w:t>
      </w:r>
    </w:p>
    <w:p>
      <w:pPr>
        <w:spacing w:after="80"/>
      </w:pPr>
      <w:r>
        <w:rPr>
          <w:rFonts w:ascii="Courier New" w:cs="Courier New" w:eastAsia="Courier New" w:hAnsi="Courier New"/>
          <w:sz w:val="15"/>
          <w:szCs w:val="15"/>
        </w:rPr>
        <w:t xml:space="preserve">Données image           →  grille spatiale 2D                →  CNN  (connectivité locale, poids partagés)</w:t>
      </w:r>
    </w:p>
    <w:p>
      <w:pPr>
        <w:spacing w:after="80"/>
      </w:pPr>
      <w:r>
        <w:rPr>
          <w:rFonts w:ascii="Courier New" w:cs="Courier New" w:eastAsia="Courier New" w:hAnsi="Courier New"/>
          <w:sz w:val="15"/>
          <w:szCs w:val="15"/>
        </w:rPr>
        <w:t xml:space="preserve">Données séquentielles  →  ordre temporel, longueur variable  →  RNN/LSTM/GRU (état caché récurrent)</w:t>
      </w:r>
    </w:p>
    <w:p>
      <w:pPr>
        <w:spacing w:after="160"/>
      </w:pPr>
    </w:p>
    <w:p>
      <w:pPr>
        <w:pStyle w:val="Heading2"/>
      </w:pPr>
      <w:r>
        <w:t xml:space="preserve">Données tabulaires et MLP</w:t>
      </w:r>
    </w:p>
    <w:p>
      <w:pPr>
        <w:spacing w:after="160" w:line="300"/>
        <w:jc w:val="both"/>
      </w:pPr>
      <w:r>
        <w:rPr>
          <w:b w:val="false"/>
          <w:bCs w:val="false"/>
          <w:i w:val="false"/>
          <w:iCs w:val="false"/>
        </w:rPr>
        <w:t xml:space="preserve">Le jeu de données winequality-red est constitué de lignes indépendantes, décrites par des variables physico-chimiques sans relation d'ordre ni de proximité particulière entre elles. Il n'existe donc aucune structure spatiale ou séquentielle à exploiter : un perceptron pleinement connecté est le choix le plus naturel. Les performances obtenues (accuracy de test autour de 0,75) restent modestes, ce qui reflète davantage le bruit intrinsèque de la variable cible — une moyenne de notations humaines subjectives — qu'une limite de l'architecture elle-même.</w:t>
      </w:r>
    </w:p>
    <w:p>
      <w:pPr>
        <w:pStyle w:val="Heading2"/>
      </w:pPr>
      <w:r>
        <w:t xml:space="preserve">Données image et CNN</w:t>
      </w:r>
    </w:p>
    <w:p>
      <w:pPr>
        <w:spacing w:after="160" w:line="300"/>
        <w:jc w:val="both"/>
      </w:pPr>
      <w:r>
        <w:rPr>
          <w:b w:val="false"/>
          <w:bCs w:val="false"/>
          <w:i w:val="false"/>
          <w:iCs w:val="false"/>
        </w:rPr>
        <w:t xml:space="preserve">Une image possède une structure spatiale forte : les pixels voisins sont corrélés et un même motif visuel peut apparaître à différents endroits. Le CNN exploite cette structure par la connectivité locale et le partage de paramètres, ce qui lui confère une forme d'invariance à la translation que ne possède pas un MLP. Les résultats expérimentaux le confirment : à nombre d'époques égal (3), le CNN atteint 0,8945 d'accuracy de test contre 0,8759 pour le MLP, tout en utilisant environ 12 % de paramètres en moins — un double avantage, en performance et en efficacité paramétrique, qui s'explique par la perte de toute notion de voisinage entre pixels dès l'aplatissement de l'image en vecteur dans le MLP.</w:t>
      </w:r>
    </w:p>
    <w:p>
      <w:pPr>
        <w:pStyle w:val="Heading2"/>
      </w:pPr>
      <w:r>
        <w:t xml:space="preserve">Données séquentielles et RNN</w:t>
      </w:r>
    </w:p>
    <w:p>
      <w:pPr>
        <w:spacing w:after="160" w:line="300"/>
        <w:jc w:val="both"/>
      </w:pPr>
      <w:r>
        <w:rPr>
          <w:b w:val="false"/>
          <w:bCs w:val="false"/>
          <w:i w:val="false"/>
          <w:iCs w:val="false"/>
        </w:rPr>
        <w:t xml:space="preserve">Le texte introduit une troisième contrainte, absente des deux cas précédents : la temporalité et la dépendance à longue portée dans l’ordre des éléments. Les architectures récurrentes y répondent en maintenant un état caché mis à jour séquentiellement, qui résume le contexte passé — pour une tâche de classification, seul l’état final est utilisé pour produire la prédiction. L’illustration expérimentale du gradient clipping confirme le risque d’explosion du gradient propre à la rétropropagation à travers le temps. Le passage du RNN simple vers LSTM/GRU se traduit ici par un gain mesurable et statistiquement significatif d’accuracy et de F1 sur 1 600 critiques de test réelles (0,53 pour le RNN contre 0,66–0,68 pour LSTM/GRU) : les portes de mémoire de ces deux architectures permettent de propager l’information pertinente (mots-clés de sentiment) sur toute la longueur d’une séquence de 100 tokens, contrairement au RNN simple qui reste proche d’une prédiction aléatoire.</w:t>
      </w:r>
    </w:p>
    <w:p>
      <w:pPr>
        <w:pStyle w:val="Heading2"/>
      </w:pPr>
      <w:r>
        <w:t xml:space="preserve">Synthèse</w:t>
      </w:r>
    </w:p>
    <w:p>
      <w:pPr>
        <w:spacing w:after="160" w:line="300"/>
        <w:jc w:val="both"/>
      </w:pPr>
      <w:r>
        <w:rPr>
          <w:b w:val="false"/>
          <w:bCs w:val="false"/>
          <w:i w:val="false"/>
          <w:iCs w:val="false"/>
        </w:rPr>
        <w:t xml:space="preserve">La performance d'un modèle ne dépend pas seulement de son nombre de paramètres, mais de l'adéquation entre les biais structurels de l'architecture (connectivité totale, connectivité locale avec partage de poids, ou récurrence avec mémoire) et la géométrie intrinsèque des données (vecteurs indépendants, grilles spatiales, séquences ordonnées) — ainsi que de la taille et de la qualité du corpus disponible pour entraîner et évaluer ce modèle de façon statistiquement fiable, comme l'illustre le passage d'un corpus jouet de 40 phrases à un corpus réel de 8 000 critiques pour la Partie III. Il n'existe pas d'architecture universelle : le choix doit être guidé par la nature même des données à modéliser.</w:t>
      </w:r>
    </w:p>
    <w:p>
      <w:pPr>
        <w:pStyle w:val="Heading1"/>
      </w:pPr>
      <w:r>
        <w:t xml:space="preserve">8. Limites générales du projet</w:t>
      </w:r>
    </w:p>
    <w:p>
      <w:pPr>
        <w:pStyle w:val="ListParagraph"/>
        <w:numPr>
          <w:ilvl w:val="0"/>
          <w:numId w:val="2"/>
        </w:numPr>
        <w:spacing w:after="100" w:line="280"/>
      </w:pPr>
      <w:r>
        <w:t xml:space="preserve">Variabilité d'un entraînement à l'autre : aucune graine aléatoire n'a été fixée, ce qui se traduit par des écarts de performance notables entre deux entraînements pourtant identiques sur le plan du protocole (Partie I, section 4.5). Une évaluation plus rigoureuse demanderait plusieurs répétitions avec graines fixées et un intervalle de confiance sur les métriques.</w:t>
      </w:r>
    </w:p>
    <w:p>
      <w:pPr>
        <w:pStyle w:val="ListParagraph"/>
        <w:numPr>
          <w:ilvl w:val="0"/>
          <w:numId w:val="2"/>
        </w:numPr>
        <w:spacing w:after="100" w:line="280"/>
      </w:pPr>
      <w:r>
        <w:t xml:space="preserve">Budgets d'entraînement courts : les modèles de la Partie II (MLP, CNN, étude d'ablation) n'ont été entraînés que sur 3 époques, et ceux de la Partie III sur 10 époques. Les écarts observés entre architectures reflètent donc des tendances après un entraînement court plutôt que les performances plafond de chaque famille de modèles.</w:t>
      </w:r>
    </w:p>
    <w:p>
      <w:pPr>
        <w:pStyle w:val="ListParagraph"/>
        <w:numPr>
          <w:ilvl w:val="0"/>
          <w:numId w:val="2"/>
        </w:numPr>
        <w:spacing w:after="100" w:line="280"/>
      </w:pPr>
      <w:r>
        <w:t xml:space="preserve">Sous-échantillonnage du corpus de la Partie III : sur les 50 000 critiques IMDB disponibles, seules 8 000 sont utilisées pour l'entraînement et l'évaluation, avec des séquences tronquées à 100 tokens et un vocabulaire limité à 8 000 mots, afin de garder un temps de calcul raisonnable sur CPU. Ces compromis, documentés dans le notebook, limitent la performance absolue du LSTM/GRU mais n'invalident pas la comparaison relative entre architectures, qui reste l'objectif pédagogique de cette partie.</w:t>
      </w:r>
    </w:p>
    <w:p>
      <w:pPr>
        <w:pStyle w:val="ListParagraph"/>
        <w:numPr>
          <w:ilvl w:val="0"/>
          <w:numId w:val="2"/>
        </w:numPr>
        <w:spacing w:after="100" w:line="280"/>
      </w:pPr>
      <w:r>
        <w:t xml:space="preserve">Compromis précision/rappel pour le GRU : le modèle GRU de la Partie III, sélectionné sur le meilleur F1, obtient un rappel élevé (0,895) mais une précision plus faible (0,6264), signe d'un biais vers la prédiction de la classe positive sur ce sous-échantillon ; ce point est visible dans les matrices de confusion (section 6.5) et nuancerait une lecture du F1 comme seul indicateur de qualité.</w:t>
      </w:r>
    </w:p>
    <w:p>
      <w:pPr>
        <w:pStyle w:val="ListParagraph"/>
        <w:numPr>
          <w:ilvl w:val="0"/>
          <w:numId w:val="2"/>
        </w:numPr>
        <w:spacing w:after="100" w:line="280"/>
      </w:pPr>
      <w:r>
        <w:t xml:space="preserve">Exécution sur CPU, sans validation croisée ni test de significativité statistique des écarts entre architectures : les comparaisons numériques de ce rapport doivent être interprétées comme des tendances illustratives plutôt que comme des résultats statistiquement établis.</w:t>
      </w:r>
    </w:p>
    <w:p>
      <w:pPr>
        <w:pStyle w:val="Heading1"/>
      </w:pPr>
      <w:r>
        <w:t xml:space="preserve">9. Conclusion</w:t>
      </w:r>
    </w:p>
    <w:p>
      <w:pPr>
        <w:spacing w:after="160" w:line="300"/>
        <w:jc w:val="both"/>
      </w:pPr>
      <w:r>
        <w:rPr>
          <w:b w:val="false"/>
          <w:bCs w:val="false"/>
          <w:i w:val="false"/>
          <w:iCs w:val="false"/>
        </w:rPr>
        <w:t xml:space="preserve">Ce projet a permis de mettre en œuvre, de comparer et d'analyser trois familles d'architectures de deep learning sur trois types de données réelles et distincts. Les résultats obtenus — un MLP dont la performance modeste reflète surtout le bruit intrinsèque des données tabulaires traitées, un CNN surpassant un MLP sur des données image avec moins de paramètres grâce à l'exploitation de la structure spatiale, et des architectures récurrentes dont la comparaison sur un vrai corpus de 8 000 critiques de films démontre, de façon statistiquement lisible, la supériorité du LSTM et du GRU sur le RNN simple pour une tâche d'analyse de sentiment — confirment empiriquement le principe directeur de la discussion transversale : l'architecture doit être choisie en fonction de la structure intrinsèque des données, et non l'inverse.</w:t>
      </w:r>
    </w:p>
    <w:p>
      <w:pPr>
        <w:spacing w:after="200"/>
      </w:pPr>
    </w:p>
    <w:p>
      <w:pPr>
        <w:pBdr>
          <w:top w:val="single" w:color="BFBFBF" w:sz="4" w:space="8"/>
        </w:pBdr>
        <w:spacing w:before="200"/>
      </w:pPr>
    </w:p>
    <w:p>
      <w:pPr>
        <w:spacing w:after="160" w:line="300"/>
        <w:jc w:val="center"/>
      </w:pPr>
      <w:r>
        <w:rPr>
          <w:b w:val="false"/>
          <w:bCs w:val="false"/>
          <w:i/>
          <w:iCs/>
          <w:color w:val="595959"/>
        </w:rPr>
        <w:t xml:space="preserve">Rapport rédigé à partir de l'exécution complète et vérifiée des trois notebooks fournis dans notebooks/ ; l'ensemble des tableaux, figures et valeurs numériques de ce document correspond à des sorties réelles des cellules de code, sans extrapolation.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6"/>
        <w:szCs w:val="16"/>
      </w:rPr>
      <w:t xml:space="preserve">Projet Deep Learning — EMSI Casablanca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F4E79"/>
      <w:sz w:val="26"/>
      <w:szCs w:val="26"/>
    </w:rPr>
  </w:style>
  <w:style w:type="paragraph" w:styleId="Heading3">
    <w:name w:val="Heading 3"/>
    <w:basedOn w:val="Normal"/>
    <w:next w:val="Normal"/>
    <w:qFormat/>
    <w:pPr>
      <w:spacing w:after="120" w:before="200"/>
      <w:outlineLvl w:val="2"/>
    </w:pPr>
    <w:rPr>
      <w:rFonts w:ascii="Arial" w:cs="Arial" w:eastAsia="Arial" w:hAnsi="Arial"/>
      <w:b/>
      <w:bCs/>
      <w:i/>
      <w:i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d61c13cadd90924b2d8496df9a3b6bf438da90f.png"/><Relationship Id="rId10" Type="http://schemas.openxmlformats.org/officeDocument/2006/relationships/image" Target="media/d308d77eaf27144e2146f6d52bd60f2123f0825e.png"/><Relationship Id="rId11" Type="http://schemas.openxmlformats.org/officeDocument/2006/relationships/image" Target="media/e01b36059c96eb5f016b5d49926176b84106055c.png"/><Relationship Id="rId12" Type="http://schemas.openxmlformats.org/officeDocument/2006/relationships/image" Target="media/d50abcc353ce2d0048d9ea87253d801886f84061.png"/><Relationship Id="rId13" Type="http://schemas.openxmlformats.org/officeDocument/2006/relationships/image" Target="media/33ea0f3ed45fdf5300880f8753fbffe7e611ffb7.png"/><Relationship Id="rId14" Type="http://schemas.openxmlformats.org/officeDocument/2006/relationships/image" Target="media/cc107ea1b3e31eef4e7118b2a8858dbf0427b908.png"/><Relationship Id="rId15" Type="http://schemas.openxmlformats.org/officeDocument/2006/relationships/image" Target="media/087a12200422020f74a95349dfd7b8c2a15c3b5e.png"/><Relationship Id="rId16" Type="http://schemas.openxmlformats.org/officeDocument/2006/relationships/image" Target="media/d096d7087fe50a468a2be3a1cf6a8fbbccba6141.png"/><Relationship Id="rId17" Type="http://schemas.openxmlformats.org/officeDocument/2006/relationships/image" Target="media/e76defa43b2dc7a5d6ca60560687f445a0448871.png"/><Relationship Id="rId18" Type="http://schemas.openxmlformats.org/officeDocument/2006/relationships/fontTable" Target="fontTable.xml"/><Relationship Id="rId19" Type="http://schemas.openxmlformats.org/officeDocument/2006/relationships/image" Target="media/logo_emsi.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scientifique — Projet de fin de module Deep Learning</dc:title>
  <dc:creator>EMSI Casablanca</dc:creator>
  <cp:lastModifiedBy>Un-named</cp:lastModifiedBy>
  <cp:revision>1</cp:revision>
  <dcterms:created xsi:type="dcterms:W3CDTF">2026-06-17T18:17:53.416Z</dcterms:created>
  <dcterms:modified xsi:type="dcterms:W3CDTF">2026-06-17T18:17:53.417Z</dcterms:modified>
</cp:coreProperties>
</file>

<file path=docProps/custom.xml><?xml version="1.0" encoding="utf-8"?>
<Properties xmlns="http://schemas.openxmlformats.org/officeDocument/2006/custom-properties" xmlns:vt="http://schemas.openxmlformats.org/officeDocument/2006/docPropsVTypes"/>
</file>