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595959"/>
          <w:sz w:val="28"/>
          <w:highlight w:val="yellow"/>
        </w:rPr>
        <w:t>[Organization Name]</w:t>
      </w:r>
    </w:p>
    <w:p>
      <w:pPr>
        <w:pBdr>
          <w:bottom w:val="single" w:sz="12" w:space="10" w:color="2F5496"/>
        </w:pBdr>
        <w:spacing w:before="600" w:after="120"/>
      </w:pPr>
      <w:r>
        <w:rPr>
          <w:b/>
          <w:color w:val="1F3864"/>
          <w:sz w:val="64"/>
        </w:rPr>
        <w:t>API Gateway Enterprise Architecture Standard</w:t>
      </w:r>
    </w:p>
    <w:p>
      <w:pPr>
        <w:spacing w:before="200" w:after="1600"/>
      </w:pPr>
      <w:r>
        <w:rPr>
          <w:color w:val="595959"/>
          <w:sz w:val="32"/>
        </w:rPr>
        <w:t>Architecture and Operating Model</w:t>
      </w:r>
    </w:p>
    <w:tbl>
      <w:tblPr>
        <w:tblW w:w="680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4536"/>
      </w:tblGrid>
      <w:tr>
        <w:trPr>
          <w:cantSplit/>
        </w:trPr>
        <w:tc>
          <w:tcPr>
            <w:tcW w:type="dxa" w:w="2268"/>
            <w:shd w:val="clear" w:color="auto" w:fill="F2F5FA"/>
          </w:tcPr>
          <w:p>
            <w:pPr>
              <w:pStyle w:val="TableText"/>
            </w:pPr>
            <w:r>
              <w:rPr>
                <w:b/>
              </w:rPr>
              <w:t>Version</w:t>
            </w:r>
          </w:p>
        </w:tc>
        <w:tc>
          <w:tcPr>
            <w:tcW w:type="dxa" w:w="4535"/>
          </w:tcPr>
          <w:p>
            <w:pPr>
              <w:pStyle w:val="TableText"/>
            </w:pPr>
            <w:r>
              <w:t>1.0</w:t>
            </w:r>
          </w:p>
        </w:tc>
      </w:tr>
      <w:tr>
        <w:trPr>
          <w:cantSplit/>
        </w:trPr>
        <w:tc>
          <w:tcPr>
            <w:tcW w:type="dxa" w:w="2268"/>
            <w:shd w:val="clear" w:color="auto" w:fill="F2F5FA"/>
          </w:tcPr>
          <w:p>
            <w:pPr>
              <w:pStyle w:val="TableText"/>
            </w:pPr>
            <w:r>
              <w:rPr>
                <w:b/>
              </w:rPr>
              <w:t>Status</w:t>
            </w:r>
          </w:p>
        </w:tc>
        <w:tc>
          <w:tcPr>
            <w:tcW w:type="dxa" w:w="4535"/>
          </w:tcPr>
          <w:p>
            <w:pPr>
              <w:pStyle w:val="TableText"/>
            </w:pPr>
            <w:r>
              <w:t>Draft</w:t>
            </w:r>
          </w:p>
        </w:tc>
      </w:tr>
      <w:tr>
        <w:trPr>
          <w:cantSplit/>
        </w:trPr>
        <w:tc>
          <w:tcPr>
            <w:tcW w:type="dxa" w:w="2268"/>
            <w:shd w:val="clear" w:color="auto" w:fill="F2F5FA"/>
          </w:tcPr>
          <w:p>
            <w:pPr>
              <w:pStyle w:val="TableText"/>
            </w:pPr>
            <w:r>
              <w:rPr>
                <w:b/>
              </w:rPr>
              <w:t>Date</w:t>
            </w:r>
          </w:p>
        </w:tc>
        <w:tc>
          <w:tcPr>
            <w:tcW w:type="dxa" w:w="4535"/>
          </w:tcPr>
          <w:p>
            <w:pPr>
              <w:pStyle w:val="TableText"/>
            </w:pPr>
            <w:r>
              <w:t>21 September 2026</w:t>
            </w:r>
          </w:p>
        </w:tc>
      </w:tr>
      <w:tr>
        <w:trPr>
          <w:cantSplit/>
        </w:trPr>
        <w:tc>
          <w:tcPr>
            <w:tcW w:type="dxa" w:w="2268"/>
            <w:shd w:val="clear" w:color="auto" w:fill="F2F5FA"/>
          </w:tcPr>
          <w:p>
            <w:pPr>
              <w:pStyle w:val="TableText"/>
            </w:pPr>
            <w:r>
              <w:rPr>
                <w:b/>
              </w:rPr>
              <w:t>Document ID</w:t>
            </w:r>
          </w:p>
        </w:tc>
        <w:tc>
          <w:tcPr>
            <w:tcW w:type="dxa" w:w="4535"/>
          </w:tcPr>
          <w:p>
            <w:pPr>
              <w:pStyle w:val="TableText"/>
            </w:pPr>
            <w:r>
              <w:rPr>
                <w:highlight w:val="yellow"/>
              </w:rPr>
              <w:t>[Document ID]</w:t>
            </w:r>
          </w:p>
        </w:tc>
      </w:tr>
      <w:tr>
        <w:trPr>
          <w:cantSplit/>
        </w:trPr>
        <w:tc>
          <w:tcPr>
            <w:tcW w:type="dxa" w:w="2268"/>
            <w:shd w:val="clear" w:color="auto" w:fill="F2F5FA"/>
          </w:tcPr>
          <w:p>
            <w:pPr>
              <w:pStyle w:val="TableText"/>
            </w:pPr>
            <w:r>
              <w:rPr>
                <w:b/>
              </w:rPr>
              <w:t>Classification</w:t>
            </w:r>
          </w:p>
        </w:tc>
        <w:tc>
          <w:tcPr>
            <w:tcW w:type="dxa" w:w="4535"/>
          </w:tcPr>
          <w:p>
            <w:pPr>
              <w:pStyle w:val="TableText"/>
            </w:pPr>
            <w:r>
              <w:rPr>
                <w:highlight w:val="yellow"/>
              </w:rPr>
              <w:t>[Classification]</w:t>
            </w:r>
          </w:p>
        </w:tc>
      </w:tr>
    </w:tbl>
    <w:p>
      <w:r>
        <w:br w:type="page"/>
      </w:r>
    </w:p>
    <w:p>
      <w:pPr>
        <w:pStyle w:val="FrontHeading"/>
      </w:pPr>
      <w:r>
        <w:t>Document Control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6463"/>
      </w:tblGrid>
      <w:tr>
        <w:trPr>
          <w:cantSplit/>
        </w:trPr>
        <w:tc>
          <w:tcPr>
            <w:tcW w:type="dxa" w:w="2608"/>
            <w:shd w:val="clear" w:color="auto" w:fill="F2F5FA"/>
          </w:tcPr>
          <w:p>
            <w:pPr>
              <w:pStyle w:val="TableText"/>
            </w:pPr>
            <w:r>
              <w:rPr>
                <w:b/>
              </w:rPr>
              <w:t>Document title</w:t>
            </w:r>
          </w:p>
        </w:tc>
        <w:tc>
          <w:tcPr>
            <w:tcW w:type="dxa" w:w="6463"/>
          </w:tcPr>
          <w:p>
            <w:pPr>
              <w:pStyle w:val="TableText"/>
            </w:pPr>
            <w:r>
              <w:t>API Gateway Enterprise Architecture Standard</w:t>
            </w:r>
          </w:p>
        </w:tc>
      </w:tr>
      <w:tr>
        <w:trPr>
          <w:cantSplit/>
        </w:trPr>
        <w:tc>
          <w:tcPr>
            <w:tcW w:type="dxa" w:w="2608"/>
            <w:shd w:val="clear" w:color="auto" w:fill="F2F5FA"/>
          </w:tcPr>
          <w:p>
            <w:pPr>
              <w:pStyle w:val="TableText"/>
            </w:pPr>
            <w:r>
              <w:rPr>
                <w:b/>
              </w:rPr>
              <w:t>Document ID</w:t>
            </w:r>
          </w:p>
        </w:tc>
        <w:tc>
          <w:tcPr>
            <w:tcW w:type="dxa" w:w="6463"/>
          </w:tcPr>
          <w:p>
            <w:pPr>
              <w:pStyle w:val="TableText"/>
            </w:pPr>
            <w:r>
              <w:rPr>
                <w:highlight w:val="yellow"/>
              </w:rPr>
              <w:t>[Document ID]</w:t>
            </w:r>
          </w:p>
        </w:tc>
      </w:tr>
      <w:tr>
        <w:trPr>
          <w:cantSplit/>
        </w:trPr>
        <w:tc>
          <w:tcPr>
            <w:tcW w:type="dxa" w:w="2608"/>
            <w:shd w:val="clear" w:color="auto" w:fill="F2F5FA"/>
          </w:tcPr>
          <w:p>
            <w:pPr>
              <w:pStyle w:val="TableText"/>
            </w:pPr>
            <w:r>
              <w:rPr>
                <w:b/>
              </w:rPr>
              <w:t>Version</w:t>
            </w:r>
          </w:p>
        </w:tc>
        <w:tc>
          <w:tcPr>
            <w:tcW w:type="dxa" w:w="6463"/>
          </w:tcPr>
          <w:p>
            <w:pPr>
              <w:pStyle w:val="TableText"/>
            </w:pPr>
            <w:r>
              <w:t>1.0</w:t>
            </w:r>
          </w:p>
        </w:tc>
      </w:tr>
      <w:tr>
        <w:trPr>
          <w:cantSplit/>
        </w:trPr>
        <w:tc>
          <w:tcPr>
            <w:tcW w:type="dxa" w:w="2608"/>
            <w:shd w:val="clear" w:color="auto" w:fill="F2F5FA"/>
          </w:tcPr>
          <w:p>
            <w:pPr>
              <w:pStyle w:val="TableText"/>
            </w:pPr>
            <w:r>
              <w:rPr>
                <w:b/>
              </w:rPr>
              <w:t>Status</w:t>
            </w:r>
          </w:p>
        </w:tc>
        <w:tc>
          <w:tcPr>
            <w:tcW w:type="dxa" w:w="6463"/>
          </w:tcPr>
          <w:p>
            <w:pPr>
              <w:pStyle w:val="TableText"/>
            </w:pPr>
            <w:r>
              <w:t>Draft</w:t>
            </w:r>
          </w:p>
        </w:tc>
      </w:tr>
      <w:tr>
        <w:trPr>
          <w:cantSplit/>
        </w:trPr>
        <w:tc>
          <w:tcPr>
            <w:tcW w:type="dxa" w:w="2608"/>
            <w:shd w:val="clear" w:color="auto" w:fill="F2F5FA"/>
          </w:tcPr>
          <w:p>
            <w:pPr>
              <w:pStyle w:val="TableText"/>
            </w:pPr>
            <w:r>
              <w:rPr>
                <w:b/>
              </w:rPr>
              <w:t>Classification</w:t>
            </w:r>
          </w:p>
        </w:tc>
        <w:tc>
          <w:tcPr>
            <w:tcW w:type="dxa" w:w="6463"/>
          </w:tcPr>
          <w:p>
            <w:pPr>
              <w:pStyle w:val="TableText"/>
            </w:pPr>
            <w:r>
              <w:rPr>
                <w:highlight w:val="yellow"/>
              </w:rPr>
              <w:t>[Classification]</w:t>
            </w:r>
          </w:p>
        </w:tc>
      </w:tr>
      <w:tr>
        <w:trPr>
          <w:cantSplit/>
        </w:trPr>
        <w:tc>
          <w:tcPr>
            <w:tcW w:type="dxa" w:w="2608"/>
            <w:shd w:val="clear" w:color="auto" w:fill="F2F5FA"/>
          </w:tcPr>
          <w:p>
            <w:pPr>
              <w:pStyle w:val="TableText"/>
            </w:pPr>
            <w:r>
              <w:rPr>
                <w:b/>
              </w:rPr>
              <w:t>Document owner</w:t>
            </w:r>
          </w:p>
        </w:tc>
        <w:tc>
          <w:tcPr>
            <w:tcW w:type="dxa" w:w="6463"/>
          </w:tcPr>
          <w:p>
            <w:pPr>
              <w:pStyle w:val="TableText"/>
            </w:pPr>
            <w:r>
              <w:rPr>
                <w:highlight w:val="yellow"/>
              </w:rPr>
              <w:t>[Document owner, Infrastructure Team]</w:t>
            </w:r>
          </w:p>
        </w:tc>
      </w:tr>
      <w:tr>
        <w:trPr>
          <w:cantSplit/>
        </w:trPr>
        <w:tc>
          <w:tcPr>
            <w:tcW w:type="dxa" w:w="2608"/>
            <w:shd w:val="clear" w:color="auto" w:fill="F2F5FA"/>
          </w:tcPr>
          <w:p>
            <w:pPr>
              <w:pStyle w:val="TableText"/>
            </w:pPr>
            <w:r>
              <w:rPr>
                <w:b/>
              </w:rPr>
              <w:t>Author</w:t>
            </w:r>
          </w:p>
        </w:tc>
        <w:tc>
          <w:tcPr>
            <w:tcW w:type="dxa" w:w="6463"/>
          </w:tcPr>
          <w:p>
            <w:pPr>
              <w:pStyle w:val="TableText"/>
            </w:pPr>
            <w:r>
              <w:rPr>
                <w:highlight w:val="yellow"/>
              </w:rPr>
              <w:t>[Author]</w:t>
            </w:r>
          </w:p>
        </w:tc>
      </w:tr>
      <w:tr>
        <w:trPr>
          <w:cantSplit/>
        </w:trPr>
        <w:tc>
          <w:tcPr>
            <w:tcW w:type="dxa" w:w="2608"/>
            <w:shd w:val="clear" w:color="auto" w:fill="F2F5FA"/>
          </w:tcPr>
          <w:p>
            <w:pPr>
              <w:pStyle w:val="TableText"/>
            </w:pPr>
            <w:r>
              <w:rPr>
                <w:b/>
              </w:rPr>
              <w:t>Effective date</w:t>
            </w:r>
          </w:p>
        </w:tc>
        <w:tc>
          <w:tcPr>
            <w:tcW w:type="dxa" w:w="6463"/>
          </w:tcPr>
          <w:p>
            <w:pPr>
              <w:pStyle w:val="TableText"/>
            </w:pPr>
            <w:r>
              <w:rPr>
                <w:highlight w:val="yellow"/>
              </w:rPr>
              <w:t>[Effective date]</w:t>
            </w:r>
          </w:p>
        </w:tc>
      </w:tr>
      <w:tr>
        <w:trPr>
          <w:cantSplit/>
        </w:trPr>
        <w:tc>
          <w:tcPr>
            <w:tcW w:type="dxa" w:w="2608"/>
            <w:shd w:val="clear" w:color="auto" w:fill="F2F5FA"/>
          </w:tcPr>
          <w:p>
            <w:pPr>
              <w:pStyle w:val="TableText"/>
            </w:pPr>
            <w:r>
              <w:rPr>
                <w:b/>
              </w:rPr>
              <w:t>Review cycle</w:t>
            </w:r>
          </w:p>
        </w:tc>
        <w:tc>
          <w:tcPr>
            <w:tcW w:type="dxa" w:w="6463"/>
          </w:tcPr>
          <w:p>
            <w:pPr>
              <w:pStyle w:val="TableText"/>
            </w:pPr>
            <w:r>
              <w:rPr>
                <w:highlight w:val="yellow"/>
              </w:rPr>
              <w:t>[Review cycle, e.g. annual]</w:t>
            </w:r>
          </w:p>
        </w:tc>
      </w:tr>
      <w:tr>
        <w:trPr>
          <w:cantSplit/>
        </w:trPr>
        <w:tc>
          <w:tcPr>
            <w:tcW w:type="dxa" w:w="2608"/>
            <w:shd w:val="clear" w:color="auto" w:fill="F2F5FA"/>
          </w:tcPr>
          <w:p>
            <w:pPr>
              <w:pStyle w:val="TableText"/>
            </w:pPr>
            <w:r>
              <w:rPr>
                <w:b/>
              </w:rPr>
              <w:t>Next review date</w:t>
            </w:r>
          </w:p>
        </w:tc>
        <w:tc>
          <w:tcPr>
            <w:tcW w:type="dxa" w:w="6463"/>
          </w:tcPr>
          <w:p>
            <w:pPr>
              <w:pStyle w:val="TableText"/>
            </w:pPr>
            <w:r>
              <w:rPr>
                <w:highlight w:val="yellow"/>
              </w:rPr>
              <w:t>[Next review date]</w:t>
            </w:r>
          </w:p>
        </w:tc>
      </w:tr>
    </w:tbl>
    <w:p>
      <w:pPr>
        <w:pStyle w:val="FrontSubheading"/>
      </w:pPr>
      <w:r>
        <w:t>Revision History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247"/>
        <w:gridCol w:w="1587"/>
        <w:gridCol w:w="2041"/>
        <w:gridCol w:w="4195"/>
      </w:tblGrid>
      <w:tr>
        <w:trPr>
          <w:cantSplit/>
          <w:tblHeader/>
        </w:trPr>
        <w:tc>
          <w:tcPr>
            <w:tcW w:type="dxa" w:w="1247"/>
            <w:shd w:val="clear" w:color="auto" w:fill="1F3864"/>
          </w:tcPr>
          <w:p>
            <w:pPr>
              <w:pStyle w:val="TableText"/>
            </w:pPr>
            <w:r>
              <w:rPr>
                <w:b/>
                <w:color w:val="FFFFFF"/>
              </w:rPr>
              <w:t>Version</w:t>
            </w:r>
          </w:p>
        </w:tc>
        <w:tc>
          <w:tcPr>
            <w:tcW w:type="dxa" w:w="1587"/>
            <w:shd w:val="clear" w:color="auto" w:fill="1F3864"/>
          </w:tcPr>
          <w:p>
            <w:pPr>
              <w:pStyle w:val="TableText"/>
            </w:pPr>
            <w:r>
              <w:rPr>
                <w:b/>
                <w:color w:val="FFFFFF"/>
              </w:rPr>
              <w:t>Date</w:t>
            </w:r>
          </w:p>
        </w:tc>
        <w:tc>
          <w:tcPr>
            <w:tcW w:type="dxa" w:w="2041"/>
            <w:shd w:val="clear" w:color="auto" w:fill="1F3864"/>
          </w:tcPr>
          <w:p>
            <w:pPr>
              <w:pStyle w:val="TableText"/>
            </w:pPr>
            <w:r>
              <w:rPr>
                <w:b/>
                <w:color w:val="FFFFFF"/>
              </w:rPr>
              <w:t>Author</w:t>
            </w:r>
          </w:p>
        </w:tc>
        <w:tc>
          <w:tcPr>
            <w:tcW w:type="dxa" w:w="4195"/>
            <w:shd w:val="clear" w:color="auto" w:fill="1F3864"/>
          </w:tcPr>
          <w:p>
            <w:pPr>
              <w:pStyle w:val="TableText"/>
            </w:pPr>
            <w:r>
              <w:rPr>
                <w:b/>
                <w:color w:val="FFFFFF"/>
              </w:rPr>
              <w:t>Description</w:t>
            </w:r>
          </w:p>
        </w:tc>
      </w:tr>
      <w:tr>
        <w:trPr>
          <w:cantSplit/>
        </w:trPr>
        <w:tc>
          <w:tcPr>
            <w:tcW w:type="dxa" w:w="1247"/>
          </w:tcPr>
          <w:p>
            <w:pPr>
              <w:pStyle w:val="TableText"/>
            </w:pPr>
            <w:r>
              <w:t>1.0</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First issue (draft). Converted from the architecture and operating-model notes (README.md); review decisions recorded.</w:t>
            </w:r>
          </w:p>
        </w:tc>
      </w:tr>
    </w:tbl>
    <w:p>
      <w:pPr>
        <w:pStyle w:val="FrontSubheading"/>
      </w:pPr>
      <w:r>
        <w:t>Approval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2608"/>
        <w:gridCol w:w="2268"/>
        <w:gridCol w:w="1587"/>
      </w:tblGrid>
      <w:tr>
        <w:trPr>
          <w:cantSplit/>
          <w:tblHeader/>
        </w:trPr>
        <w:tc>
          <w:tcPr>
            <w:tcW w:type="dxa" w:w="2608"/>
            <w:shd w:val="clear" w:color="auto" w:fill="1F3864"/>
          </w:tcPr>
          <w:p>
            <w:pPr>
              <w:pStyle w:val="TableText"/>
            </w:pPr>
            <w:r>
              <w:rPr>
                <w:b/>
                <w:color w:val="FFFFFF"/>
              </w:rPr>
              <w:t>Role</w:t>
            </w:r>
          </w:p>
        </w:tc>
        <w:tc>
          <w:tcPr>
            <w:tcW w:type="dxa" w:w="2608"/>
            <w:shd w:val="clear" w:color="auto" w:fill="1F3864"/>
          </w:tcPr>
          <w:p>
            <w:pPr>
              <w:pStyle w:val="TableText"/>
            </w:pPr>
            <w:r>
              <w:rPr>
                <w:b/>
                <w:color w:val="FFFFFF"/>
              </w:rPr>
              <w:t>Name</w:t>
            </w:r>
          </w:p>
        </w:tc>
        <w:tc>
          <w:tcPr>
            <w:tcW w:type="dxa" w:w="2268"/>
            <w:shd w:val="clear" w:color="auto" w:fill="1F3864"/>
          </w:tcPr>
          <w:p>
            <w:pPr>
              <w:pStyle w:val="TableText"/>
            </w:pPr>
            <w:r>
              <w:rPr>
                <w:b/>
                <w:color w:val="FFFFFF"/>
              </w:rPr>
              <w:t>Signature</w:t>
            </w:r>
          </w:p>
        </w:tc>
        <w:tc>
          <w:tcPr>
            <w:tcW w:type="dxa" w:w="1587"/>
            <w:shd w:val="clear" w:color="auto" w:fill="1F3864"/>
          </w:tcPr>
          <w:p>
            <w:pPr>
              <w:pStyle w:val="TableText"/>
            </w:pPr>
            <w:r>
              <w:rPr>
                <w:b/>
                <w:color w:val="FFFFFF"/>
              </w:rPr>
              <w:t>Date</w:t>
            </w: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bl>
    <w:p>
      <w:r>
        <w:br w:type="page"/>
      </w:r>
    </w:p>
    <w:p>
      <w:pPr>
        <w:pStyle w:val="FrontHeading"/>
      </w:pPr>
      <w:r>
        <w:t>Contents</w:t>
      </w:r>
    </w:p>
    <w:p>
      <w:pPr>
        <w:pStyle w:val="toc1"/>
      </w:pPr>
      <w:r>
        <w:fldChar w:fldCharType="begin"/>
      </w:r>
      <w:r>
        <w:instrText xml:space="preserve"> TOC \o "1-2" \h \z \u </w:instrText>
      </w:r>
      <w:r>
        <w:fldChar w:fldCharType="separate"/>
      </w:r>
      <w:r>
        <w:t>1</w:t>
      </w:r>
      <w:r>
        <w:tab/>
      </w:r>
      <w:r>
        <w:t>Introduction</w:t>
      </w:r>
    </w:p>
    <w:p>
      <w:pPr>
        <w:pStyle w:val="toc2"/>
      </w:pPr>
      <w:r>
        <w:t>1.1</w:t>
      </w:r>
      <w:r>
        <w:tab/>
      </w:r>
      <w:r>
        <w:t>Purpose</w:t>
      </w:r>
    </w:p>
    <w:p>
      <w:pPr>
        <w:pStyle w:val="toc2"/>
      </w:pPr>
      <w:r>
        <w:t>1.2</w:t>
      </w:r>
      <w:r>
        <w:tab/>
      </w:r>
      <w:r>
        <w:t>Scope</w:t>
      </w:r>
    </w:p>
    <w:p>
      <w:pPr>
        <w:pStyle w:val="toc2"/>
      </w:pPr>
      <w:r>
        <w:t>1.3</w:t>
      </w:r>
      <w:r>
        <w:tab/>
      </w:r>
      <w:r>
        <w:t>Audience</w:t>
      </w:r>
    </w:p>
    <w:p>
      <w:pPr>
        <w:pStyle w:val="toc2"/>
      </w:pPr>
      <w:r>
        <w:t>1.4</w:t>
      </w:r>
      <w:r>
        <w:tab/>
      </w:r>
      <w:r>
        <w:t>Normative language</w:t>
      </w:r>
    </w:p>
    <w:p>
      <w:pPr>
        <w:pStyle w:val="toc2"/>
      </w:pPr>
      <w:r>
        <w:t>1.5</w:t>
      </w:r>
      <w:r>
        <w:tab/>
      </w:r>
      <w:r>
        <w:t>Definitions and abbreviations</w:t>
      </w:r>
    </w:p>
    <w:p>
      <w:pPr>
        <w:pStyle w:val="toc2"/>
      </w:pPr>
      <w:r>
        <w:t>1.6</w:t>
      </w:r>
      <w:r>
        <w:tab/>
      </w:r>
      <w:r>
        <w:t>References</w:t>
      </w:r>
    </w:p>
    <w:p>
      <w:pPr>
        <w:pStyle w:val="toc1"/>
      </w:pPr>
      <w:r>
        <w:t>2</w:t>
      </w:r>
      <w:r>
        <w:tab/>
      </w:r>
      <w:r>
        <w:t>Architectural Principles</w:t>
      </w:r>
    </w:p>
    <w:p>
      <w:pPr>
        <w:pStyle w:val="toc2"/>
      </w:pPr>
      <w:r>
        <w:t>2.1</w:t>
      </w:r>
      <w:r>
        <w:tab/>
      </w:r>
      <w:r>
        <w:t>Central API entry point</w:t>
      </w:r>
    </w:p>
    <w:p>
      <w:pPr>
        <w:pStyle w:val="toc2"/>
      </w:pPr>
      <w:r>
        <w:t>2.2</w:t>
      </w:r>
      <w:r>
        <w:tab/>
      </w:r>
      <w:r>
        <w:t>Infrastructure, not business logic</w:t>
      </w:r>
    </w:p>
    <w:p>
      <w:pPr>
        <w:pStyle w:val="toc2"/>
      </w:pPr>
      <w:r>
        <w:t>2.3</w:t>
      </w:r>
      <w:r>
        <w:tab/>
      </w:r>
      <w:r>
        <w:t>Ownership</w:t>
      </w:r>
    </w:p>
    <w:p>
      <w:pPr>
        <w:pStyle w:val="toc2"/>
      </w:pPr>
      <w:r>
        <w:t>2.4</w:t>
      </w:r>
      <w:r>
        <w:tab/>
      </w:r>
      <w:r>
        <w:t>Self-service with guardrails</w:t>
      </w:r>
    </w:p>
    <w:p>
      <w:pPr>
        <w:pStyle w:val="toc2"/>
      </w:pPr>
      <w:r>
        <w:t>2.5</w:t>
      </w:r>
      <w:r>
        <w:tab/>
      </w:r>
      <w:r>
        <w:t>Summary of principles</w:t>
      </w:r>
    </w:p>
    <w:p>
      <w:pPr>
        <w:pStyle w:val="toc1"/>
      </w:pPr>
      <w:r>
        <w:t>3</w:t>
      </w:r>
      <w:r>
        <w:tab/>
      </w:r>
      <w:r>
        <w:t>Roles and Responsibilities</w:t>
      </w:r>
    </w:p>
    <w:p>
      <w:pPr>
        <w:pStyle w:val="toc2"/>
      </w:pPr>
      <w:r>
        <w:t>3.1</w:t>
      </w:r>
      <w:r>
        <w:tab/>
      </w:r>
      <w:r>
        <w:t>Roles</w:t>
      </w:r>
    </w:p>
    <w:p>
      <w:pPr>
        <w:pStyle w:val="toc2"/>
      </w:pPr>
      <w:r>
        <w:t>3.2</w:t>
      </w:r>
      <w:r>
        <w:tab/>
      </w:r>
      <w:r>
        <w:t>Responsibility matrix</w:t>
      </w:r>
    </w:p>
    <w:p>
      <w:pPr>
        <w:pStyle w:val="toc1"/>
      </w:pPr>
      <w:r>
        <w:t>4</w:t>
      </w:r>
      <w:r>
        <w:tab/>
      </w:r>
      <w:r>
        <w:t>Identity, Authentication and Authorization</w:t>
      </w:r>
    </w:p>
    <w:p>
      <w:pPr>
        <w:pStyle w:val="toc2"/>
      </w:pPr>
      <w:r>
        <w:t>4.1</w:t>
      </w:r>
      <w:r>
        <w:tab/>
      </w:r>
      <w:r>
        <w:t>Consumer categories</w:t>
      </w:r>
    </w:p>
    <w:p>
      <w:pPr>
        <w:pStyle w:val="toc2"/>
      </w:pPr>
      <w:r>
        <w:t>4.2</w:t>
      </w:r>
      <w:r>
        <w:tab/>
      </w:r>
      <w:r>
        <w:t>C2B authentication</w:t>
      </w:r>
    </w:p>
    <w:p>
      <w:pPr>
        <w:pStyle w:val="toc2"/>
      </w:pPr>
      <w:r>
        <w:t>4.3</w:t>
      </w:r>
      <w:r>
        <w:tab/>
      </w:r>
      <w:r>
        <w:t>B2B authentication</w:t>
      </w:r>
    </w:p>
    <w:p>
      <w:pPr>
        <w:pStyle w:val="toc2"/>
      </w:pPr>
      <w:r>
        <w:t>4.4</w:t>
      </w:r>
      <w:r>
        <w:tab/>
      </w:r>
      <w:r>
        <w:t>Authorization</w:t>
      </w:r>
    </w:p>
    <w:p>
      <w:pPr>
        <w:pStyle w:val="toc1"/>
      </w:pPr>
      <w:r>
        <w:t>5</w:t>
      </w:r>
      <w:r>
        <w:tab/>
      </w:r>
      <w:r>
        <w:t>Traffic Management</w:t>
      </w:r>
    </w:p>
    <w:p>
      <w:pPr>
        <w:pStyle w:val="toc2"/>
      </w:pPr>
      <w:r>
        <w:t>5.1</w:t>
      </w:r>
      <w:r>
        <w:tab/>
      </w:r>
      <w:r>
        <w:t>Routing</w:t>
      </w:r>
    </w:p>
    <w:p>
      <w:pPr>
        <w:pStyle w:val="toc2"/>
      </w:pPr>
      <w:r>
        <w:t>5.2</w:t>
      </w:r>
      <w:r>
        <w:tab/>
      </w:r>
      <w:r>
        <w:t>Version routing</w:t>
      </w:r>
    </w:p>
    <w:p>
      <w:pPr>
        <w:pStyle w:val="toc2"/>
      </w:pPr>
      <w:r>
        <w:t>5.3</w:t>
      </w:r>
      <w:r>
        <w:tab/>
      </w:r>
      <w:r>
        <w:t>Load balancing boundary</w:t>
      </w:r>
    </w:p>
    <w:p>
      <w:pPr>
        <w:pStyle w:val="toc2"/>
      </w:pPr>
      <w:r>
        <w:t>5.4</w:t>
      </w:r>
      <w:r>
        <w:tab/>
      </w:r>
      <w:r>
        <w:t>Health checks</w:t>
      </w:r>
    </w:p>
    <w:p>
      <w:pPr>
        <w:pStyle w:val="toc2"/>
      </w:pPr>
      <w:r>
        <w:t>5.5</w:t>
      </w:r>
      <w:r>
        <w:tab/>
      </w:r>
      <w:r>
        <w:t>Timeouts</w:t>
      </w:r>
    </w:p>
    <w:p>
      <w:pPr>
        <w:pStyle w:val="toc2"/>
      </w:pPr>
      <w:r>
        <w:t>5.6</w:t>
      </w:r>
      <w:r>
        <w:tab/>
      </w:r>
      <w:r>
        <w:t>Retry policy</w:t>
      </w:r>
    </w:p>
    <w:p>
      <w:pPr>
        <w:pStyle w:val="toc2"/>
      </w:pPr>
      <w:r>
        <w:t>5.7</w:t>
      </w:r>
      <w:r>
        <w:tab/>
      </w:r>
      <w:r>
        <w:t>Rate limiting</w:t>
      </w:r>
    </w:p>
    <w:p>
      <w:pPr>
        <w:pStyle w:val="toc1"/>
      </w:pPr>
      <w:r>
        <w:t>6</w:t>
      </w:r>
      <w:r>
        <w:tab/>
      </w:r>
      <w:r>
        <w:t>API Policy Capabilities</w:t>
      </w:r>
    </w:p>
    <w:p>
      <w:pPr>
        <w:pStyle w:val="toc2"/>
      </w:pPr>
      <w:r>
        <w:t>6.1</w:t>
      </w:r>
      <w:r>
        <w:tab/>
      </w:r>
      <w:r>
        <w:t>Transformation</w:t>
      </w:r>
    </w:p>
    <w:p>
      <w:pPr>
        <w:pStyle w:val="toc2"/>
      </w:pPr>
      <w:r>
        <w:t>6.2</w:t>
      </w:r>
      <w:r>
        <w:tab/>
      </w:r>
      <w:r>
        <w:t>Caching</w:t>
      </w:r>
    </w:p>
    <w:p>
      <w:pPr>
        <w:pStyle w:val="toc2"/>
      </w:pPr>
      <w:r>
        <w:t>6.3</w:t>
      </w:r>
      <w:r>
        <w:tab/>
      </w:r>
      <w:r>
        <w:t>Schema validation</w:t>
      </w:r>
    </w:p>
    <w:p>
      <w:pPr>
        <w:pStyle w:val="toc1"/>
      </w:pPr>
      <w:r>
        <w:t>7</w:t>
      </w:r>
      <w:r>
        <w:tab/>
      </w:r>
      <w:r>
        <w:t>API Contract, Lifecycle and Developer Portal</w:t>
      </w:r>
    </w:p>
    <w:p>
      <w:pPr>
        <w:pStyle w:val="toc2"/>
      </w:pPr>
      <w:r>
        <w:t>7.1</w:t>
      </w:r>
      <w:r>
        <w:tab/>
      </w:r>
      <w:r>
        <w:t>API contract</w:t>
      </w:r>
    </w:p>
    <w:p>
      <w:pPr>
        <w:pStyle w:val="toc2"/>
      </w:pPr>
      <w:r>
        <w:t>7.2</w:t>
      </w:r>
      <w:r>
        <w:tab/>
      </w:r>
      <w:r>
        <w:t>API lifecycle</w:t>
      </w:r>
    </w:p>
    <w:p>
      <w:pPr>
        <w:pStyle w:val="toc2"/>
      </w:pPr>
      <w:r>
        <w:t>7.3</w:t>
      </w:r>
      <w:r>
        <w:tab/>
      </w:r>
      <w:r>
        <w:t>Deprecation</w:t>
      </w:r>
    </w:p>
    <w:p>
      <w:pPr>
        <w:pStyle w:val="toc2"/>
      </w:pPr>
      <w:r>
        <w:t>7.4</w:t>
      </w:r>
      <w:r>
        <w:tab/>
      </w:r>
      <w:r>
        <w:t>Consumer lifecycle</w:t>
      </w:r>
    </w:p>
    <w:p>
      <w:pPr>
        <w:pStyle w:val="toc2"/>
      </w:pPr>
      <w:r>
        <w:t>7.5</w:t>
      </w:r>
      <w:r>
        <w:tab/>
      </w:r>
      <w:r>
        <w:t>Developer Portal</w:t>
      </w:r>
    </w:p>
    <w:p>
      <w:pPr>
        <w:pStyle w:val="toc1"/>
      </w:pPr>
      <w:r>
        <w:t>8</w:t>
      </w:r>
      <w:r>
        <w:tab/>
      </w:r>
      <w:r>
        <w:t>Configuration Management</w:t>
      </w:r>
    </w:p>
    <w:p>
      <w:pPr>
        <w:pStyle w:val="toc2"/>
      </w:pPr>
      <w:r>
        <w:t>8.1</w:t>
      </w:r>
      <w:r>
        <w:tab/>
      </w:r>
      <w:r>
        <w:t>Git as the source of truth</w:t>
      </w:r>
    </w:p>
    <w:p>
      <w:pPr>
        <w:pStyle w:val="toc2"/>
      </w:pPr>
      <w:r>
        <w:t>8.2</w:t>
      </w:r>
      <w:r>
        <w:tab/>
      </w:r>
      <w:r>
        <w:t>GitOps</w:t>
      </w:r>
    </w:p>
    <w:p>
      <w:pPr>
        <w:pStyle w:val="toc2"/>
      </w:pPr>
      <w:r>
        <w:t>8.3</w:t>
      </w:r>
      <w:r>
        <w:tab/>
      </w:r>
      <w:r>
        <w:t>Secrets</w:t>
      </w:r>
    </w:p>
    <w:p>
      <w:pPr>
        <w:pStyle w:val="toc1"/>
      </w:pPr>
      <w:r>
        <w:t>9</w:t>
      </w:r>
      <w:r>
        <w:tab/>
      </w:r>
      <w:r>
        <w:t>Observability and Audit</w:t>
      </w:r>
    </w:p>
    <w:p>
      <w:pPr>
        <w:pStyle w:val="toc2"/>
      </w:pPr>
      <w:r>
        <w:t>9.1</w:t>
      </w:r>
      <w:r>
        <w:tab/>
      </w:r>
      <w:r>
        <w:t>Runtime logging</w:t>
      </w:r>
    </w:p>
    <w:p>
      <w:pPr>
        <w:pStyle w:val="toc2"/>
      </w:pPr>
      <w:r>
        <w:t>9.2</w:t>
      </w:r>
      <w:r>
        <w:tab/>
      </w:r>
      <w:r>
        <w:t>Metrics</w:t>
      </w:r>
    </w:p>
    <w:p>
      <w:pPr>
        <w:pStyle w:val="toc2"/>
      </w:pPr>
      <w:r>
        <w:t>9.3</w:t>
      </w:r>
      <w:r>
        <w:tab/>
      </w:r>
      <w:r>
        <w:t>Audit</w:t>
      </w:r>
    </w:p>
    <w:p>
      <w:pPr>
        <w:pStyle w:val="toc1"/>
      </w:pPr>
      <w:r>
        <w:t>10</w:t>
      </w:r>
      <w:r>
        <w:tab/>
      </w:r>
      <w:r>
        <w:t>Availability and Deployment Architecture</w:t>
      </w:r>
    </w:p>
    <w:p>
      <w:pPr>
        <w:pStyle w:val="toc2"/>
      </w:pPr>
      <w:r>
        <w:t>10.1</w:t>
      </w:r>
      <w:r>
        <w:tab/>
      </w:r>
      <w:r>
        <w:t>Availability</w:t>
      </w:r>
    </w:p>
    <w:p>
      <w:pPr>
        <w:pStyle w:val="toc2"/>
      </w:pPr>
      <w:r>
        <w:t>10.2</w:t>
      </w:r>
      <w:r>
        <w:tab/>
      </w:r>
      <w:r>
        <w:t>Controlled reset</w:t>
      </w:r>
    </w:p>
    <w:p>
      <w:pPr>
        <w:pStyle w:val="toc2"/>
      </w:pPr>
      <w:r>
        <w:t>10.3</w:t>
      </w:r>
      <w:r>
        <w:tab/>
      </w:r>
      <w:r>
        <w:t>Distributed deployment</w:t>
      </w:r>
    </w:p>
    <w:p>
      <w:pPr>
        <w:pStyle w:val="toc2"/>
      </w:pPr>
      <w:r>
        <w:t>10.4</w:t>
      </w:r>
      <w:r>
        <w:tab/>
      </w:r>
      <w:r>
        <w:t>Centralized management and distributed runtime</w:t>
      </w:r>
    </w:p>
    <w:p>
      <w:pPr>
        <w:pStyle w:val="toc1"/>
      </w:pPr>
      <w:r>
        <w:t>11</w:t>
      </w:r>
      <w:r>
        <w:tab/>
      </w:r>
      <w:r>
        <w:t>Governance and Exceptions</w:t>
      </w:r>
    </w:p>
    <w:p>
      <w:pPr>
        <w:pStyle w:val="toc2"/>
      </w:pPr>
      <w:r>
        <w:t>11.1</w:t>
      </w:r>
      <w:r>
        <w:tab/>
      </w:r>
      <w:r>
        <w:t>Governance model</w:t>
      </w:r>
    </w:p>
    <w:p>
      <w:pPr>
        <w:pStyle w:val="toc2"/>
      </w:pPr>
      <w:r>
        <w:t>11.2</w:t>
      </w:r>
      <w:r>
        <w:tab/>
      </w:r>
      <w:r>
        <w:t>Mandatory guardrails</w:t>
      </w:r>
    </w:p>
    <w:p>
      <w:pPr>
        <w:pStyle w:val="toc2"/>
      </w:pPr>
      <w:r>
        <w:t>11.3</w:t>
      </w:r>
      <w:r>
        <w:tab/>
      </w:r>
      <w:r>
        <w:t>Standards</w:t>
      </w:r>
    </w:p>
    <w:p>
      <w:pPr>
        <w:pStyle w:val="toc2"/>
      </w:pPr>
      <w:r>
        <w:t>11.4</w:t>
      </w:r>
      <w:r>
        <w:tab/>
      </w:r>
      <w:r>
        <w:t>Guidelines</w:t>
      </w:r>
    </w:p>
    <w:p>
      <w:pPr>
        <w:pStyle w:val="toc2"/>
      </w:pPr>
      <w:r>
        <w:t>11.5</w:t>
      </w:r>
      <w:r>
        <w:tab/>
      </w:r>
      <w:r>
        <w:t>Organizational governance</w:t>
      </w:r>
    </w:p>
    <w:p>
      <w:pPr>
        <w:pStyle w:val="toc2"/>
      </w:pPr>
      <w:r>
        <w:t>11.6</w:t>
      </w:r>
      <w:r>
        <w:tab/>
      </w:r>
      <w:r>
        <w:t>Exceptions</w:t>
      </w:r>
    </w:p>
    <w:p>
      <w:pPr>
        <w:pStyle w:val="toc1"/>
      </w:pPr>
      <w:r>
        <w:t>12</w:t>
      </w:r>
      <w:r>
        <w:tab/>
      </w:r>
      <w:r>
        <w:t>Platform Boundaries</w:t>
      </w:r>
    </w:p>
    <w:p>
      <w:pPr>
        <w:pStyle w:val="toc2"/>
      </w:pPr>
      <w:r>
        <w:t>12.1</w:t>
      </w:r>
      <w:r>
        <w:tab/>
      </w:r>
      <w:r>
        <w:t>Boundary overview</w:t>
      </w:r>
    </w:p>
    <w:p>
      <w:pPr>
        <w:pStyle w:val="toc2"/>
      </w:pPr>
      <w:r>
        <w:t>12.2</w:t>
      </w:r>
      <w:r>
        <w:tab/>
      </w:r>
      <w:r>
        <w:t>Gateway and WAF</w:t>
      </w:r>
    </w:p>
    <w:p>
      <w:pPr>
        <w:pStyle w:val="toc2"/>
      </w:pPr>
      <w:r>
        <w:t>12.3</w:t>
      </w:r>
      <w:r>
        <w:tab/>
      </w:r>
      <w:r>
        <w:t>Gateway and Load Balancer</w:t>
      </w:r>
    </w:p>
    <w:p>
      <w:pPr>
        <w:pStyle w:val="toc2"/>
      </w:pPr>
      <w:r>
        <w:t>12.4</w:t>
      </w:r>
      <w:r>
        <w:tab/>
      </w:r>
      <w:r>
        <w:t>Gateway and Identity Provider</w:t>
      </w:r>
    </w:p>
    <w:p>
      <w:pPr>
        <w:pStyle w:val="toc2"/>
      </w:pPr>
      <w:r>
        <w:t>12.5</w:t>
      </w:r>
      <w:r>
        <w:tab/>
      </w:r>
      <w:r>
        <w:t>Gateway and application</w:t>
      </w:r>
    </w:p>
    <w:p>
      <w:pPr>
        <w:pStyle w:val="toc1"/>
      </w:pPr>
      <w:r>
        <w:t>13</w:t>
      </w:r>
      <w:r>
        <w:tab/>
      </w:r>
      <w:r>
        <w:t>Vendor Neutrality</w:t>
      </w:r>
    </w:p>
    <w:p>
      <w:pPr>
        <w:pStyle w:val="toc2"/>
      </w:pPr>
      <w:r>
        <w:t>13.1</w:t>
      </w:r>
      <w:r>
        <w:tab/>
      </w:r>
      <w:r>
        <w:t>Principle</w:t>
      </w:r>
    </w:p>
    <w:p>
      <w:pPr>
        <w:pStyle w:val="toc2"/>
      </w:pPr>
      <w:r>
        <w:t>13.2</w:t>
      </w:r>
      <w:r>
        <w:tab/>
      </w:r>
      <w:r>
        <w:t>Vendor-specific capabilities</w:t>
      </w:r>
    </w:p>
    <w:p>
      <w:pPr>
        <w:pStyle w:val="toc1"/>
      </w:pPr>
      <w:r>
        <w:t>Appendix A — Capability Summary and Requirements Register</w:t>
      </w:r>
    </w:p>
    <w:p>
      <w:pPr>
        <w:pStyle w:val="toc2"/>
      </w:pPr>
      <w:r>
        <w:t>A.1</w:t>
      </w:r>
      <w:r>
        <w:tab/>
      </w:r>
      <w:r>
        <w:t>Capability summary</w:t>
      </w:r>
    </w:p>
    <w:p>
      <w:pPr>
        <w:pStyle w:val="toc2"/>
      </w:pPr>
      <w:r>
        <w:t>A.2</w:t>
      </w:r>
      <w:r>
        <w:tab/>
      </w:r>
      <w:r>
        <w:t>Requirements register</w:t>
      </w:r>
    </w:p>
    <w:p>
      <w:pPr>
        <w:pStyle w:val="toc1"/>
      </w:pPr>
      <w:r>
        <w:t>Appendix B — Operating Model</w:t>
      </w:r>
    </w:p>
    <w:p>
      <w:pPr>
        <w:pStyle w:val="toc1"/>
      </w:pPr>
      <w:r>
        <w:t>Appendix C — Open Issues and Decisions Pending</w:t>
      </w:r>
      <w:r>
        <w:fldChar w:fldCharType="end"/>
      </w:r>
    </w:p>
    <w:p>
      <w:pPr>
        <w:pStyle w:val="FrontSubheading"/>
        <w:pageBreakBefore/>
      </w:pPr>
      <w:r>
        <w:t>List of Figures</w:t>
      </w:r>
    </w:p>
    <w:p>
      <w:pPr>
        <w:pStyle w:val="tableoffigures"/>
      </w:pPr>
      <w:r>
        <w:fldChar w:fldCharType="begin"/>
      </w:r>
      <w:r>
        <w:instrText xml:space="preserve"> TOC \h \z \c "Figure" </w:instrText>
      </w:r>
      <w:r>
        <w:fldChar w:fldCharType="separate"/>
      </w:r>
      <w:r>
        <w:t>Figure 1 — C2B authentication and access flow</w:t>
      </w:r>
    </w:p>
    <w:p>
      <w:pPr>
        <w:pStyle w:val="tableoffigures"/>
      </w:pPr>
      <w:r>
        <w:t>Figure 2 — B2B authentication and access flow</w:t>
      </w:r>
    </w:p>
    <w:p>
      <w:pPr>
        <w:pStyle w:val="tableoffigures"/>
      </w:pPr>
      <w:r>
        <w:t>Figure 3 — API lifecycle</w:t>
      </w:r>
    </w:p>
    <w:p>
      <w:pPr>
        <w:pStyle w:val="tableoffigures"/>
      </w:pPr>
      <w:r>
        <w:t>Figure 4 — Configuration change flow</w:t>
      </w:r>
    </w:p>
    <w:p>
      <w:pPr>
        <w:pStyle w:val="tableoffigures"/>
      </w:pPr>
      <w:r>
        <w:t>Figure 5 — Centralized management with distributed Data Planes</w:t>
      </w:r>
    </w:p>
    <w:p>
      <w:pPr>
        <w:pStyle w:val="tableoffigures"/>
      </w:pPr>
      <w:r>
        <w:t>Figure 6 — API Gateway operating model</w:t>
      </w:r>
      <w:r>
        <w:fldChar w:fldCharType="end"/>
      </w:r>
    </w:p>
    <w:p>
      <w:pPr>
        <w:pStyle w:val="FrontSubheading"/>
      </w:pPr>
      <w:r>
        <w:t>List of Tables</w:t>
      </w:r>
    </w:p>
    <w:p>
      <w:pPr>
        <w:pStyle w:val="tableoffigures"/>
      </w:pPr>
      <w:r>
        <w:fldChar w:fldCharType="begin"/>
      </w:r>
      <w:r>
        <w:instrText xml:space="preserve"> TOC \h \z \c "Table" </w:instrText>
      </w:r>
      <w:r>
        <w:fldChar w:fldCharType="separate"/>
      </w:r>
      <w:r>
        <w:t>Table 1 — Requirement levels</w:t>
      </w:r>
    </w:p>
    <w:p>
      <w:pPr>
        <w:pStyle w:val="tableoffigures"/>
      </w:pPr>
      <w:r>
        <w:t>Table 2 — Definitions and abbreviations</w:t>
      </w:r>
    </w:p>
    <w:p>
      <w:pPr>
        <w:pStyle w:val="tableoffigures"/>
      </w:pPr>
      <w:r>
        <w:t>Table 3 — Summary of architectural principles</w:t>
      </w:r>
    </w:p>
    <w:p>
      <w:pPr>
        <w:pStyle w:val="tableoffigures"/>
      </w:pPr>
      <w:r>
        <w:t>Table 4 — Roles</w:t>
      </w:r>
    </w:p>
    <w:p>
      <w:pPr>
        <w:pStyle w:val="tableoffigures"/>
      </w:pPr>
      <w:r>
        <w:t>Table 5 — Responsibility matrix</w:t>
      </w:r>
    </w:p>
    <w:p>
      <w:pPr>
        <w:pStyle w:val="tableoffigures"/>
      </w:pPr>
      <w:r>
        <w:t>Table 6 — Consumer categories</w:t>
      </w:r>
    </w:p>
    <w:p>
      <w:pPr>
        <w:pStyle w:val="tableoffigures"/>
      </w:pPr>
      <w:r>
        <w:t>Table 7 — Example of operation-level authorization</w:t>
      </w:r>
    </w:p>
    <w:p>
      <w:pPr>
        <w:pStyle w:val="tableoffigures"/>
      </w:pPr>
      <w:r>
        <w:t>Table 8 — Division of authorization decisions</w:t>
      </w:r>
    </w:p>
    <w:p>
      <w:pPr>
        <w:pStyle w:val="tableoffigures"/>
      </w:pPr>
      <w:r>
        <w:t>Table 9 — Example of version routing</w:t>
      </w:r>
    </w:p>
    <w:p>
      <w:pPr>
        <w:pStyle w:val="tableoffigures"/>
      </w:pPr>
      <w:r>
        <w:t>Table 10 — Division of responsibilities between the Gateway and load balancing</w:t>
      </w:r>
    </w:p>
    <w:p>
      <w:pPr>
        <w:pStyle w:val="tableoffigures"/>
      </w:pPr>
      <w:r>
        <w:t>Table 11 — Example of per-API rate limits for one consumer</w:t>
      </w:r>
    </w:p>
    <w:p>
      <w:pPr>
        <w:pStyle w:val="tableoffigures"/>
      </w:pPr>
      <w:r>
        <w:t>Table 12 — Technical validation versus business validation</w:t>
      </w:r>
    </w:p>
    <w:p>
      <w:pPr>
        <w:pStyle w:val="tableoffigures"/>
      </w:pPr>
      <w:r>
        <w:t>Table 13 — Sources of audit evidence</w:t>
      </w:r>
    </w:p>
    <w:p>
      <w:pPr>
        <w:pStyle w:val="tableoffigures"/>
      </w:pPr>
      <w:r>
        <w:t>Table 14 — Governance mechanisms</w:t>
      </w:r>
    </w:p>
    <w:p>
      <w:pPr>
        <w:pStyle w:val="tableoffigures"/>
      </w:pPr>
      <w:r>
        <w:t>Table 15 — Boundaries between the Gateway and adjacent components</w:t>
      </w:r>
    </w:p>
    <w:p>
      <w:pPr>
        <w:pStyle w:val="tableoffigures"/>
      </w:pPr>
      <w:r>
        <w:t>Table 16 — Capability summary</w:t>
      </w:r>
    </w:p>
    <w:p>
      <w:pPr>
        <w:pStyle w:val="tableoffigures"/>
      </w:pPr>
      <w:r>
        <w:t>Table 17 — Requirements by chapter and level</w:t>
      </w:r>
    </w:p>
    <w:p>
      <w:pPr>
        <w:pStyle w:val="tableoffigures"/>
      </w:pPr>
      <w:r>
        <w:t>Table 18 — Requirements register</w:t>
      </w:r>
    </w:p>
    <w:p>
      <w:pPr>
        <w:pStyle w:val="tableoffigures"/>
      </w:pPr>
      <w:r>
        <w:t>Table 19 — Open issues</w:t>
      </w:r>
      <w:r>
        <w:fldChar w:fldCharType="end"/>
      </w:r>
    </w:p>
    <w:p>
      <w:pPr>
        <w:sectPr>
          <w:headerReference w:type="default" r:id="rId15"/>
          <w:footerReference w:type="default" r:id="rId16"/>
          <w:pgSz w:w="11906" w:h="16838"/>
          <w:pgMar w:top="1417" w:right="1417" w:bottom="1304" w:left="1417" w:header="680" w:footer="624" w:gutter="0"/>
          <w:pgNumType w:fmt="lowerRoman" w:start="1"/>
          <w:cols w:space="720"/>
          <w:titlePg/>
          <w:docGrid w:linePitch="360"/>
        </w:sectPr>
      </w:pPr>
    </w:p>
    <w:p>
      <w:pPr>
        <w:pStyle w:val="Heading1"/>
        <w:spacing w:before="0"/>
      </w:pPr>
      <w:r>
        <w:t>1</w:t>
        <w:tab/>
        <w:t>Introduction</w:t>
      </w:r>
    </w:p>
    <w:p>
      <w:pPr>
        <w:pStyle w:val="Heading2"/>
      </w:pPr>
      <w:r>
        <w:t>1.1</w:t>
        <w:tab/>
        <w:t>Purpose</w:t>
      </w:r>
    </w:p>
    <w:p>
      <w:r>
        <w:t xml:space="preserve">This document defines the enterprise architecture, operating model, responsibilities and required capabilities of the API Gateway platform of </w:t>
      </w:r>
      <w:r>
        <w:rPr>
          <w:highlight w:val="yellow"/>
        </w:rPr>
        <w:t>[Organization Name]</w:t>
      </w:r>
      <w:r>
        <w:t>. It is the normative reference for the design and operation of the platform, for application teams that expose APIs through it, and for governance, security and audit stakeholders.</w:t>
      </w:r>
    </w:p>
    <w:p>
      <w:r>
        <w:t>The API Gateway is an enterprise infrastructure layer positioned between API consumers and backend services. Its purpose is to provide a consistent, secure, observable and governed entry point for web traffic, while allowing application teams to manage their APIs independently within organizational guardrails.</w:t>
      </w:r>
    </w:p>
    <w:p>
      <w:r>
        <w:t xml:space="preserve">The API Gateway is </w:t>
      </w:r>
      <w:r>
        <w:rPr>
          <w:b/>
        </w:rPr>
        <w:t>not</w:t>
      </w:r>
      <w:r>
        <w:t xml:space="preserve"> a business-logic layer. The core principle of this document is:</w:t>
      </w:r>
    </w:p>
    <w:p>
      <w:pPr>
        <w:pStyle w:val="Note"/>
      </w:pPr>
      <w:r>
        <w:rPr>
          <w:b/>
        </w:rPr>
        <w:t>Application teams own their APIs and business policies. The infrastructure team owns the platform, its capabilities, and the technical guardrails around it.</w:t>
      </w:r>
    </w:p>
    <w:p>
      <w:pPr>
        <w:pStyle w:val="Heading2"/>
      </w:pPr>
      <w:r>
        <w:t>1.2</w:t>
        <w:tab/>
        <w:t>Scope</w:t>
      </w:r>
    </w:p>
    <w:p>
      <w:r>
        <w:t>This document applies to the handling of web traffic to backend services through the API Gateway. The scope is intentionally expressed as web traffic, rather than by a fixed list of protocols, so that the architecture is not unnecessarily coupled to a specific application protocol.</w:t>
      </w:r>
    </w:p>
    <w:p>
      <w:pPr>
        <w:pStyle w:val="Requirement"/>
        <w:keepNext w:val="0"/>
      </w:pPr>
      <w:r>
        <w:rPr>
          <w:b/>
          <w:color w:val="1F3864"/>
          <w:sz w:val="19"/>
        </w:rPr>
        <w:t>GW-INT-001</w:t>
      </w:r>
      <w:r>
        <w:tab/>
      </w:r>
      <w:r>
        <w:t xml:space="preserve">The Platform </w:t>
      </w:r>
      <w:r>
        <w:rPr>
          <w:b/>
        </w:rPr>
        <w:t>shall</w:t>
      </w:r>
      <w:r>
        <w:t xml:space="preserve"> support the exposure and management of web-based API traffic.</w:t>
      </w:r>
    </w:p>
    <w:p>
      <w:pPr>
        <w:pStyle w:val="Requirement"/>
        <w:keepNext w:val="0"/>
      </w:pPr>
      <w:r>
        <w:rPr>
          <w:b/>
          <w:color w:val="1F3864"/>
          <w:sz w:val="19"/>
        </w:rPr>
        <w:t>GW-INT-002</w:t>
      </w:r>
      <w:r>
        <w:tab/>
      </w:r>
      <w:r>
        <w:t xml:space="preserve">The Platform architecture </w:t>
      </w:r>
      <w:r>
        <w:rPr>
          <w:b/>
        </w:rPr>
        <w:t>should</w:t>
      </w:r>
      <w:r>
        <w:t xml:space="preserve"> remain independent of any specific application protocol.</w:t>
      </w:r>
    </w:p>
    <w:p>
      <w:pPr>
        <w:pStyle w:val="Requirement"/>
        <w:keepNext w:val="0"/>
      </w:pPr>
      <w:r>
        <w:rPr>
          <w:b/>
          <w:color w:val="1F3864"/>
          <w:sz w:val="19"/>
        </w:rPr>
        <w:t>GW-INT-003</w:t>
      </w:r>
      <w:r>
        <w:tab/>
      </w:r>
      <w:r>
        <w:t xml:space="preserve">The Platform </w:t>
      </w:r>
      <w:r>
        <w:rPr>
          <w:b/>
        </w:rPr>
        <w:t>should</w:t>
      </w:r>
      <w:r>
        <w:t xml:space="preserve"> be capable of supporting HTTP/HTTPS, GraphQL, gRPC and MCP APIs, and other web-based API technologies.</w:t>
      </w:r>
    </w:p>
    <w:p>
      <w:r>
        <w:t>SOAP is outside the scope of this document.</w:t>
      </w:r>
    </w:p>
    <w:p>
      <w:r>
        <w:t>The following are within the scope of this document:</w:t>
      </w:r>
    </w:p>
    <w:p>
      <w:pPr>
        <w:pStyle w:val="ListBullet"/>
        <w:keepNext w:val="0"/>
        <w:spacing w:after="60"/>
        <w:ind w:left="510" w:hanging="283"/>
      </w:pPr>
      <w:r>
        <w:t>WebSocket and streaming traffic.</w:t>
      </w:r>
    </w:p>
    <w:p>
      <w:pPr>
        <w:pStyle w:val="ListBullet"/>
        <w:keepNext w:val="0"/>
        <w:spacing w:after="60"/>
        <w:ind w:left="510" w:hanging="283"/>
      </w:pPr>
      <w:r>
        <w:t>Service-to-service (east-west) traffic.</w:t>
      </w:r>
    </w:p>
    <w:p>
      <w:pPr>
        <w:pStyle w:val="ListBullet"/>
        <w:keepNext w:val="0"/>
        <w:spacing w:after="60"/>
        <w:ind w:left="510" w:hanging="283"/>
      </w:pPr>
      <w:r>
        <w:t>Multi-tenant use of the Platform.</w:t>
      </w:r>
    </w:p>
    <w:p>
      <w:pPr>
        <w:pStyle w:val="ListBullet"/>
        <w:keepNext w:val="0"/>
        <w:spacing w:after="60"/>
        <w:ind w:left="510" w:hanging="283"/>
      </w:pPr>
      <w:r>
        <w:t>Non-production environments.</w:t>
      </w:r>
    </w:p>
    <w:p>
      <w:r>
        <w:t>The following adjacent systems are outside the scope of this document, except for the boundaries defined in Chapter 12: the Web Application Firewall (WAF), the organization's Load Balancer, the Identity Provider, the secrets-management solution, and the business logic of individual applications.</w:t>
      </w:r>
    </w:p>
    <w:p>
      <w:pPr>
        <w:pStyle w:val="Heading2"/>
      </w:pPr>
      <w:r>
        <w:t>1.3</w:t>
        <w:tab/>
        <w:t>Audience</w:t>
      </w:r>
    </w:p>
    <w:p>
      <w:pPr>
        <w:pStyle w:val="ListBullet"/>
        <w:keepNext w:val="0"/>
        <w:spacing w:after="60"/>
        <w:ind w:left="510" w:hanging="283"/>
      </w:pPr>
      <w:r>
        <w:t>The Infrastructure Team, which owns and operates the Platform.</w:t>
      </w:r>
    </w:p>
    <w:p>
      <w:pPr>
        <w:pStyle w:val="ListBullet"/>
        <w:keepNext w:val="0"/>
        <w:spacing w:after="60"/>
        <w:ind w:left="510" w:hanging="283"/>
      </w:pPr>
      <w:r>
        <w:t>Application Teams that design, expose and operate APIs through the Gateway.</w:t>
      </w:r>
    </w:p>
    <w:p>
      <w:pPr>
        <w:pStyle w:val="ListBullet"/>
        <w:keepNext w:val="0"/>
        <w:spacing w:after="60"/>
        <w:ind w:left="510" w:hanging="283"/>
      </w:pPr>
      <w:r>
        <w:t>Information security, risk and audit stakeholders.</w:t>
      </w:r>
    </w:p>
    <w:p>
      <w:pPr>
        <w:pStyle w:val="ListBullet"/>
        <w:keepNext w:val="0"/>
        <w:spacing w:after="60"/>
        <w:ind w:left="510" w:hanging="283"/>
      </w:pPr>
      <w:r>
        <w:t>Enterprise architecture and governance bodies.</w:t>
      </w:r>
    </w:p>
    <w:p>
      <w:pPr>
        <w:pStyle w:val="Heading2"/>
      </w:pPr>
      <w:r>
        <w:t>1.4</w:t>
        <w:tab/>
        <w:t>Normative language</w:t>
      </w:r>
    </w:p>
    <w:p>
      <w:r>
        <w:t>The key words below are used to indicate requirement levels. They are written in bold where they appear in a numbered requirement.</w:t>
      </w:r>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Requirement levels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1701"/>
        <w:gridCol w:w="4989"/>
      </w:tblGrid>
      <w:tr>
        <w:trPr>
          <w:cantSplit/>
          <w:tblHeader/>
        </w:trPr>
        <w:tc>
          <w:tcPr>
            <w:tcW w:type="dxa" w:w="2381"/>
            <w:shd w:val="clear" w:color="auto" w:fill="1F3864"/>
          </w:tcPr>
          <w:p>
            <w:pPr>
              <w:pStyle w:val="TableText"/>
            </w:pPr>
            <w:r>
              <w:rPr>
                <w:b/>
                <w:color w:val="FFFFFF"/>
              </w:rPr>
              <w:t>Keyword</w:t>
            </w:r>
          </w:p>
        </w:tc>
        <w:tc>
          <w:tcPr>
            <w:tcW w:type="dxa" w:w="1701"/>
            <w:shd w:val="clear" w:color="auto" w:fill="1F3864"/>
          </w:tcPr>
          <w:p>
            <w:pPr>
              <w:pStyle w:val="TableText"/>
            </w:pPr>
            <w:r>
              <w:rPr>
                <w:b/>
                <w:color w:val="FFFFFF"/>
              </w:rPr>
              <w:t>Level</w:t>
            </w:r>
          </w:p>
        </w:tc>
        <w:tc>
          <w:tcPr>
            <w:tcW w:type="dxa" w:w="4989"/>
            <w:shd w:val="clear" w:color="auto" w:fill="1F3864"/>
          </w:tcPr>
          <w:p>
            <w:pPr>
              <w:pStyle w:val="TableText"/>
            </w:pPr>
            <w:r>
              <w:rPr>
                <w:b/>
                <w:color w:val="FFFFFF"/>
              </w:rPr>
              <w:t>Meaning</w:t>
            </w:r>
          </w:p>
        </w:tc>
      </w:tr>
      <w:tr>
        <w:trPr>
          <w:cantSplit/>
        </w:trPr>
        <w:tc>
          <w:tcPr>
            <w:tcW w:type="dxa" w:w="2381"/>
            <w:shd w:val="clear" w:color="auto" w:fill="F2F5FA"/>
          </w:tcPr>
          <w:p>
            <w:pPr>
              <w:pStyle w:val="TableText"/>
            </w:pPr>
            <w:r>
              <w:rPr>
                <w:b/>
              </w:rPr>
              <w:t>shall</w:t>
            </w:r>
            <w:r>
              <w:rPr>
                <w:b/>
              </w:rPr>
              <w:t xml:space="preserve">, </w:t>
            </w:r>
            <w:r>
              <w:rPr>
                <w:b/>
              </w:rPr>
              <w:t>shall not</w:t>
            </w:r>
          </w:p>
        </w:tc>
        <w:tc>
          <w:tcPr>
            <w:tcW w:type="dxa" w:w="1701"/>
          </w:tcPr>
          <w:p>
            <w:pPr>
              <w:pStyle w:val="TableText"/>
            </w:pPr>
            <w:r>
              <w:t>Mandatory</w:t>
            </w:r>
          </w:p>
        </w:tc>
        <w:tc>
          <w:tcPr>
            <w:tcW w:type="dxa" w:w="4989"/>
          </w:tcPr>
          <w:p>
            <w:pPr>
              <w:pStyle w:val="TableText"/>
            </w:pPr>
            <w:r>
              <w:t>An absolute requirement or prohibition.</w:t>
            </w:r>
          </w:p>
        </w:tc>
      </w:tr>
      <w:tr>
        <w:trPr>
          <w:cantSplit/>
        </w:trPr>
        <w:tc>
          <w:tcPr>
            <w:tcW w:type="dxa" w:w="2381"/>
            <w:shd w:val="clear" w:color="auto" w:fill="F2F5FA"/>
          </w:tcPr>
          <w:p>
            <w:pPr>
              <w:pStyle w:val="TableText"/>
            </w:pPr>
            <w:r>
              <w:rPr>
                <w:b/>
              </w:rPr>
              <w:t>should</w:t>
            </w:r>
            <w:r>
              <w:rPr>
                <w:b/>
              </w:rPr>
              <w:t xml:space="preserve">, </w:t>
            </w:r>
            <w:r>
              <w:rPr>
                <w:b/>
              </w:rPr>
              <w:t>should not</w:t>
            </w:r>
          </w:p>
        </w:tc>
        <w:tc>
          <w:tcPr>
            <w:tcW w:type="dxa" w:w="1701"/>
          </w:tcPr>
          <w:p>
            <w:pPr>
              <w:pStyle w:val="TableText"/>
            </w:pPr>
            <w:r>
              <w:t>Recommended</w:t>
            </w:r>
          </w:p>
        </w:tc>
        <w:tc>
          <w:tcPr>
            <w:tcW w:type="dxa" w:w="4989"/>
          </w:tcPr>
          <w:p>
            <w:pPr>
              <w:pStyle w:val="TableText"/>
            </w:pPr>
            <w:r>
              <w:t>There may be valid reasons to deviate in particular circumstances, but the implications must be understood and weighed before a different course is chosen.</w:t>
            </w:r>
          </w:p>
        </w:tc>
      </w:tr>
      <w:tr>
        <w:trPr>
          <w:cantSplit/>
        </w:trPr>
        <w:tc>
          <w:tcPr>
            <w:tcW w:type="dxa" w:w="2381"/>
            <w:shd w:val="clear" w:color="auto" w:fill="F2F5FA"/>
          </w:tcPr>
          <w:p>
            <w:pPr>
              <w:pStyle w:val="TableText"/>
            </w:pPr>
            <w:r>
              <w:rPr>
                <w:b/>
              </w:rPr>
              <w:t>may</w:t>
            </w:r>
          </w:p>
        </w:tc>
        <w:tc>
          <w:tcPr>
            <w:tcW w:type="dxa" w:w="1701"/>
          </w:tcPr>
          <w:p>
            <w:pPr>
              <w:pStyle w:val="TableText"/>
            </w:pPr>
            <w:r>
              <w:t>Optional</w:t>
            </w:r>
          </w:p>
        </w:tc>
        <w:tc>
          <w:tcPr>
            <w:tcW w:type="dxa" w:w="4989"/>
          </w:tcPr>
          <w:p>
            <w:pPr>
              <w:pStyle w:val="TableText"/>
            </w:pPr>
            <w:r>
              <w:t>The item is permitted but not required.</w:t>
            </w:r>
          </w:p>
        </w:tc>
      </w:tr>
    </w:tbl>
    <w:p>
      <w:pPr>
        <w:spacing w:after="40"/>
      </w:pPr>
    </w:p>
    <w:p>
      <w:r>
        <w:t>These terms are used in accordance with BCP 14 (RFC 2119 and RFC 8174) and only when written in lower-case bold within a numbered requirement.</w:t>
      </w:r>
    </w:p>
    <w:p>
      <w:r>
        <w:t xml:space="preserve">Each requirement carries an identifier of the form </w:t>
      </w:r>
      <w:r>
        <w:rPr>
          <w:b/>
        </w:rPr>
        <w:t>GW-AAA-NNN</w:t>
      </w:r>
      <w:r>
        <w:t xml:space="preserve">, where AAA identifies the subject area (the chapter) and NNN is a sequence number within it. Requirements apply to the Platform unless they name a different party. Paragraphs headed </w:t>
      </w:r>
      <w:r>
        <w:rPr>
          <w:i/>
        </w:rPr>
        <w:t>Rationale</w:t>
      </w:r>
      <w:r>
        <w:t xml:space="preserve"> or </w:t>
      </w:r>
      <w:r>
        <w:rPr>
          <w:i/>
        </w:rPr>
        <w:t>Note</w:t>
      </w:r>
      <w:r>
        <w:t>, and shaded statements of principle, are informative and do not add requirements.</w:t>
      </w:r>
    </w:p>
    <w:p>
      <w:pPr>
        <w:pStyle w:val="Note"/>
      </w:pPr>
      <w:r>
        <w:rPr>
          <w:b/>
        </w:rPr>
        <w:t>Capability and enablement.</w:t>
      </w:r>
      <w:r>
        <w:t xml:space="preserve"> Where this document requires the Platform to provide a capability (for example rate limiting, caching or schema validation), the capability must be available. Unless a requirement states otherwise, whether it is enabled for a specific API is decided by the Application Team according to the needs of that API.</w:t>
      </w:r>
    </w:p>
    <w:p>
      <w:pPr>
        <w:pStyle w:val="Heading2"/>
      </w:pPr>
      <w:r>
        <w:t>1.5</w:t>
        <w:tab/>
        <w:t>Definitions and abbreviations</w:t>
      </w:r>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Definitions and abbreviations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Term</w:t>
            </w:r>
          </w:p>
        </w:tc>
        <w:tc>
          <w:tcPr>
            <w:tcW w:type="dxa" w:w="6690"/>
            <w:shd w:val="clear" w:color="auto" w:fill="1F3864"/>
          </w:tcPr>
          <w:p>
            <w:pPr>
              <w:pStyle w:val="TableText"/>
            </w:pPr>
            <w:r>
              <w:rPr>
                <w:b/>
                <w:color w:val="FFFFFF"/>
              </w:rPr>
              <w:t>Definition</w:t>
            </w:r>
          </w:p>
        </w:tc>
      </w:tr>
      <w:tr>
        <w:trPr>
          <w:cantSplit/>
        </w:trPr>
        <w:tc>
          <w:tcPr>
            <w:tcW w:type="dxa" w:w="2381"/>
            <w:shd w:val="clear" w:color="auto" w:fill="F2F5FA"/>
          </w:tcPr>
          <w:p>
            <w:pPr>
              <w:pStyle w:val="TableText"/>
            </w:pPr>
            <w:r>
              <w:rPr>
                <w:b/>
              </w:rPr>
              <w:t>Access token</w:t>
            </w:r>
          </w:p>
        </w:tc>
        <w:tc>
          <w:tcPr>
            <w:tcW w:type="dxa" w:w="6690"/>
          </w:tcPr>
          <w:p>
            <w:pPr>
              <w:pStyle w:val="TableText"/>
            </w:pPr>
            <w:r>
              <w:t>A short-lived credential issued by the Identity Provider that a consumer presents to access an API.</w:t>
            </w:r>
          </w:p>
        </w:tc>
      </w:tr>
      <w:tr>
        <w:trPr>
          <w:cantSplit/>
        </w:trPr>
        <w:tc>
          <w:tcPr>
            <w:tcW w:type="dxa" w:w="2381"/>
            <w:shd w:val="clear" w:color="auto" w:fill="F2F5FA"/>
          </w:tcPr>
          <w:p>
            <w:pPr>
              <w:pStyle w:val="TableText"/>
            </w:pPr>
            <w:r>
              <w:rPr>
                <w:b/>
              </w:rPr>
              <w:t>API Gateway (Gateway)</w:t>
            </w:r>
          </w:p>
        </w:tc>
        <w:tc>
          <w:tcPr>
            <w:tcW w:type="dxa" w:w="6690"/>
          </w:tcPr>
          <w:p>
            <w:pPr>
              <w:pStyle w:val="TableText"/>
            </w:pPr>
            <w:r>
              <w:t>The infrastructure layer between API consumers and backend services at which access, security and operational policies for API traffic are enforced.</w:t>
            </w:r>
          </w:p>
        </w:tc>
      </w:tr>
      <w:tr>
        <w:trPr>
          <w:cantSplit/>
        </w:trPr>
        <w:tc>
          <w:tcPr>
            <w:tcW w:type="dxa" w:w="2381"/>
            <w:shd w:val="clear" w:color="auto" w:fill="F2F5FA"/>
          </w:tcPr>
          <w:p>
            <w:pPr>
              <w:pStyle w:val="TableText"/>
            </w:pPr>
            <w:r>
              <w:rPr>
                <w:b/>
              </w:rPr>
              <w:t>API Platform (Platform)</w:t>
            </w:r>
          </w:p>
        </w:tc>
        <w:tc>
          <w:tcPr>
            <w:tcW w:type="dxa" w:w="6690"/>
          </w:tcPr>
          <w:p>
            <w:pPr>
              <w:pStyle w:val="TableText"/>
            </w:pPr>
            <w:r>
              <w:t>The complete capability operated by the Infrastructure Team: the Gateway Data Plane, the Management Plane, GitOps integration and the Developer Portal.</w:t>
            </w:r>
          </w:p>
        </w:tc>
      </w:tr>
      <w:tr>
        <w:trPr>
          <w:cantSplit/>
        </w:trPr>
        <w:tc>
          <w:tcPr>
            <w:tcW w:type="dxa" w:w="2381"/>
            <w:shd w:val="clear" w:color="auto" w:fill="F2F5FA"/>
          </w:tcPr>
          <w:p>
            <w:pPr>
              <w:pStyle w:val="TableText"/>
            </w:pPr>
            <w:r>
              <w:rPr>
                <w:b/>
              </w:rPr>
              <w:t>Application Team</w:t>
            </w:r>
          </w:p>
        </w:tc>
        <w:tc>
          <w:tcPr>
            <w:tcW w:type="dxa" w:w="6690"/>
          </w:tcPr>
          <w:p>
            <w:pPr>
              <w:pStyle w:val="TableText"/>
            </w:pPr>
            <w:r>
              <w:t>The team that owns an API, its contract and its business logic.</w:t>
            </w:r>
          </w:p>
        </w:tc>
      </w:tr>
      <w:tr>
        <w:trPr>
          <w:cantSplit/>
        </w:trPr>
        <w:tc>
          <w:tcPr>
            <w:tcW w:type="dxa" w:w="2381"/>
            <w:shd w:val="clear" w:color="auto" w:fill="F2F5FA"/>
          </w:tcPr>
          <w:p>
            <w:pPr>
              <w:pStyle w:val="TableText"/>
            </w:pPr>
            <w:r>
              <w:rPr>
                <w:b/>
              </w:rPr>
              <w:t>B2B</w:t>
            </w:r>
          </w:p>
        </w:tc>
        <w:tc>
          <w:tcPr>
            <w:tcW w:type="dxa" w:w="6690"/>
          </w:tcPr>
          <w:p>
            <w:pPr>
              <w:pStyle w:val="TableText"/>
            </w:pPr>
            <w:r>
              <w:t>Business to Business: access where the consumer is another system or application.</w:t>
            </w:r>
          </w:p>
        </w:tc>
      </w:tr>
      <w:tr>
        <w:trPr>
          <w:cantSplit/>
        </w:trPr>
        <w:tc>
          <w:tcPr>
            <w:tcW w:type="dxa" w:w="2381"/>
            <w:shd w:val="clear" w:color="auto" w:fill="F2F5FA"/>
          </w:tcPr>
          <w:p>
            <w:pPr>
              <w:pStyle w:val="TableText"/>
            </w:pPr>
            <w:r>
              <w:rPr>
                <w:b/>
              </w:rPr>
              <w:t>C2B</w:t>
            </w:r>
          </w:p>
        </w:tc>
        <w:tc>
          <w:tcPr>
            <w:tcW w:type="dxa" w:w="6690"/>
          </w:tcPr>
          <w:p>
            <w:pPr>
              <w:pStyle w:val="TableText"/>
            </w:pPr>
            <w:r>
              <w:t>Consumer to Business: access where the consumer is a human user.</w:t>
            </w:r>
          </w:p>
        </w:tc>
      </w:tr>
      <w:tr>
        <w:trPr>
          <w:cantSplit/>
        </w:trPr>
        <w:tc>
          <w:tcPr>
            <w:tcW w:type="dxa" w:w="2381"/>
            <w:shd w:val="clear" w:color="auto" w:fill="F2F5FA"/>
          </w:tcPr>
          <w:p>
            <w:pPr>
              <w:pStyle w:val="TableText"/>
            </w:pPr>
            <w:r>
              <w:rPr>
                <w:b/>
              </w:rPr>
              <w:t>Client credential</w:t>
            </w:r>
          </w:p>
        </w:tc>
        <w:tc>
          <w:tcPr>
            <w:tcW w:type="dxa" w:w="6690"/>
          </w:tcPr>
          <w:p>
            <w:pPr>
              <w:pStyle w:val="TableText"/>
            </w:pPr>
            <w:r>
              <w:t>A long-lived credential that a B2B client uses to obtain access tokens.</w:t>
            </w:r>
          </w:p>
        </w:tc>
      </w:tr>
      <w:tr>
        <w:trPr>
          <w:cantSplit/>
        </w:trPr>
        <w:tc>
          <w:tcPr>
            <w:tcW w:type="dxa" w:w="2381"/>
            <w:shd w:val="clear" w:color="auto" w:fill="F2F5FA"/>
          </w:tcPr>
          <w:p>
            <w:pPr>
              <w:pStyle w:val="TableText"/>
            </w:pPr>
            <w:r>
              <w:rPr>
                <w:b/>
              </w:rPr>
              <w:t>Consumer</w:t>
            </w:r>
          </w:p>
        </w:tc>
        <w:tc>
          <w:tcPr>
            <w:tcW w:type="dxa" w:w="6690"/>
          </w:tcPr>
          <w:p>
            <w:pPr>
              <w:pStyle w:val="TableText"/>
            </w:pPr>
            <w:r>
              <w:t>A user or system that calls an API through the Gateway.</w:t>
            </w:r>
          </w:p>
        </w:tc>
      </w:tr>
      <w:tr>
        <w:trPr>
          <w:cantSplit/>
        </w:trPr>
        <w:tc>
          <w:tcPr>
            <w:tcW w:type="dxa" w:w="2381"/>
            <w:shd w:val="clear" w:color="auto" w:fill="F2F5FA"/>
          </w:tcPr>
          <w:p>
            <w:pPr>
              <w:pStyle w:val="TableText"/>
            </w:pPr>
            <w:r>
              <w:rPr>
                <w:b/>
              </w:rPr>
              <w:t>Data Plane</w:t>
            </w:r>
          </w:p>
        </w:tc>
        <w:tc>
          <w:tcPr>
            <w:tcW w:type="dxa" w:w="6690"/>
          </w:tcPr>
          <w:p>
            <w:pPr>
              <w:pStyle w:val="TableText"/>
            </w:pPr>
            <w:r>
              <w:t>The Gateway runtime instances that process API traffic.</w:t>
            </w:r>
          </w:p>
        </w:tc>
      </w:tr>
      <w:tr>
        <w:trPr>
          <w:cantSplit/>
        </w:trPr>
        <w:tc>
          <w:tcPr>
            <w:tcW w:type="dxa" w:w="2381"/>
            <w:shd w:val="clear" w:color="auto" w:fill="F2F5FA"/>
          </w:tcPr>
          <w:p>
            <w:pPr>
              <w:pStyle w:val="TableText"/>
            </w:pPr>
            <w:r>
              <w:rPr>
                <w:b/>
              </w:rPr>
              <w:t>Developer Portal</w:t>
            </w:r>
          </w:p>
        </w:tc>
        <w:tc>
          <w:tcPr>
            <w:tcW w:type="dxa" w:w="6690"/>
          </w:tcPr>
          <w:p>
            <w:pPr>
              <w:pStyle w:val="TableText"/>
            </w:pPr>
            <w:r>
              <w:t>The portal through which APIs are discovered, documented and access to them is requested.</w:t>
            </w:r>
          </w:p>
        </w:tc>
      </w:tr>
      <w:tr>
        <w:trPr>
          <w:cantSplit/>
        </w:trPr>
        <w:tc>
          <w:tcPr>
            <w:tcW w:type="dxa" w:w="2381"/>
            <w:shd w:val="clear" w:color="auto" w:fill="F2F5FA"/>
          </w:tcPr>
          <w:p>
            <w:pPr>
              <w:pStyle w:val="TableText"/>
            </w:pPr>
            <w:r>
              <w:rPr>
                <w:b/>
              </w:rPr>
              <w:t>GitOps</w:t>
            </w:r>
          </w:p>
        </w:tc>
        <w:tc>
          <w:tcPr>
            <w:tcW w:type="dxa" w:w="6690"/>
          </w:tcPr>
          <w:p>
            <w:pPr>
              <w:pStyle w:val="TableText"/>
            </w:pPr>
            <w:r>
              <w:t>An operating model in which configuration is defined in Git and changes are reviewed, validated, approved and deployed automatically.</w:t>
            </w:r>
          </w:p>
        </w:tc>
      </w:tr>
      <w:tr>
        <w:trPr>
          <w:cantSplit/>
        </w:trPr>
        <w:tc>
          <w:tcPr>
            <w:tcW w:type="dxa" w:w="2381"/>
            <w:shd w:val="clear" w:color="auto" w:fill="F2F5FA"/>
          </w:tcPr>
          <w:p>
            <w:pPr>
              <w:pStyle w:val="TableText"/>
            </w:pPr>
            <w:r>
              <w:rPr>
                <w:b/>
              </w:rPr>
              <w:t>Guardrail</w:t>
            </w:r>
          </w:p>
        </w:tc>
        <w:tc>
          <w:tcPr>
            <w:tcW w:type="dxa" w:w="6690"/>
          </w:tcPr>
          <w:p>
            <w:pPr>
              <w:pStyle w:val="TableText"/>
            </w:pPr>
            <w:r>
              <w:t>An organizational requirement that is technically enforced by the Platform.</w:t>
            </w:r>
          </w:p>
        </w:tc>
      </w:tr>
      <w:tr>
        <w:trPr>
          <w:cantSplit/>
        </w:trPr>
        <w:tc>
          <w:tcPr>
            <w:tcW w:type="dxa" w:w="2381"/>
            <w:shd w:val="clear" w:color="auto" w:fill="F2F5FA"/>
          </w:tcPr>
          <w:p>
            <w:pPr>
              <w:pStyle w:val="TableText"/>
            </w:pPr>
            <w:r>
              <w:rPr>
                <w:b/>
              </w:rPr>
              <w:t>Guideline</w:t>
            </w:r>
          </w:p>
        </w:tc>
        <w:tc>
          <w:tcPr>
            <w:tcW w:type="dxa" w:w="6690"/>
          </w:tcPr>
          <w:p>
            <w:pPr>
              <w:pStyle w:val="TableText"/>
            </w:pPr>
            <w:r>
              <w:t>Recommended practice that is documented but not technically enforced.</w:t>
            </w:r>
          </w:p>
        </w:tc>
      </w:tr>
      <w:tr>
        <w:trPr>
          <w:cantSplit/>
        </w:trPr>
        <w:tc>
          <w:tcPr>
            <w:tcW w:type="dxa" w:w="2381"/>
            <w:shd w:val="clear" w:color="auto" w:fill="F2F5FA"/>
          </w:tcPr>
          <w:p>
            <w:pPr>
              <w:pStyle w:val="TableText"/>
            </w:pPr>
            <w:r>
              <w:rPr>
                <w:b/>
              </w:rPr>
              <w:t>IdP</w:t>
            </w:r>
          </w:p>
        </w:tc>
        <w:tc>
          <w:tcPr>
            <w:tcW w:type="dxa" w:w="6690"/>
          </w:tcPr>
          <w:p>
            <w:pPr>
              <w:pStyle w:val="TableText"/>
            </w:pPr>
            <w:r>
              <w:t>Identity Provider: the organization's system that authenticates users and clients and issues tokens.</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The team that owns and operates the Platform.</w:t>
            </w:r>
          </w:p>
        </w:tc>
      </w:tr>
      <w:tr>
        <w:trPr>
          <w:cantSplit/>
        </w:trPr>
        <w:tc>
          <w:tcPr>
            <w:tcW w:type="dxa" w:w="2381"/>
            <w:shd w:val="clear" w:color="auto" w:fill="F2F5FA"/>
          </w:tcPr>
          <w:p>
            <w:pPr>
              <w:pStyle w:val="TableText"/>
            </w:pPr>
            <w:r>
              <w:rPr>
                <w:b/>
              </w:rPr>
              <w:t>Load Balancer</w:t>
            </w:r>
          </w:p>
        </w:tc>
        <w:tc>
          <w:tcPr>
            <w:tcW w:type="dxa" w:w="6690"/>
          </w:tcPr>
          <w:p>
            <w:pPr>
              <w:pStyle w:val="TableText"/>
            </w:pPr>
            <w:r>
              <w:t>Infrastructure that distributes traffic between instances of a backend.</w:t>
            </w:r>
          </w:p>
        </w:tc>
      </w:tr>
      <w:tr>
        <w:trPr>
          <w:cantSplit/>
        </w:trPr>
        <w:tc>
          <w:tcPr>
            <w:tcW w:type="dxa" w:w="2381"/>
            <w:shd w:val="clear" w:color="auto" w:fill="F2F5FA"/>
          </w:tcPr>
          <w:p>
            <w:pPr>
              <w:pStyle w:val="TableText"/>
            </w:pPr>
            <w:r>
              <w:rPr>
                <w:b/>
              </w:rPr>
              <w:t>Management Plane</w:t>
            </w:r>
          </w:p>
        </w:tc>
        <w:tc>
          <w:tcPr>
            <w:tcW w:type="dxa" w:w="6690"/>
          </w:tcPr>
          <w:p>
            <w:pPr>
              <w:pStyle w:val="TableText"/>
            </w:pPr>
            <w:r>
              <w:t>The management layer used to configure and manage Gateways; also referred to as the control plane or central management.</w:t>
            </w:r>
          </w:p>
        </w:tc>
      </w:tr>
      <w:tr>
        <w:trPr>
          <w:cantSplit/>
        </w:trPr>
        <w:tc>
          <w:tcPr>
            <w:tcW w:type="dxa" w:w="2381"/>
            <w:shd w:val="clear" w:color="auto" w:fill="F2F5FA"/>
          </w:tcPr>
          <w:p>
            <w:pPr>
              <w:pStyle w:val="TableText"/>
            </w:pPr>
            <w:r>
              <w:rPr>
                <w:b/>
              </w:rPr>
              <w:t>Site</w:t>
            </w:r>
          </w:p>
        </w:tc>
        <w:tc>
          <w:tcPr>
            <w:tcW w:type="dxa" w:w="6690"/>
          </w:tcPr>
          <w:p>
            <w:pPr>
              <w:pStyle w:val="TableText"/>
            </w:pPr>
            <w:r>
              <w:t>A location or environment in which applications run and in which a Gateway may be deployed.</w:t>
            </w:r>
          </w:p>
        </w:tc>
      </w:tr>
      <w:tr>
        <w:trPr>
          <w:cantSplit/>
        </w:trPr>
        <w:tc>
          <w:tcPr>
            <w:tcW w:type="dxa" w:w="2381"/>
            <w:shd w:val="clear" w:color="auto" w:fill="F2F5FA"/>
          </w:tcPr>
          <w:p>
            <w:pPr>
              <w:pStyle w:val="TableText"/>
            </w:pPr>
            <w:r>
              <w:rPr>
                <w:b/>
              </w:rPr>
              <w:t>Source of truth</w:t>
            </w:r>
          </w:p>
        </w:tc>
        <w:tc>
          <w:tcPr>
            <w:tcW w:type="dxa" w:w="6690"/>
          </w:tcPr>
          <w:p>
            <w:pPr>
              <w:pStyle w:val="TableText"/>
            </w:pPr>
            <w:r>
              <w:t>The single authoritative location from which the deployed state is derived.</w:t>
            </w:r>
          </w:p>
        </w:tc>
      </w:tr>
      <w:tr>
        <w:trPr>
          <w:cantSplit/>
        </w:trPr>
        <w:tc>
          <w:tcPr>
            <w:tcW w:type="dxa" w:w="2381"/>
            <w:shd w:val="clear" w:color="auto" w:fill="F2F5FA"/>
          </w:tcPr>
          <w:p>
            <w:pPr>
              <w:pStyle w:val="TableText"/>
            </w:pPr>
            <w:r>
              <w:rPr>
                <w:b/>
              </w:rPr>
              <w:t>Standard</w:t>
            </w:r>
          </w:p>
        </w:tc>
        <w:tc>
          <w:tcPr>
            <w:tcW w:type="dxa" w:w="6690"/>
          </w:tcPr>
          <w:p>
            <w:pPr>
              <w:pStyle w:val="TableText"/>
            </w:pPr>
            <w:r>
              <w:t>The organization's defined, consistent way of operating APIs.</w:t>
            </w:r>
          </w:p>
        </w:tc>
      </w:tr>
      <w:tr>
        <w:trPr>
          <w:cantSplit/>
        </w:trPr>
        <w:tc>
          <w:tcPr>
            <w:tcW w:type="dxa" w:w="2381"/>
            <w:shd w:val="clear" w:color="auto" w:fill="F2F5FA"/>
          </w:tcPr>
          <w:p>
            <w:pPr>
              <w:pStyle w:val="TableText"/>
            </w:pPr>
            <w:r>
              <w:rPr>
                <w:b/>
              </w:rPr>
              <w:t>TTL</w:t>
            </w:r>
          </w:p>
        </w:tc>
        <w:tc>
          <w:tcPr>
            <w:tcW w:type="dxa" w:w="6690"/>
          </w:tcPr>
          <w:p>
            <w:pPr>
              <w:pStyle w:val="TableText"/>
            </w:pPr>
            <w:r>
              <w:t>Time to live: the period for which a cached item is considered valid.</w:t>
            </w:r>
          </w:p>
        </w:tc>
      </w:tr>
      <w:tr>
        <w:trPr>
          <w:cantSplit/>
        </w:trPr>
        <w:tc>
          <w:tcPr>
            <w:tcW w:type="dxa" w:w="2381"/>
            <w:shd w:val="clear" w:color="auto" w:fill="F2F5FA"/>
          </w:tcPr>
          <w:p>
            <w:pPr>
              <w:pStyle w:val="TableText"/>
            </w:pPr>
            <w:r>
              <w:rPr>
                <w:b/>
              </w:rPr>
              <w:t>WAF</w:t>
            </w:r>
          </w:p>
        </w:tc>
        <w:tc>
          <w:tcPr>
            <w:tcW w:type="dxa" w:w="6690"/>
          </w:tcPr>
          <w:p>
            <w:pPr>
              <w:pStyle w:val="TableText"/>
            </w:pPr>
            <w:r>
              <w:t>Web Application Firewall: a control that protects applications against application-layer attacks.</w:t>
            </w:r>
          </w:p>
        </w:tc>
      </w:tr>
    </w:tbl>
    <w:p>
      <w:pPr>
        <w:spacing w:after="40"/>
      </w:pPr>
    </w:p>
    <w:p>
      <w:pPr>
        <w:pStyle w:val="Heading2"/>
      </w:pPr>
      <w:r>
        <w:t>1.6</w:t>
        <w:tab/>
        <w:t>References</w:t>
      </w:r>
    </w:p>
    <w:p>
      <w:pPr>
        <w:pStyle w:val="ListBullet"/>
        <w:keepNext w:val="0"/>
        <w:spacing w:after="60"/>
        <w:ind w:left="510" w:hanging="283"/>
      </w:pPr>
      <w:r>
        <w:t>BCP 14: RFC 2119, Key words for use in RFCs to Indicate Requirement Levels, and RFC 8174, Ambiguity of Uppercase vs Lowercase in RFC 2119 Key Words.</w:t>
      </w:r>
    </w:p>
    <w:p>
      <w:pPr>
        <w:pStyle w:val="ListBullet"/>
        <w:keepNext w:val="0"/>
        <w:spacing w:after="60"/>
        <w:ind w:left="510" w:hanging="283"/>
      </w:pPr>
      <w:r>
        <w:rPr>
          <w:highlight w:val="yellow"/>
        </w:rPr>
        <w:t>[Organizational information-security policy]</w:t>
      </w:r>
    </w:p>
    <w:p>
      <w:pPr>
        <w:pStyle w:val="ListBullet"/>
        <w:keepNext w:val="0"/>
        <w:spacing w:after="60"/>
        <w:ind w:left="510" w:hanging="283"/>
      </w:pPr>
      <w:r>
        <w:rPr>
          <w:highlight w:val="yellow"/>
        </w:rPr>
        <w:t>[Organizational API governance standards, when issued]</w:t>
      </w:r>
    </w:p>
    <w:p>
      <w:pPr>
        <w:pStyle w:val="Heading1"/>
        <w:spacing w:before="520"/>
      </w:pPr>
      <w:r>
        <w:t>2</w:t>
        <w:tab/>
        <w:t>Architectural Principles</w:t>
      </w:r>
    </w:p>
    <w:p>
      <w:r>
        <w:t>This chapter states the principles on which the remainder of the document is based.</w:t>
      </w:r>
    </w:p>
    <w:p>
      <w:pPr>
        <w:pStyle w:val="Heading2"/>
      </w:pPr>
      <w:r>
        <w:t>2.1</w:t>
        <w:tab/>
        <w:t>Central API entry point</w:t>
      </w:r>
    </w:p>
    <w:p>
      <w:pPr>
        <w:pStyle w:val="Requirement"/>
        <w:keepNext w:val="0"/>
      </w:pPr>
      <w:r>
        <w:rPr>
          <w:b/>
          <w:color w:val="1F3864"/>
          <w:sz w:val="19"/>
        </w:rPr>
        <w:t>GW-PRN-001</w:t>
      </w:r>
      <w:r>
        <w:tab/>
      </w:r>
      <w:r>
        <w:t xml:space="preserve">APIs exposed for consumption outside their immediate service boundary </w:t>
      </w:r>
      <w:r>
        <w:rPr>
          <w:b/>
        </w:rPr>
        <w:t>shall</w:t>
      </w:r>
      <w:r>
        <w:t xml:space="preserve"> be exposed through the API Gateway.</w:t>
      </w:r>
    </w:p>
    <w:p>
      <w:pPr>
        <w:pStyle w:val="Requirement"/>
        <w:keepNext w:val="0"/>
      </w:pPr>
      <w:r>
        <w:rPr>
          <w:b/>
          <w:color w:val="1F3864"/>
          <w:sz w:val="19"/>
        </w:rPr>
        <w:t>GW-PRN-002</w:t>
      </w:r>
      <w:r>
        <w:tab/>
      </w:r>
      <w:r>
        <w:t xml:space="preserve">Direct exposure of an API that allows consumers to bypass the organization's authentication, authorization, rate-limiting, logging and security controls </w:t>
      </w:r>
      <w:r>
        <w:rPr>
          <w:b/>
        </w:rPr>
        <w:t>shall not</w:t>
      </w:r>
      <w:r>
        <w:t xml:space="preserve"> be permitted.</w:t>
      </w:r>
    </w:p>
    <w:p>
      <w:pPr>
        <w:pStyle w:val="Rationale"/>
      </w:pPr>
      <w:r>
        <w:rPr>
          <w:b/>
        </w:rPr>
        <w:t xml:space="preserve">Rationale. </w:t>
      </w:r>
      <w:r>
        <w:t>The Gateway provides a consistent enforcement point for API access.</w:t>
      </w:r>
    </w:p>
    <w:p>
      <w:pPr>
        <w:pStyle w:val="Heading2"/>
      </w:pPr>
      <w:r>
        <w:t>2.2</w:t>
        <w:tab/>
        <w:t>Infrastructure, not business logic</w:t>
      </w:r>
    </w:p>
    <w:p>
      <w:pPr>
        <w:pStyle w:val="Requirement"/>
        <w:keepNext w:val="0"/>
      </w:pPr>
      <w:r>
        <w:rPr>
          <w:b/>
          <w:color w:val="1F3864"/>
          <w:sz w:val="19"/>
        </w:rPr>
        <w:t>GW-PRN-003</w:t>
      </w:r>
      <w:r>
        <w:tab/>
      </w:r>
      <w:r>
        <w:t xml:space="preserve">The Gateway </w:t>
      </w:r>
      <w:r>
        <w:rPr>
          <w:b/>
        </w:rPr>
        <w:t>shall not</w:t>
      </w:r>
      <w:r>
        <w:t xml:space="preserve"> implement application business logic.</w:t>
      </w:r>
    </w:p>
    <w:p>
      <w:pPr>
        <w:pStyle w:val="Requirement"/>
        <w:keepNext w:val="0"/>
      </w:pPr>
      <w:r>
        <w:rPr>
          <w:b/>
          <w:color w:val="1F3864"/>
          <w:sz w:val="19"/>
        </w:rPr>
        <w:t>GW-PRN-004</w:t>
      </w:r>
      <w:r>
        <w:tab/>
      </w:r>
      <w:r>
        <w:t xml:space="preserve">The Platform </w:t>
      </w:r>
      <w:r>
        <w:rPr>
          <w:b/>
        </w:rPr>
        <w:t>should</w:t>
      </w:r>
      <w:r>
        <w:t xml:space="preserve"> enable Application Teams to expose and manage APIs without requiring the Infrastructure Team to understand or implement the business logic of any application.</w:t>
      </w:r>
    </w:p>
    <w:p>
      <w:pPr>
        <w:pStyle w:val="Heading2"/>
      </w:pPr>
      <w:r>
        <w:t>2.3</w:t>
        <w:tab/>
        <w:t>Ownership</w:t>
      </w:r>
    </w:p>
    <w:p>
      <w:pPr>
        <w:pStyle w:val="Requirement"/>
        <w:keepNext w:val="0"/>
      </w:pPr>
      <w:r>
        <w:rPr>
          <w:b/>
          <w:color w:val="1F3864"/>
          <w:sz w:val="19"/>
        </w:rPr>
        <w:t>GW-PRN-005</w:t>
      </w:r>
      <w:r>
        <w:tab/>
      </w:r>
      <w:r>
        <w:t xml:space="preserve">Application Teams </w:t>
      </w:r>
      <w:r>
        <w:rPr>
          <w:b/>
        </w:rPr>
        <w:t>shall</w:t>
      </w:r>
      <w:r>
        <w:t xml:space="preserve"> own the APIs they expose through the Gateway, including API design, API contract, business semantics, consumers, access requirements, authorization requirements, versioning, deprecation, retirement, documentation and consumer lifecycle.</w:t>
      </w:r>
    </w:p>
    <w:p>
      <w:pPr>
        <w:pStyle w:val="Requirement"/>
        <w:keepNext w:val="0"/>
      </w:pPr>
      <w:r>
        <w:rPr>
          <w:b/>
          <w:color w:val="1F3864"/>
          <w:sz w:val="19"/>
        </w:rPr>
        <w:t>GW-PRN-006</w:t>
      </w:r>
      <w:r>
        <w:tab/>
      </w:r>
      <w:r>
        <w:t xml:space="preserve">The Infrastructure Team </w:t>
      </w:r>
      <w:r>
        <w:rPr>
          <w:b/>
        </w:rPr>
        <w:t>shall</w:t>
      </w:r>
      <w:r>
        <w:t xml:space="preserve"> own the Gateway platform, its capabilities and the technical guardrails around it.</w:t>
      </w:r>
    </w:p>
    <w:p>
      <w:pPr>
        <w:pStyle w:val="Requirement"/>
        <w:keepNext w:val="0"/>
      </w:pPr>
      <w:r>
        <w:rPr>
          <w:b/>
          <w:color w:val="1F3864"/>
          <w:sz w:val="19"/>
        </w:rPr>
        <w:t>GW-PRN-007</w:t>
      </w:r>
      <w:r>
        <w:tab/>
      </w:r>
      <w:r>
        <w:t xml:space="preserve">The Infrastructure Team </w:t>
      </w:r>
      <w:r>
        <w:rPr>
          <w:b/>
        </w:rPr>
        <w:t>should not</w:t>
      </w:r>
      <w:r>
        <w:t xml:space="preserve"> become the owner of an API solely because the API is implemented through the Gateway.</w:t>
      </w:r>
    </w:p>
    <w:p>
      <w:pPr>
        <w:pStyle w:val="Heading2"/>
      </w:pPr>
      <w:r>
        <w:t>2.4</w:t>
        <w:tab/>
        <w:t>Self-service with guardrails</w:t>
      </w:r>
    </w:p>
    <w:p>
      <w:pPr>
        <w:pStyle w:val="Requirement"/>
        <w:keepNext w:val="0"/>
      </w:pPr>
      <w:r>
        <w:rPr>
          <w:b/>
          <w:color w:val="1F3864"/>
          <w:sz w:val="19"/>
        </w:rPr>
        <w:t>GW-PRN-008</w:t>
      </w:r>
      <w:r>
        <w:tab/>
      </w:r>
      <w:r>
        <w:t xml:space="preserve">The Platform </w:t>
      </w:r>
      <w:r>
        <w:rPr>
          <w:b/>
        </w:rPr>
        <w:t>should</w:t>
      </w:r>
      <w:r>
        <w:t xml:space="preserve"> operate on a model of self-service with guardrails.</w:t>
      </w:r>
    </w:p>
    <w:p>
      <w:pPr>
        <w:pStyle w:val="Requirement"/>
        <w:keepNext/>
      </w:pPr>
      <w:r>
        <w:rPr>
          <w:b/>
          <w:color w:val="1F3864"/>
          <w:sz w:val="19"/>
        </w:rPr>
        <w:t>GW-PRN-009</w:t>
      </w:r>
      <w:r>
        <w:tab/>
      </w:r>
      <w:r>
        <w:t xml:space="preserve">Within organizational guardrails, the Platform </w:t>
      </w:r>
      <w:r>
        <w:rPr>
          <w:b/>
        </w:rPr>
        <w:t>should</w:t>
      </w:r>
      <w:r>
        <w:t xml:space="preserve"> enable Application Teams to carry out the following themselves:</w:t>
      </w:r>
    </w:p>
    <w:p>
      <w:pPr>
        <w:pStyle w:val="ListBullet"/>
        <w:keepNext/>
        <w:spacing w:after="40"/>
        <w:ind w:left="1928" w:hanging="283"/>
      </w:pPr>
      <w:r>
        <w:t>Create APIs.</w:t>
      </w:r>
    </w:p>
    <w:p>
      <w:pPr>
        <w:pStyle w:val="ListBullet"/>
        <w:keepNext/>
        <w:spacing w:after="40"/>
        <w:ind w:left="1928" w:hanging="283"/>
      </w:pPr>
      <w:r>
        <w:t>Configure routes.</w:t>
      </w:r>
    </w:p>
    <w:p>
      <w:pPr>
        <w:pStyle w:val="ListBullet"/>
        <w:keepNext/>
        <w:spacing w:after="40"/>
        <w:ind w:left="1928" w:hanging="283"/>
      </w:pPr>
      <w:r>
        <w:t>Configure backend mappings.</w:t>
      </w:r>
    </w:p>
    <w:p>
      <w:pPr>
        <w:pStyle w:val="ListBullet"/>
        <w:keepNext/>
        <w:spacing w:after="40"/>
        <w:ind w:left="1928" w:hanging="283"/>
      </w:pPr>
      <w:r>
        <w:t>Configure authentication requirements.</w:t>
      </w:r>
    </w:p>
    <w:p>
      <w:pPr>
        <w:pStyle w:val="ListBullet"/>
        <w:keepNext/>
        <w:spacing w:after="40"/>
        <w:ind w:left="1928" w:hanging="283"/>
      </w:pPr>
      <w:r>
        <w:t>Configure authorization policies.</w:t>
      </w:r>
    </w:p>
    <w:p>
      <w:pPr>
        <w:pStyle w:val="ListBullet"/>
        <w:keepNext/>
        <w:spacing w:after="40"/>
        <w:ind w:left="1928" w:hanging="283"/>
      </w:pPr>
      <w:r>
        <w:t>Configure rate limits.</w:t>
      </w:r>
    </w:p>
    <w:p>
      <w:pPr>
        <w:pStyle w:val="ListBullet"/>
        <w:keepNext/>
        <w:spacing w:after="40"/>
        <w:ind w:left="1928" w:hanging="283"/>
      </w:pPr>
      <w:r>
        <w:t>Configure transformations.</w:t>
      </w:r>
    </w:p>
    <w:p>
      <w:pPr>
        <w:pStyle w:val="ListBullet"/>
        <w:keepNext/>
        <w:spacing w:after="40"/>
        <w:ind w:left="1928" w:hanging="283"/>
      </w:pPr>
      <w:r>
        <w:t>Configure caching where appropriate.</w:t>
      </w:r>
    </w:p>
    <w:p>
      <w:pPr>
        <w:pStyle w:val="ListBullet"/>
        <w:keepNext/>
        <w:spacing w:after="40"/>
        <w:ind w:left="1928" w:hanging="283"/>
      </w:pPr>
      <w:r>
        <w:t>Manage API versions.</w:t>
      </w:r>
    </w:p>
    <w:p>
      <w:pPr>
        <w:pStyle w:val="ListBullet"/>
        <w:keepNext/>
        <w:spacing w:after="40"/>
        <w:ind w:left="1928" w:hanging="283"/>
      </w:pPr>
      <w:r>
        <w:t>Manage consumers.</w:t>
      </w:r>
    </w:p>
    <w:p>
      <w:pPr>
        <w:pStyle w:val="ListBullet"/>
        <w:keepNext w:val="0"/>
        <w:spacing w:after="40"/>
        <w:ind w:left="1928" w:hanging="283"/>
      </w:pPr>
      <w:r>
        <w:t>Manage the API lifecycle.</w:t>
      </w:r>
    </w:p>
    <w:p>
      <w:pPr>
        <w:pStyle w:val="Requirement"/>
        <w:keepNext w:val="0"/>
      </w:pPr>
      <w:r>
        <w:rPr>
          <w:b/>
          <w:color w:val="1F3864"/>
          <w:sz w:val="19"/>
        </w:rPr>
        <w:t>GW-PRN-010</w:t>
      </w:r>
      <w:r>
        <w:tab/>
      </w:r>
      <w:r>
        <w:t xml:space="preserve">The Infrastructure Team </w:t>
      </w:r>
      <w:r>
        <w:rPr>
          <w:b/>
        </w:rPr>
        <w:t>should</w:t>
      </w:r>
      <w:r>
        <w:t xml:space="preserve"> provide the Platform and enforce organizational requirements where technically appropriate.</w:t>
      </w:r>
    </w:p>
    <w:p>
      <w:pPr>
        <w:pStyle w:val="Note"/>
      </w:pPr>
      <w:r>
        <w:rPr>
          <w:b/>
        </w:rPr>
        <w:t xml:space="preserve">Note. </w:t>
      </w:r>
      <w:r>
        <w:t>Not every organizational guideline needs to become a hard technical restriction. See Chapter 11.</w:t>
      </w:r>
    </w:p>
    <w:p>
      <w:pPr>
        <w:pStyle w:val="Heading2"/>
      </w:pPr>
      <w:r>
        <w:t>2.5</w:t>
        <w:tab/>
        <w:t>Summary of principles</w:t>
      </w:r>
    </w:p>
    <w:p>
      <w:r>
        <w:t>The following principles summarize the architecture. Each is specified in the chapter or section indicated.</w:t>
      </w:r>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Summary of architectural principles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567"/>
        <w:gridCol w:w="6237"/>
        <w:gridCol w:w="2268"/>
      </w:tblGrid>
      <w:tr>
        <w:trPr>
          <w:cantSplit/>
          <w:tblHeader/>
        </w:trPr>
        <w:tc>
          <w:tcPr>
            <w:tcW w:type="dxa" w:w="567"/>
            <w:shd w:val="clear" w:color="auto" w:fill="1F3864"/>
          </w:tcPr>
          <w:p>
            <w:pPr>
              <w:pStyle w:val="TableText"/>
            </w:pPr>
            <w:r>
              <w:rPr>
                <w:b/>
                <w:color w:val="FFFFFF"/>
              </w:rPr>
              <w:t>#</w:t>
            </w:r>
          </w:p>
        </w:tc>
        <w:tc>
          <w:tcPr>
            <w:tcW w:type="dxa" w:w="6236"/>
            <w:shd w:val="clear" w:color="auto" w:fill="1F3864"/>
          </w:tcPr>
          <w:p>
            <w:pPr>
              <w:pStyle w:val="TableText"/>
            </w:pPr>
            <w:r>
              <w:rPr>
                <w:b/>
                <w:color w:val="FFFFFF"/>
              </w:rPr>
              <w:t>Principle</w:t>
            </w:r>
          </w:p>
        </w:tc>
        <w:tc>
          <w:tcPr>
            <w:tcW w:type="dxa" w:w="2268"/>
            <w:shd w:val="clear" w:color="auto" w:fill="1F3864"/>
          </w:tcPr>
          <w:p>
            <w:pPr>
              <w:pStyle w:val="TableText"/>
            </w:pPr>
            <w:r>
              <w:rPr>
                <w:b/>
                <w:color w:val="FFFFFF"/>
              </w:rPr>
              <w:t>Specified in</w:t>
            </w:r>
          </w:p>
        </w:tc>
      </w:tr>
      <w:tr>
        <w:trPr>
          <w:cantSplit/>
        </w:trPr>
        <w:tc>
          <w:tcPr>
            <w:tcW w:type="dxa" w:w="567"/>
          </w:tcPr>
          <w:p>
            <w:pPr>
              <w:pStyle w:val="TableText"/>
            </w:pPr>
            <w:r>
              <w:t>1</w:t>
            </w:r>
          </w:p>
        </w:tc>
        <w:tc>
          <w:tcPr>
            <w:tcW w:type="dxa" w:w="6236"/>
          </w:tcPr>
          <w:p>
            <w:pPr>
              <w:pStyle w:val="TableText"/>
            </w:pPr>
            <w:r>
              <w:t>The Gateway is the central enforcement point for APIs exposed beyond their service boundary.</w:t>
            </w:r>
          </w:p>
        </w:tc>
        <w:tc>
          <w:tcPr>
            <w:tcW w:type="dxa" w:w="2268"/>
          </w:tcPr>
          <w:p>
            <w:pPr>
              <w:pStyle w:val="TableText"/>
            </w:pPr>
            <w:r>
              <w:t>Section 2.1</w:t>
            </w:r>
          </w:p>
        </w:tc>
      </w:tr>
      <w:tr>
        <w:trPr>
          <w:cantSplit/>
        </w:trPr>
        <w:tc>
          <w:tcPr>
            <w:tcW w:type="dxa" w:w="567"/>
          </w:tcPr>
          <w:p>
            <w:pPr>
              <w:pStyle w:val="TableText"/>
            </w:pPr>
            <w:r>
              <w:t>2</w:t>
            </w:r>
          </w:p>
        </w:tc>
        <w:tc>
          <w:tcPr>
            <w:tcW w:type="dxa" w:w="6236"/>
          </w:tcPr>
          <w:p>
            <w:pPr>
              <w:pStyle w:val="TableText"/>
            </w:pPr>
            <w:r>
              <w:t>The Gateway is infrastructure, not business logic.</w:t>
            </w:r>
          </w:p>
        </w:tc>
        <w:tc>
          <w:tcPr>
            <w:tcW w:type="dxa" w:w="2268"/>
          </w:tcPr>
          <w:p>
            <w:pPr>
              <w:pStyle w:val="TableText"/>
            </w:pPr>
            <w:r>
              <w:t>Section 2.2</w:t>
            </w:r>
          </w:p>
        </w:tc>
      </w:tr>
      <w:tr>
        <w:trPr>
          <w:cantSplit/>
        </w:trPr>
        <w:tc>
          <w:tcPr>
            <w:tcW w:type="dxa" w:w="567"/>
          </w:tcPr>
          <w:p>
            <w:pPr>
              <w:pStyle w:val="TableText"/>
            </w:pPr>
            <w:r>
              <w:t>3</w:t>
            </w:r>
          </w:p>
        </w:tc>
        <w:tc>
          <w:tcPr>
            <w:tcW w:type="dxa" w:w="6236"/>
          </w:tcPr>
          <w:p>
            <w:pPr>
              <w:pStyle w:val="TableText"/>
            </w:pPr>
            <w:r>
              <w:t>Application Teams own their APIs; the Infrastructure Team owns the Platform.</w:t>
            </w:r>
          </w:p>
        </w:tc>
        <w:tc>
          <w:tcPr>
            <w:tcW w:type="dxa" w:w="2268"/>
          </w:tcPr>
          <w:p>
            <w:pPr>
              <w:pStyle w:val="TableText"/>
            </w:pPr>
            <w:r>
              <w:t>Section 2.3</w:t>
            </w:r>
          </w:p>
        </w:tc>
      </w:tr>
      <w:tr>
        <w:trPr>
          <w:cantSplit/>
        </w:trPr>
        <w:tc>
          <w:tcPr>
            <w:tcW w:type="dxa" w:w="567"/>
          </w:tcPr>
          <w:p>
            <w:pPr>
              <w:pStyle w:val="TableText"/>
            </w:pPr>
            <w:r>
              <w:t>4</w:t>
            </w:r>
          </w:p>
        </w:tc>
        <w:tc>
          <w:tcPr>
            <w:tcW w:type="dxa" w:w="6236"/>
          </w:tcPr>
          <w:p>
            <w:pPr>
              <w:pStyle w:val="TableText"/>
            </w:pPr>
            <w:r>
              <w:t>Self-service is provided within organizational guardrails.</w:t>
            </w:r>
          </w:p>
        </w:tc>
        <w:tc>
          <w:tcPr>
            <w:tcW w:type="dxa" w:w="2268"/>
          </w:tcPr>
          <w:p>
            <w:pPr>
              <w:pStyle w:val="TableText"/>
            </w:pPr>
            <w:r>
              <w:t>Section 2.4</w:t>
            </w:r>
          </w:p>
        </w:tc>
      </w:tr>
      <w:tr>
        <w:trPr>
          <w:cantSplit/>
        </w:trPr>
        <w:tc>
          <w:tcPr>
            <w:tcW w:type="dxa" w:w="567"/>
          </w:tcPr>
          <w:p>
            <w:pPr>
              <w:pStyle w:val="TableText"/>
            </w:pPr>
            <w:r>
              <w:t>5</w:t>
            </w:r>
          </w:p>
        </w:tc>
        <w:tc>
          <w:tcPr>
            <w:tcW w:type="dxa" w:w="6236"/>
          </w:tcPr>
          <w:p>
            <w:pPr>
              <w:pStyle w:val="TableText"/>
            </w:pPr>
            <w:r>
              <w:t>C2B access uses short-lived access tokens issued by the organizational IdP.</w:t>
            </w:r>
          </w:p>
        </w:tc>
        <w:tc>
          <w:tcPr>
            <w:tcW w:type="dxa" w:w="2268"/>
          </w:tcPr>
          <w:p>
            <w:pPr>
              <w:pStyle w:val="TableText"/>
            </w:pPr>
            <w:r>
              <w:t>Section 4.2</w:t>
            </w:r>
          </w:p>
        </w:tc>
      </w:tr>
      <w:tr>
        <w:trPr>
          <w:cantSplit/>
        </w:trPr>
        <w:tc>
          <w:tcPr>
            <w:tcW w:type="dxa" w:w="567"/>
          </w:tcPr>
          <w:p>
            <w:pPr>
              <w:pStyle w:val="TableText"/>
            </w:pPr>
            <w:r>
              <w:t>6</w:t>
            </w:r>
          </w:p>
        </w:tc>
        <w:tc>
          <w:tcPr>
            <w:tcW w:type="dxa" w:w="6236"/>
          </w:tcPr>
          <w:p>
            <w:pPr>
              <w:pStyle w:val="TableText"/>
            </w:pPr>
            <w:r>
              <w:t>B2B access separates the client credential used to obtain tokens from the access token used to reach APIs; long-lived credentials are not transmitted with every request.</w:t>
            </w:r>
          </w:p>
        </w:tc>
        <w:tc>
          <w:tcPr>
            <w:tcW w:type="dxa" w:w="2268"/>
          </w:tcPr>
          <w:p>
            <w:pPr>
              <w:pStyle w:val="TableText"/>
            </w:pPr>
            <w:r>
              <w:t>Section 4.3</w:t>
            </w:r>
          </w:p>
        </w:tc>
      </w:tr>
      <w:tr>
        <w:trPr>
          <w:cantSplit/>
        </w:trPr>
        <w:tc>
          <w:tcPr>
            <w:tcW w:type="dxa" w:w="567"/>
          </w:tcPr>
          <w:p>
            <w:pPr>
              <w:pStyle w:val="TableText"/>
            </w:pPr>
            <w:r>
              <w:t>7</w:t>
            </w:r>
          </w:p>
        </w:tc>
        <w:tc>
          <w:tcPr>
            <w:tcW w:type="dxa" w:w="6236"/>
          </w:tcPr>
          <w:p>
            <w:pPr>
              <w:pStyle w:val="TableText"/>
            </w:pPr>
            <w:r>
              <w:t>Routing, version routing and health checks belong in the Gateway; load balancing between backend instances remains a separate responsibility.</w:t>
            </w:r>
          </w:p>
        </w:tc>
        <w:tc>
          <w:tcPr>
            <w:tcW w:type="dxa" w:w="2268"/>
          </w:tcPr>
          <w:p>
            <w:pPr>
              <w:pStyle w:val="TableText"/>
            </w:pPr>
            <w:r>
              <w:t>Section 5.1, 5.3, 5.4</w:t>
            </w:r>
          </w:p>
        </w:tc>
      </w:tr>
      <w:tr>
        <w:trPr>
          <w:cantSplit/>
        </w:trPr>
        <w:tc>
          <w:tcPr>
            <w:tcW w:type="dxa" w:w="567"/>
          </w:tcPr>
          <w:p>
            <w:pPr>
              <w:pStyle w:val="TableText"/>
            </w:pPr>
            <w:r>
              <w:t>8</w:t>
            </w:r>
          </w:p>
        </w:tc>
        <w:tc>
          <w:tcPr>
            <w:tcW w:type="dxa" w:w="6236"/>
          </w:tcPr>
          <w:p>
            <w:pPr>
              <w:pStyle w:val="TableText"/>
            </w:pPr>
            <w:r>
              <w:t>Timeouts are required; automatic retries are not enabled by default.</w:t>
            </w:r>
          </w:p>
        </w:tc>
        <w:tc>
          <w:tcPr>
            <w:tcW w:type="dxa" w:w="2268"/>
          </w:tcPr>
          <w:p>
            <w:pPr>
              <w:pStyle w:val="TableText"/>
            </w:pPr>
            <w:r>
              <w:t>Section 5.5, 5.6</w:t>
            </w:r>
          </w:p>
        </w:tc>
      </w:tr>
      <w:tr>
        <w:trPr>
          <w:cantSplit/>
        </w:trPr>
        <w:tc>
          <w:tcPr>
            <w:tcW w:type="dxa" w:w="567"/>
          </w:tcPr>
          <w:p>
            <w:pPr>
              <w:pStyle w:val="TableText"/>
            </w:pPr>
            <w:r>
              <w:t>9</w:t>
            </w:r>
          </w:p>
        </w:tc>
        <w:tc>
          <w:tcPr>
            <w:tcW w:type="dxa" w:w="6236"/>
          </w:tcPr>
          <w:p>
            <w:pPr>
              <w:pStyle w:val="TableText"/>
            </w:pPr>
            <w:r>
              <w:t>Rate limiting protects services and enforces consumption policies.</w:t>
            </w:r>
          </w:p>
        </w:tc>
        <w:tc>
          <w:tcPr>
            <w:tcW w:type="dxa" w:w="2268"/>
          </w:tcPr>
          <w:p>
            <w:pPr>
              <w:pStyle w:val="TableText"/>
            </w:pPr>
            <w:r>
              <w:t>Section 5.7</w:t>
            </w:r>
          </w:p>
        </w:tc>
      </w:tr>
      <w:tr>
        <w:trPr>
          <w:cantSplit/>
        </w:trPr>
        <w:tc>
          <w:tcPr>
            <w:tcW w:type="dxa" w:w="567"/>
          </w:tcPr>
          <w:p>
            <w:pPr>
              <w:pStyle w:val="TableText"/>
            </w:pPr>
            <w:r>
              <w:t>10</w:t>
            </w:r>
          </w:p>
        </w:tc>
        <w:tc>
          <w:tcPr>
            <w:tcW w:type="dxa" w:w="6236"/>
          </w:tcPr>
          <w:p>
            <w:pPr>
              <w:pStyle w:val="TableText"/>
            </w:pPr>
            <w:r>
              <w:t>Transformation, caching and schema validation are available capabilities, enabled where appropriate and never used to implement business logic.</w:t>
            </w:r>
          </w:p>
        </w:tc>
        <w:tc>
          <w:tcPr>
            <w:tcW w:type="dxa" w:w="2268"/>
          </w:tcPr>
          <w:p>
            <w:pPr>
              <w:pStyle w:val="TableText"/>
            </w:pPr>
            <w:r>
              <w:t>Chapter 6</w:t>
            </w:r>
          </w:p>
        </w:tc>
      </w:tr>
      <w:tr>
        <w:trPr>
          <w:cantSplit/>
        </w:trPr>
        <w:tc>
          <w:tcPr>
            <w:tcW w:type="dxa" w:w="567"/>
          </w:tcPr>
          <w:p>
            <w:pPr>
              <w:pStyle w:val="TableText"/>
            </w:pPr>
            <w:r>
              <w:t>11</w:t>
            </w:r>
          </w:p>
        </w:tc>
        <w:tc>
          <w:tcPr>
            <w:tcW w:type="dxa" w:w="6236"/>
          </w:tcPr>
          <w:p>
            <w:pPr>
              <w:pStyle w:val="TableText"/>
            </w:pPr>
            <w:r>
              <w:t>WAF functionality remains separate from the Gateway.</w:t>
            </w:r>
          </w:p>
        </w:tc>
        <w:tc>
          <w:tcPr>
            <w:tcW w:type="dxa" w:w="2268"/>
          </w:tcPr>
          <w:p>
            <w:pPr>
              <w:pStyle w:val="TableText"/>
            </w:pPr>
            <w:r>
              <w:t>Section 12.2</w:t>
            </w:r>
          </w:p>
        </w:tc>
      </w:tr>
      <w:tr>
        <w:trPr>
          <w:cantSplit/>
        </w:trPr>
        <w:tc>
          <w:tcPr>
            <w:tcW w:type="dxa" w:w="567"/>
          </w:tcPr>
          <w:p>
            <w:pPr>
              <w:pStyle w:val="TableText"/>
            </w:pPr>
            <w:r>
              <w:t>12</w:t>
            </w:r>
          </w:p>
        </w:tc>
        <w:tc>
          <w:tcPr>
            <w:tcW w:type="dxa" w:w="6236"/>
          </w:tcPr>
          <w:p>
            <w:pPr>
              <w:pStyle w:val="TableText"/>
            </w:pPr>
            <w:r>
              <w:t>Git is the source of truth for API configuration; production changes follow a controlled GitOps process; secrets are never stored in Git.</w:t>
            </w:r>
          </w:p>
        </w:tc>
        <w:tc>
          <w:tcPr>
            <w:tcW w:type="dxa" w:w="2268"/>
          </w:tcPr>
          <w:p>
            <w:pPr>
              <w:pStyle w:val="TableText"/>
            </w:pPr>
            <w:r>
              <w:t>Chapter 8</w:t>
            </w:r>
          </w:p>
        </w:tc>
      </w:tr>
      <w:tr>
        <w:trPr>
          <w:cantSplit/>
        </w:trPr>
        <w:tc>
          <w:tcPr>
            <w:tcW w:type="dxa" w:w="567"/>
          </w:tcPr>
          <w:p>
            <w:pPr>
              <w:pStyle w:val="TableText"/>
            </w:pPr>
            <w:r>
              <w:t>13</w:t>
            </w:r>
          </w:p>
        </w:tc>
        <w:tc>
          <w:tcPr>
            <w:tcW w:type="dxa" w:w="6236"/>
          </w:tcPr>
          <w:p>
            <w:pPr>
              <w:pStyle w:val="TableText"/>
            </w:pPr>
            <w:r>
              <w:t>Audit logging is mandatory for administrative and configuration changes.</w:t>
            </w:r>
          </w:p>
        </w:tc>
        <w:tc>
          <w:tcPr>
            <w:tcW w:type="dxa" w:w="2268"/>
          </w:tcPr>
          <w:p>
            <w:pPr>
              <w:pStyle w:val="TableText"/>
            </w:pPr>
            <w:r>
              <w:t>Section 9.3</w:t>
            </w:r>
          </w:p>
        </w:tc>
      </w:tr>
      <w:tr>
        <w:trPr>
          <w:cantSplit/>
        </w:trPr>
        <w:tc>
          <w:tcPr>
            <w:tcW w:type="dxa" w:w="567"/>
          </w:tcPr>
          <w:p>
            <w:pPr>
              <w:pStyle w:val="TableText"/>
            </w:pPr>
            <w:r>
              <w:t>14</w:t>
            </w:r>
          </w:p>
        </w:tc>
        <w:tc>
          <w:tcPr>
            <w:tcW w:type="dxa" w:w="6236"/>
          </w:tcPr>
          <w:p>
            <w:pPr>
              <w:pStyle w:val="TableText"/>
            </w:pPr>
            <w:r>
              <w:t>The Platform provides at least 99.9% monthly availability.</w:t>
            </w:r>
          </w:p>
        </w:tc>
        <w:tc>
          <w:tcPr>
            <w:tcW w:type="dxa" w:w="2268"/>
          </w:tcPr>
          <w:p>
            <w:pPr>
              <w:pStyle w:val="TableText"/>
            </w:pPr>
            <w:r>
              <w:t>Section 10.1</w:t>
            </w:r>
          </w:p>
        </w:tc>
      </w:tr>
      <w:tr>
        <w:trPr>
          <w:cantSplit/>
        </w:trPr>
        <w:tc>
          <w:tcPr>
            <w:tcW w:type="dxa" w:w="567"/>
          </w:tcPr>
          <w:p>
            <w:pPr>
              <w:pStyle w:val="TableText"/>
            </w:pPr>
            <w:r>
              <w:t>15</w:t>
            </w:r>
          </w:p>
        </w:tc>
        <w:tc>
          <w:tcPr>
            <w:tcW w:type="dxa" w:w="6236"/>
          </w:tcPr>
          <w:p>
            <w:pPr>
              <w:pStyle w:val="TableText"/>
            </w:pPr>
            <w:r>
              <w:t>Gateways are deployed at the sites where applications run; centralized management is combined with a distributed runtime, and loss of the Management Plane does not immediately stop configured API traffic.</w:t>
            </w:r>
          </w:p>
        </w:tc>
        <w:tc>
          <w:tcPr>
            <w:tcW w:type="dxa" w:w="2268"/>
          </w:tcPr>
          <w:p>
            <w:pPr>
              <w:pStyle w:val="TableText"/>
            </w:pPr>
            <w:r>
              <w:t>Section 10.3, 10.4</w:t>
            </w:r>
          </w:p>
        </w:tc>
      </w:tr>
      <w:tr>
        <w:trPr>
          <w:cantSplit/>
        </w:trPr>
        <w:tc>
          <w:tcPr>
            <w:tcW w:type="dxa" w:w="567"/>
          </w:tcPr>
          <w:p>
            <w:pPr>
              <w:pStyle w:val="TableText"/>
            </w:pPr>
            <w:r>
              <w:t>16</w:t>
            </w:r>
          </w:p>
        </w:tc>
        <w:tc>
          <w:tcPr>
            <w:tcW w:type="dxa" w:w="6236"/>
          </w:tcPr>
          <w:p>
            <w:pPr>
              <w:pStyle w:val="TableText"/>
            </w:pPr>
            <w:r>
              <w:t>Governance combines enforceable guardrails with standards and guidelines.</w:t>
            </w:r>
          </w:p>
        </w:tc>
        <w:tc>
          <w:tcPr>
            <w:tcW w:type="dxa" w:w="2268"/>
          </w:tcPr>
          <w:p>
            <w:pPr>
              <w:pStyle w:val="TableText"/>
            </w:pPr>
            <w:r>
              <w:t>Chapter 11</w:t>
            </w:r>
          </w:p>
        </w:tc>
      </w:tr>
      <w:tr>
        <w:trPr>
          <w:cantSplit/>
        </w:trPr>
        <w:tc>
          <w:tcPr>
            <w:tcW w:type="dxa" w:w="567"/>
          </w:tcPr>
          <w:p>
            <w:pPr>
              <w:pStyle w:val="TableText"/>
            </w:pPr>
            <w:r>
              <w:t>17</w:t>
            </w:r>
          </w:p>
        </w:tc>
        <w:tc>
          <w:tcPr>
            <w:tcW w:type="dxa" w:w="6236"/>
          </w:tcPr>
          <w:p>
            <w:pPr>
              <w:pStyle w:val="TableText"/>
            </w:pPr>
            <w:r>
              <w:t>The architecture remains as vendor agnostic as reasonably possible.</w:t>
            </w:r>
          </w:p>
        </w:tc>
        <w:tc>
          <w:tcPr>
            <w:tcW w:type="dxa" w:w="2268"/>
          </w:tcPr>
          <w:p>
            <w:pPr>
              <w:pStyle w:val="TableText"/>
            </w:pPr>
            <w:r>
              <w:t>Chapter 13</w:t>
            </w:r>
          </w:p>
        </w:tc>
      </w:tr>
    </w:tbl>
    <w:p>
      <w:pPr>
        <w:spacing w:after="40"/>
      </w:pPr>
    </w:p>
    <w:p>
      <w:r>
        <w:t>The overall objective is to provide a secure, highly available, observable, governed and self-service API platform while keeping the ownership boundary clear:</w:t>
      </w:r>
    </w:p>
    <w:p>
      <w:pPr>
        <w:pStyle w:val="Note"/>
      </w:pPr>
      <w:r>
        <w:rPr>
          <w:b/>
        </w:rPr>
        <w:t>The infrastructure team provides and protects the road. The application team owns where the road goes and what happens at the destination.</w:t>
      </w:r>
    </w:p>
    <w:p>
      <w:pPr>
        <w:pStyle w:val="Heading1"/>
        <w:spacing w:before="520"/>
      </w:pPr>
      <w:r>
        <w:t>3</w:t>
        <w:tab/>
        <w:t>Roles and Responsibilities</w:t>
      </w:r>
    </w:p>
    <w:p>
      <w:pPr>
        <w:pStyle w:val="Heading2"/>
      </w:pPr>
      <w:r>
        <w:t>3.1</w:t>
        <w:tab/>
        <w:t>Roles</w:t>
      </w:r>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Roles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Role</w:t>
            </w:r>
          </w:p>
        </w:tc>
        <w:tc>
          <w:tcPr>
            <w:tcW w:type="dxa" w:w="6690"/>
            <w:shd w:val="clear" w:color="auto" w:fill="1F3864"/>
          </w:tcPr>
          <w:p>
            <w:pPr>
              <w:pStyle w:val="TableText"/>
            </w:pPr>
            <w:r>
              <w:rPr>
                <w:b/>
                <w:color w:val="FFFFFF"/>
              </w:rPr>
              <w:t>Description</w:t>
            </w:r>
          </w:p>
        </w:tc>
      </w:tr>
      <w:tr>
        <w:trPr>
          <w:cantSplit/>
        </w:trPr>
        <w:tc>
          <w:tcPr>
            <w:tcW w:type="dxa" w:w="2381"/>
            <w:shd w:val="clear" w:color="auto" w:fill="F2F5FA"/>
          </w:tcPr>
          <w:p>
            <w:pPr>
              <w:pStyle w:val="TableText"/>
            </w:pPr>
            <w:r>
              <w:rPr>
                <w:b/>
              </w:rPr>
              <w:t>Application Team</w:t>
            </w:r>
          </w:p>
        </w:tc>
        <w:tc>
          <w:tcPr>
            <w:tcW w:type="dxa" w:w="6690"/>
          </w:tcPr>
          <w:p>
            <w:pPr>
              <w:pStyle w:val="TableText"/>
            </w:pPr>
            <w:r>
              <w:t>Owns an API and its business logic; defines requirements for access, authorization, routing and rate limits; manages consumers and the API lifecycle.</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Owns and operates the Platform; provides the capabilities and guardrails through which Application Teams manage their APIs.</w:t>
            </w:r>
          </w:p>
        </w:tc>
      </w:tr>
      <w:tr>
        <w:trPr>
          <w:cantSplit/>
        </w:trPr>
        <w:tc>
          <w:tcPr>
            <w:tcW w:type="dxa" w:w="2381"/>
            <w:shd w:val="clear" w:color="auto" w:fill="F2F5FA"/>
          </w:tcPr>
          <w:p>
            <w:pPr>
              <w:pStyle w:val="TableText"/>
            </w:pPr>
            <w:r>
              <w:rPr>
                <w:b/>
              </w:rPr>
              <w:t>Governance body</w:t>
            </w:r>
          </w:p>
        </w:tc>
        <w:tc>
          <w:tcPr>
            <w:tcW w:type="dxa" w:w="6690"/>
          </w:tcPr>
          <w:p>
            <w:pPr>
              <w:pStyle w:val="TableText"/>
            </w:pPr>
            <w:r>
              <w:t>Defines API standards and policies for the organization (see Section 11.5).</w:t>
            </w:r>
          </w:p>
        </w:tc>
      </w:tr>
    </w:tbl>
    <w:p>
      <w:pPr>
        <w:spacing w:after="40"/>
      </w:pPr>
    </w:p>
    <w:p>
      <w:pPr>
        <w:pStyle w:val="Heading2"/>
      </w:pPr>
      <w:r>
        <w:t>3.2</w:t>
        <w:tab/>
        <w:t>Responsibility matrix</w:t>
      </w:r>
    </w:p>
    <w:p>
      <w:pPr>
        <w:pStyle w:val="Requirement"/>
        <w:keepNext w:val="0"/>
      </w:pPr>
      <w:r>
        <w:rPr>
          <w:b/>
          <w:color w:val="1F3864"/>
          <w:sz w:val="19"/>
        </w:rPr>
        <w:t>GW-ROL-001</w:t>
      </w:r>
      <w:r>
        <w:tab/>
      </w:r>
      <w:r>
        <w:t xml:space="preserve">Responsibilities </w:t>
      </w:r>
      <w:r>
        <w:rPr>
          <w:b/>
        </w:rPr>
        <w:t>shall</w:t>
      </w:r>
      <w:r>
        <w:t xml:space="preserve"> be allocated between Application Teams and the Infrastructure Team as set out in Table 5.</w:t>
      </w:r>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Responsibility matrix</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3345"/>
        <w:gridCol w:w="3118"/>
      </w:tblGrid>
      <w:tr>
        <w:trPr>
          <w:cantSplit/>
          <w:tblHeader/>
        </w:trPr>
        <w:tc>
          <w:tcPr>
            <w:tcW w:type="dxa" w:w="2608"/>
            <w:shd w:val="clear" w:color="auto" w:fill="1F3864"/>
          </w:tcPr>
          <w:p>
            <w:pPr>
              <w:pStyle w:val="TableText"/>
            </w:pPr>
            <w:r>
              <w:rPr>
                <w:b/>
                <w:color w:val="FFFFFF"/>
              </w:rPr>
              <w:t>Area</w:t>
            </w:r>
          </w:p>
        </w:tc>
        <w:tc>
          <w:tcPr>
            <w:tcW w:type="dxa" w:w="3345"/>
            <w:shd w:val="clear" w:color="auto" w:fill="1F3864"/>
          </w:tcPr>
          <w:p>
            <w:pPr>
              <w:pStyle w:val="TableText"/>
            </w:pPr>
            <w:r>
              <w:rPr>
                <w:b/>
                <w:color w:val="FFFFFF"/>
              </w:rPr>
              <w:t>Application Team</w:t>
            </w:r>
          </w:p>
        </w:tc>
        <w:tc>
          <w:tcPr>
            <w:tcW w:type="dxa" w:w="3118"/>
            <w:shd w:val="clear" w:color="auto" w:fill="1F3864"/>
          </w:tcPr>
          <w:p>
            <w:pPr>
              <w:pStyle w:val="TableText"/>
            </w:pPr>
            <w:r>
              <w:rPr>
                <w:b/>
                <w:color w:val="FFFFFF"/>
              </w:rPr>
              <w:t>Infrastructure Team</w:t>
            </w:r>
          </w:p>
        </w:tc>
      </w:tr>
      <w:tr>
        <w:trPr>
          <w:cantSplit/>
        </w:trPr>
        <w:tc>
          <w:tcPr>
            <w:tcW w:type="dxa" w:w="2608"/>
            <w:shd w:val="clear" w:color="auto" w:fill="F2F5FA"/>
          </w:tcPr>
          <w:p>
            <w:pPr>
              <w:pStyle w:val="TableText"/>
            </w:pPr>
            <w:r>
              <w:rPr>
                <w:b/>
              </w:rPr>
              <w:t>API design</w:t>
            </w:r>
          </w:p>
        </w:tc>
        <w:tc>
          <w:tcPr>
            <w:tcW w:type="dxa" w:w="3345"/>
          </w:tcPr>
          <w:p>
            <w:pPr>
              <w:pStyle w:val="TableText"/>
            </w:pPr>
            <w:r>
              <w:t>Owns</w:t>
            </w:r>
          </w:p>
        </w:tc>
        <w:tc>
          <w:tcPr>
            <w:tcW w:type="dxa" w:w="3118"/>
          </w:tcPr>
          <w:p>
            <w:pPr>
              <w:pStyle w:val="TableText"/>
            </w:pPr>
            <w:r>
              <w:t>Provides platform support</w:t>
            </w:r>
          </w:p>
        </w:tc>
      </w:tr>
      <w:tr>
        <w:trPr>
          <w:cantSplit/>
        </w:trPr>
        <w:tc>
          <w:tcPr>
            <w:tcW w:type="dxa" w:w="2608"/>
            <w:shd w:val="clear" w:color="auto" w:fill="F2F5FA"/>
          </w:tcPr>
          <w:p>
            <w:pPr>
              <w:pStyle w:val="TableText"/>
            </w:pPr>
            <w:r>
              <w:rPr>
                <w:b/>
              </w:rPr>
              <w:t>API contract</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Business logic</w:t>
            </w:r>
          </w:p>
        </w:tc>
        <w:tc>
          <w:tcPr>
            <w:tcW w:type="dxa" w:w="3345"/>
          </w:tcPr>
          <w:p>
            <w:pPr>
              <w:pStyle w:val="TableText"/>
            </w:pPr>
            <w:r>
              <w:t>Owns</w:t>
            </w:r>
          </w:p>
        </w:tc>
        <w:tc>
          <w:tcPr>
            <w:tcW w:type="dxa" w:w="3118"/>
          </w:tcPr>
          <w:p>
            <w:pPr>
              <w:pStyle w:val="TableText"/>
            </w:pPr>
            <w:r>
              <w:t>Not responsible</w:t>
            </w:r>
          </w:p>
        </w:tc>
      </w:tr>
      <w:tr>
        <w:trPr>
          <w:cantSplit/>
        </w:trPr>
        <w:tc>
          <w:tcPr>
            <w:tcW w:type="dxa" w:w="2608"/>
            <w:shd w:val="clear" w:color="auto" w:fill="F2F5FA"/>
          </w:tcPr>
          <w:p>
            <w:pPr>
              <w:pStyle w:val="TableText"/>
            </w:pPr>
            <w:r>
              <w:rPr>
                <w:b/>
              </w:rPr>
              <w:t>Consumers</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Authorization policy</w:t>
            </w:r>
          </w:p>
        </w:tc>
        <w:tc>
          <w:tcPr>
            <w:tcW w:type="dxa" w:w="3345"/>
          </w:tcPr>
          <w:p>
            <w:pPr>
              <w:pStyle w:val="TableText"/>
            </w:pPr>
            <w:r>
              <w:t>Defines the requirement</w:t>
            </w:r>
          </w:p>
        </w:tc>
        <w:tc>
          <w:tcPr>
            <w:tcW w:type="dxa" w:w="3118"/>
          </w:tcPr>
          <w:p>
            <w:pPr>
              <w:pStyle w:val="TableText"/>
            </w:pPr>
            <w:r>
              <w:t>Provides enforcement</w:t>
            </w:r>
          </w:p>
        </w:tc>
      </w:tr>
      <w:tr>
        <w:trPr>
          <w:cantSplit/>
        </w:trPr>
        <w:tc>
          <w:tcPr>
            <w:tcW w:type="dxa" w:w="2608"/>
            <w:shd w:val="clear" w:color="auto" w:fill="F2F5FA"/>
          </w:tcPr>
          <w:p>
            <w:pPr>
              <w:pStyle w:val="TableText"/>
            </w:pPr>
            <w:r>
              <w:rPr>
                <w:b/>
              </w:rPr>
              <w:t>Authentication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Routing</w:t>
            </w:r>
          </w:p>
        </w:tc>
        <w:tc>
          <w:tcPr>
            <w:tcW w:type="dxa" w:w="3345"/>
          </w:tcPr>
          <w:p>
            <w:pPr>
              <w:pStyle w:val="TableText"/>
            </w:pPr>
            <w:r>
              <w:t>Defines the destination</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Rate limiting</w:t>
            </w:r>
          </w:p>
        </w:tc>
        <w:tc>
          <w:tcPr>
            <w:tcW w:type="dxa" w:w="3345"/>
          </w:tcPr>
          <w:p>
            <w:pPr>
              <w:pStyle w:val="TableText"/>
            </w:pPr>
            <w:r>
              <w:t>Defines the requirement</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Health checks</w:t>
            </w:r>
          </w:p>
        </w:tc>
        <w:tc>
          <w:tcPr>
            <w:tcW w:type="dxa" w:w="3345"/>
          </w:tcPr>
          <w:p>
            <w:pPr>
              <w:pStyle w:val="TableText"/>
            </w:pPr>
            <w:r>
              <w:t>Defines the appropriate endpoint and behavior</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Gateway platform</w:t>
            </w:r>
          </w:p>
        </w:tc>
        <w:tc>
          <w:tcPr>
            <w:tcW w:type="dxa" w:w="3345"/>
          </w:tcPr>
          <w:p>
            <w:pPr>
              <w:pStyle w:val="TableText"/>
            </w:pPr>
            <w:r>
              <w:t>Consumes</w:t>
            </w:r>
          </w:p>
        </w:tc>
        <w:tc>
          <w:tcPr>
            <w:tcW w:type="dxa" w:w="3118"/>
          </w:tcPr>
          <w:p>
            <w:pPr>
              <w:pStyle w:val="TableText"/>
            </w:pPr>
            <w:r>
              <w:t>Owns</w:t>
            </w:r>
          </w:p>
        </w:tc>
      </w:tr>
      <w:tr>
        <w:trPr>
          <w:cantSplit/>
        </w:trPr>
        <w:tc>
          <w:tcPr>
            <w:tcW w:type="dxa" w:w="2608"/>
            <w:shd w:val="clear" w:color="auto" w:fill="F2F5FA"/>
          </w:tcPr>
          <w:p>
            <w:pPr>
              <w:pStyle w:val="TableText"/>
            </w:pPr>
            <w:r>
              <w:rPr>
                <w:b/>
              </w:rPr>
              <w:t>Availability of the Gateway</w:t>
            </w:r>
          </w:p>
        </w:tc>
        <w:tc>
          <w:tcPr>
            <w:tcW w:type="dxa" w:w="3345"/>
          </w:tcPr>
          <w:p>
            <w:pPr>
              <w:pStyle w:val="TableText"/>
            </w:pPr>
            <w:r>
              <w:t>—</w:t>
            </w:r>
          </w:p>
        </w:tc>
        <w:tc>
          <w:tcPr>
            <w:tcW w:type="dxa" w:w="3118"/>
          </w:tcPr>
          <w:p>
            <w:pPr>
              <w:pStyle w:val="TableText"/>
            </w:pPr>
            <w:r>
              <w:t>Owns</w:t>
            </w:r>
          </w:p>
        </w:tc>
      </w:tr>
      <w:tr>
        <w:trPr>
          <w:cantSplit/>
        </w:trPr>
        <w:tc>
          <w:tcPr>
            <w:tcW w:type="dxa" w:w="2608"/>
            <w:shd w:val="clear" w:color="auto" w:fill="F2F5FA"/>
          </w:tcPr>
          <w:p>
            <w:pPr>
              <w:pStyle w:val="TableText"/>
            </w:pPr>
            <w:r>
              <w:rPr>
                <w:b/>
              </w:rPr>
              <w:t>GitOps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Logging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Audit</w:t>
            </w:r>
          </w:p>
        </w:tc>
        <w:tc>
          <w:tcPr>
            <w:tcW w:type="dxa" w:w="3345"/>
          </w:tcPr>
          <w:p>
            <w:pPr>
              <w:pStyle w:val="TableText"/>
            </w:pPr>
            <w:r>
              <w:t>Participates</w:t>
            </w:r>
          </w:p>
        </w:tc>
        <w:tc>
          <w:tcPr>
            <w:tcW w:type="dxa" w:w="3118"/>
          </w:tcPr>
          <w:p>
            <w:pPr>
              <w:pStyle w:val="TableText"/>
            </w:pPr>
            <w:r>
              <w:t>Owns the platform</w:t>
            </w:r>
          </w:p>
        </w:tc>
      </w:tr>
      <w:tr>
        <w:trPr>
          <w:cantSplit/>
        </w:trPr>
        <w:tc>
          <w:tcPr>
            <w:tcW w:type="dxa" w:w="2608"/>
            <w:shd w:val="clear" w:color="auto" w:fill="F2F5FA"/>
          </w:tcPr>
          <w:p>
            <w:pPr>
              <w:pStyle w:val="TableText"/>
            </w:pPr>
            <w:r>
              <w:rPr>
                <w:b/>
              </w:rPr>
              <w:t>WAF</w:t>
            </w:r>
          </w:p>
        </w:tc>
        <w:tc>
          <w:tcPr>
            <w:tcW w:type="dxa" w:w="3345"/>
          </w:tcPr>
          <w:p>
            <w:pPr>
              <w:pStyle w:val="TableText"/>
            </w:pPr>
            <w:r>
              <w:t>Separate capability</w:t>
            </w:r>
          </w:p>
        </w:tc>
        <w:tc>
          <w:tcPr>
            <w:tcW w:type="dxa" w:w="3118"/>
          </w:tcPr>
          <w:p>
            <w:pPr>
              <w:pStyle w:val="TableText"/>
            </w:pPr>
            <w:r>
              <w:t>Separate responsibility</w:t>
            </w:r>
          </w:p>
        </w:tc>
      </w:tr>
      <w:tr>
        <w:trPr>
          <w:cantSplit/>
        </w:trPr>
        <w:tc>
          <w:tcPr>
            <w:tcW w:type="dxa" w:w="2608"/>
            <w:shd w:val="clear" w:color="auto" w:fill="F2F5FA"/>
          </w:tcPr>
          <w:p>
            <w:pPr>
              <w:pStyle w:val="TableText"/>
            </w:pPr>
            <w:r>
              <w:rPr>
                <w:b/>
              </w:rPr>
              <w:t>Load balancing</w:t>
            </w:r>
          </w:p>
        </w:tc>
        <w:tc>
          <w:tcPr>
            <w:tcW w:type="dxa" w:w="3345"/>
          </w:tcPr>
          <w:p>
            <w:pPr>
              <w:pStyle w:val="TableText"/>
            </w:pPr>
            <w:r>
              <w:t>Application and platform architecture</w:t>
            </w:r>
          </w:p>
        </w:tc>
        <w:tc>
          <w:tcPr>
            <w:tcW w:type="dxa" w:w="3118"/>
          </w:tcPr>
          <w:p>
            <w:pPr>
              <w:pStyle w:val="TableText"/>
            </w:pPr>
            <w:r>
              <w:t>Provides Gateway integration</w:t>
            </w:r>
          </w:p>
        </w:tc>
      </w:tr>
    </w:tbl>
    <w:p>
      <w:pPr>
        <w:spacing w:after="40"/>
      </w:pPr>
    </w:p>
    <w:p>
      <w:pPr>
        <w:pStyle w:val="Heading1"/>
        <w:spacing w:before="520"/>
      </w:pPr>
      <w:r>
        <w:t>4</w:t>
        <w:tab/>
        <w:t>Identity, Authentication and Authorization</w:t>
      </w:r>
    </w:p>
    <w:p>
      <w:pPr>
        <w:pStyle w:val="Heading2"/>
      </w:pPr>
      <w:r>
        <w:t>4.1</w:t>
        <w:tab/>
        <w:t>Consumer categories</w:t>
      </w:r>
    </w:p>
    <w:p>
      <w:r>
        <w:t>The Gateway distinguishes between two primary consumer categories. The categories describe the consumer and its identity model, not a specific product implementation.</w:t>
      </w:r>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Consumer categories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494"/>
        <w:gridCol w:w="2268"/>
        <w:gridCol w:w="4309"/>
      </w:tblGrid>
      <w:tr>
        <w:trPr>
          <w:cantSplit/>
          <w:tblHeader/>
        </w:trPr>
        <w:tc>
          <w:tcPr>
            <w:tcW w:type="dxa" w:w="2494"/>
            <w:shd w:val="clear" w:color="auto" w:fill="1F3864"/>
          </w:tcPr>
          <w:p>
            <w:pPr>
              <w:pStyle w:val="TableText"/>
            </w:pPr>
            <w:r>
              <w:rPr>
                <w:b/>
                <w:color w:val="FFFFFF"/>
              </w:rPr>
              <w:t>Category</w:t>
            </w:r>
          </w:p>
        </w:tc>
        <w:tc>
          <w:tcPr>
            <w:tcW w:type="dxa" w:w="2268"/>
            <w:shd w:val="clear" w:color="auto" w:fill="1F3864"/>
          </w:tcPr>
          <w:p>
            <w:pPr>
              <w:pStyle w:val="TableText"/>
            </w:pPr>
            <w:r>
              <w:rPr>
                <w:b/>
                <w:color w:val="FFFFFF"/>
              </w:rPr>
              <w:t>Consumer</w:t>
            </w:r>
          </w:p>
        </w:tc>
        <w:tc>
          <w:tcPr>
            <w:tcW w:type="dxa" w:w="4309"/>
            <w:shd w:val="clear" w:color="auto" w:fill="1F3864"/>
          </w:tcPr>
          <w:p>
            <w:pPr>
              <w:pStyle w:val="TableText"/>
            </w:pPr>
            <w:r>
              <w:rPr>
                <w:b/>
                <w:color w:val="FFFFFF"/>
              </w:rPr>
              <w:t>Identity model</w:t>
            </w:r>
          </w:p>
        </w:tc>
      </w:tr>
      <w:tr>
        <w:trPr>
          <w:cantSplit/>
        </w:trPr>
        <w:tc>
          <w:tcPr>
            <w:tcW w:type="dxa" w:w="2494"/>
            <w:shd w:val="clear" w:color="auto" w:fill="F2F5FA"/>
          </w:tcPr>
          <w:p>
            <w:pPr>
              <w:pStyle w:val="TableText"/>
            </w:pPr>
            <w:r>
              <w:rPr>
                <w:b/>
              </w:rPr>
              <w:t>C2B (Consumer to Business)</w:t>
            </w:r>
          </w:p>
        </w:tc>
        <w:tc>
          <w:tcPr>
            <w:tcW w:type="dxa" w:w="2268"/>
          </w:tcPr>
          <w:p>
            <w:pPr>
              <w:pStyle w:val="TableText"/>
            </w:pPr>
            <w:r>
              <w:t>A human user</w:t>
            </w:r>
          </w:p>
        </w:tc>
        <w:tc>
          <w:tcPr>
            <w:tcW w:type="dxa" w:w="4309"/>
          </w:tcPr>
          <w:p>
            <w:pPr>
              <w:pStyle w:val="TableText"/>
            </w:pPr>
            <w:r>
              <w:t>Authenticates through the organization's IdP and receives a short-lived access token.</w:t>
            </w:r>
          </w:p>
        </w:tc>
      </w:tr>
      <w:tr>
        <w:trPr>
          <w:cantSplit/>
        </w:trPr>
        <w:tc>
          <w:tcPr>
            <w:tcW w:type="dxa" w:w="2494"/>
            <w:shd w:val="clear" w:color="auto" w:fill="F2F5FA"/>
          </w:tcPr>
          <w:p>
            <w:pPr>
              <w:pStyle w:val="TableText"/>
            </w:pPr>
            <w:r>
              <w:rPr>
                <w:b/>
              </w:rPr>
              <w:t>B2B (Business to Business)</w:t>
            </w:r>
          </w:p>
        </w:tc>
        <w:tc>
          <w:tcPr>
            <w:tcW w:type="dxa" w:w="2268"/>
          </w:tcPr>
          <w:p>
            <w:pPr>
              <w:pStyle w:val="TableText"/>
            </w:pPr>
            <w:r>
              <w:t>Another system or application</w:t>
            </w:r>
          </w:p>
        </w:tc>
        <w:tc>
          <w:tcPr>
            <w:tcW w:type="dxa" w:w="4309"/>
          </w:tcPr>
          <w:p>
            <w:pPr>
              <w:pStyle w:val="TableText"/>
            </w:pPr>
            <w:r>
              <w:t>Uses a client credential to obtain a short-lived access token from the IdP or token service.</w:t>
            </w:r>
          </w:p>
        </w:tc>
      </w:tr>
    </w:tbl>
    <w:p>
      <w:pPr>
        <w:spacing w:after="40"/>
      </w:pPr>
    </w:p>
    <w:p>
      <w:pPr>
        <w:pStyle w:val="Requirement"/>
        <w:keepNext w:val="0"/>
      </w:pPr>
      <w:r>
        <w:rPr>
          <w:b/>
          <w:color w:val="1F3864"/>
          <w:sz w:val="19"/>
        </w:rPr>
        <w:t>GW-IAM-001</w:t>
      </w:r>
      <w:r>
        <w:tab/>
      </w:r>
      <w:r>
        <w:t xml:space="preserve">The Gateway </w:t>
      </w:r>
      <w:r>
        <w:rPr>
          <w:b/>
        </w:rPr>
        <w:t>should</w:t>
      </w:r>
      <w:r>
        <w:t xml:space="preserve"> distinguish between C2B and B2B consumers.</w:t>
      </w:r>
    </w:p>
    <w:p>
      <w:pPr>
        <w:pStyle w:val="Requirement"/>
        <w:keepNext w:val="0"/>
      </w:pPr>
      <w:r>
        <w:rPr>
          <w:b/>
          <w:color w:val="1F3864"/>
          <w:sz w:val="19"/>
        </w:rPr>
        <w:t>GW-IAM-002</w:t>
      </w:r>
      <w:r>
        <w:tab/>
      </w:r>
      <w:r>
        <w:t xml:space="preserve">The Gateway </w:t>
      </w:r>
      <w:r>
        <w:rPr>
          <w:b/>
        </w:rPr>
        <w:t>shall</w:t>
      </w:r>
      <w:r>
        <w:t xml:space="preserve"> authenticate the consumers of the APIs it exposes.</w:t>
      </w:r>
    </w:p>
    <w:p>
      <w:pPr>
        <w:pStyle w:val="Requirement"/>
        <w:keepNext w:val="0"/>
      </w:pPr>
      <w:r>
        <w:rPr>
          <w:b/>
          <w:color w:val="1F3864"/>
          <w:sz w:val="19"/>
        </w:rPr>
        <w:t>GW-IAM-003</w:t>
      </w:r>
      <w:r>
        <w:tab/>
      </w:r>
      <w:r>
        <w:t xml:space="preserve">APIs without consumer authentication </w:t>
      </w:r>
      <w:r>
        <w:rPr>
          <w:b/>
        </w:rPr>
        <w:t>shall not</w:t>
      </w:r>
      <w:r>
        <w:t xml:space="preserve"> be permitted.</w:t>
      </w:r>
    </w:p>
    <w:p>
      <w:pPr>
        <w:pStyle w:val="Note"/>
      </w:pPr>
      <w:r>
        <w:rPr>
          <w:b/>
        </w:rPr>
        <w:t xml:space="preserve">Note. </w:t>
      </w:r>
      <w:r>
        <w:t>The lifetime of access tokens is defined by the owner of the Identity Provider and is outside the scope of this document.</w:t>
      </w:r>
    </w:p>
    <w:p>
      <w:pPr>
        <w:pStyle w:val="Heading2"/>
      </w:pPr>
      <w:r>
        <w:t>4.2</w:t>
        <w:tab/>
        <w:t>C2B authentication</w:t>
      </w:r>
    </w:p>
    <w:p>
      <w:r>
        <w:t>C2B represents access where the consumer is a human user.</w:t>
      </w:r>
    </w:p>
    <w:p>
      <w:pPr>
        <w:pStyle w:val="Requirement"/>
        <w:keepNext w:val="0"/>
      </w:pPr>
      <w:r>
        <w:rPr>
          <w:b/>
          <w:color w:val="1F3864"/>
          <w:sz w:val="19"/>
        </w:rPr>
        <w:t>GW-IAM-004</w:t>
      </w:r>
      <w:r>
        <w:tab/>
      </w:r>
      <w:r>
        <w:t xml:space="preserve">C2B users </w:t>
      </w:r>
      <w:r>
        <w:rPr>
          <w:b/>
        </w:rPr>
        <w:t>should</w:t>
      </w:r>
      <w:r>
        <w:t xml:space="preserve"> authenticate through the organization's Identity Provider.</w:t>
      </w:r>
    </w:p>
    <w:p>
      <w:pPr>
        <w:pStyle w:val="Requirement"/>
        <w:keepNext w:val="0"/>
      </w:pPr>
      <w:r>
        <w:rPr>
          <w:b/>
          <w:color w:val="1F3864"/>
          <w:sz w:val="19"/>
        </w:rPr>
        <w:t>GW-IAM-005</w:t>
      </w:r>
      <w:r>
        <w:tab/>
      </w:r>
      <w:r>
        <w:t xml:space="preserve">C2B access </w:t>
      </w:r>
      <w:r>
        <w:rPr>
          <w:b/>
        </w:rPr>
        <w:t>should</w:t>
      </w:r>
      <w:r>
        <w:t xml:space="preserve"> use short-lived access tokens issued by the organization's Identity Provider.</w:t>
      </w:r>
    </w:p>
    <w:p>
      <w:pPr>
        <w:pStyle w:val="Requirement"/>
        <w:keepNext w:val="0"/>
      </w:pPr>
      <w:r>
        <w:rPr>
          <w:b/>
          <w:color w:val="1F3864"/>
          <w:sz w:val="19"/>
        </w:rPr>
        <w:t>GW-IAM-006</w:t>
      </w:r>
      <w:r>
        <w:tab/>
      </w:r>
      <w:r>
        <w:t xml:space="preserve">The Gateway </w:t>
      </w:r>
      <w:r>
        <w:rPr>
          <w:b/>
        </w:rPr>
        <w:t>shall</w:t>
      </w:r>
      <w:r>
        <w:t xml:space="preserve"> validate the identity and the relevant claims presented by the consumer.</w:t>
      </w:r>
    </w:p>
    <w:p>
      <w:pPr>
        <w:pStyle w:val="Requirement"/>
        <w:keepNext w:val="0"/>
      </w:pPr>
      <w:r>
        <w:rPr>
          <w:b/>
          <w:color w:val="1F3864"/>
          <w:sz w:val="19"/>
        </w:rPr>
        <w:t>GW-IAM-007</w:t>
      </w:r>
      <w:r>
        <w:tab/>
      </w:r>
      <w:r>
        <w:t xml:space="preserve">The Gateway </w:t>
      </w:r>
      <w:r>
        <w:rPr>
          <w:b/>
        </w:rPr>
        <w:t>may</w:t>
      </w:r>
      <w:r>
        <w:t xml:space="preserve"> pass trusted identity information to the application, such as user ID, groups, roles, claims, scopes and other organizational identity attributes.</w:t>
      </w:r>
    </w:p>
    <w:p>
      <w:pPr>
        <w:keepNext/>
        <w:spacing w:before="120" w:after="40"/>
        <w:jc w:val="center"/>
      </w:pPr>
      <w:r>
        <w:drawing>
          <wp:inline xmlns:a="http://schemas.openxmlformats.org/drawingml/2006/main" xmlns:pic="http://schemas.openxmlformats.org/drawingml/2006/picture">
            <wp:extent cx="5760000" cy="3200914"/>
            <wp:docPr id="1" name="Picture 1" descr="Sequence diagram. The user authenticates with the Identity Provider and receives a short-lived access token. The user sends an API request with the token to the API Gateway. The Gateway validates the token and claims, enforces authorization and policies, and forwards an authorized request with trusted identity attributes to the backend." title="C2B authentication and access flow"/>
            <wp:cNvGraphicFramePr>
              <a:graphicFrameLocks noChangeAspect="1"/>
            </wp:cNvGraphicFramePr>
            <a:graphic>
              <a:graphicData uri="http://schemas.openxmlformats.org/drawingml/2006/picture">
                <pic:pic>
                  <pic:nvPicPr>
                    <pic:cNvPr id="0" name="fig_c2b.png"/>
                    <pic:cNvPicPr/>
                  </pic:nvPicPr>
                  <pic:blipFill>
                    <a:blip r:embed="rId9"/>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1</w:t>
      </w:r>
      <w:r>
        <w:fldChar w:fldCharType="end"/>
      </w:r>
      <w:r>
        <w:t xml:space="preserve"> — C2B authentication and access flow</w:t>
      </w:r>
    </w:p>
    <w:p>
      <w:pPr>
        <w:pStyle w:val="Heading2"/>
      </w:pPr>
      <w:r>
        <w:t>4.3</w:t>
        <w:tab/>
        <w:t>B2B authentication</w:t>
      </w:r>
    </w:p>
    <w:p>
      <w:r>
        <w:t>B2B represents access where the consumer is another system or application. The architecture avoids repeatedly sending long-lived credentials across the network. It therefore distinguishes between the client identity or credential used to obtain tokens, and the access token used to access APIs.</w:t>
      </w:r>
    </w:p>
    <w:p>
      <w:pPr>
        <w:pStyle w:val="Requirement"/>
        <w:keepNext w:val="0"/>
      </w:pPr>
      <w:r>
        <w:rPr>
          <w:b/>
          <w:color w:val="1F3864"/>
          <w:sz w:val="19"/>
        </w:rPr>
        <w:t>GW-IAM-008</w:t>
      </w:r>
      <w:r>
        <w:tab/>
      </w:r>
      <w:r>
        <w:t xml:space="preserve">B2B clients </w:t>
      </w:r>
      <w:r>
        <w:rPr>
          <w:b/>
        </w:rPr>
        <w:t>should</w:t>
      </w:r>
      <w:r>
        <w:t xml:space="preserve"> use a client credential to obtain a short-lived access token, and then present that access token for API access.</w:t>
      </w:r>
    </w:p>
    <w:p>
      <w:pPr>
        <w:pStyle w:val="Requirement"/>
        <w:keepNext w:val="0"/>
      </w:pPr>
      <w:r>
        <w:rPr>
          <w:b/>
          <w:color w:val="1F3864"/>
          <w:sz w:val="19"/>
        </w:rPr>
        <w:t>GW-IAM-009</w:t>
      </w:r>
      <w:r>
        <w:tab/>
      </w:r>
      <w:r>
        <w:t xml:space="preserve">The long-lived client credential </w:t>
      </w:r>
      <w:r>
        <w:rPr>
          <w:b/>
        </w:rPr>
        <w:t>should not</w:t>
      </w:r>
      <w:r>
        <w:t xml:space="preserve"> be used as the API access credential for every request.</w:t>
      </w:r>
    </w:p>
    <w:p>
      <w:pPr>
        <w:pStyle w:val="Requirement"/>
        <w:keepNext w:val="0"/>
      </w:pPr>
      <w:r>
        <w:rPr>
          <w:b/>
          <w:color w:val="1F3864"/>
          <w:sz w:val="19"/>
        </w:rPr>
        <w:t>GW-IAM-010</w:t>
      </w:r>
      <w:r>
        <w:tab/>
      </w:r>
      <w:r>
        <w:t xml:space="preserve">Long-lived credentials </w:t>
      </w:r>
      <w:r>
        <w:rPr>
          <w:b/>
        </w:rPr>
        <w:t>should not</w:t>
      </w:r>
      <w:r>
        <w:t xml:space="preserve"> be continuously transmitted across the network.</w:t>
      </w:r>
    </w:p>
    <w:p>
      <w:pPr>
        <w:pStyle w:val="Rationale"/>
      </w:pPr>
      <w:r>
        <w:rPr>
          <w:b/>
        </w:rPr>
        <w:t xml:space="preserve">Rationale. </w:t>
      </w:r>
      <w:r>
        <w:t>This model gives better control over credential exposure, token lifetime, revocation, rotation, auditing and authorization.</w:t>
      </w:r>
    </w:p>
    <w:p>
      <w:pPr>
        <w:keepNext/>
        <w:spacing w:before="120" w:after="40"/>
        <w:jc w:val="center"/>
      </w:pPr>
      <w:r>
        <w:drawing>
          <wp:inline xmlns:a="http://schemas.openxmlformats.org/drawingml/2006/main" xmlns:pic="http://schemas.openxmlformats.org/drawingml/2006/picture">
            <wp:extent cx="5760000" cy="3200914"/>
            <wp:docPr id="2" name="Picture 2" descr="Sequence diagram. The B2B client authenticates to the Identity Provider or token service with its client credential and receives a short-lived access token. The client sends an API request with the token to the API Gateway. The Gateway validates the token and claims, enforces authorization and policies, and forwards an authorized request with trusted identity attributes to the backend." title="B2B authentication and access flow"/>
            <wp:cNvGraphicFramePr>
              <a:graphicFrameLocks noChangeAspect="1"/>
            </wp:cNvGraphicFramePr>
            <a:graphic>
              <a:graphicData uri="http://schemas.openxmlformats.org/drawingml/2006/picture">
                <pic:pic>
                  <pic:nvPicPr>
                    <pic:cNvPr id="0" name="fig_b2b.png"/>
                    <pic:cNvPicPr/>
                  </pic:nvPicPr>
                  <pic:blipFill>
                    <a:blip r:embed="rId10"/>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2</w:t>
      </w:r>
      <w:r>
        <w:fldChar w:fldCharType="end"/>
      </w:r>
      <w:r>
        <w:t xml:space="preserve"> — B2B authentication and access flow</w:t>
      </w:r>
    </w:p>
    <w:p>
      <w:pPr>
        <w:pStyle w:val="Heading2"/>
      </w:pPr>
      <w:r>
        <w:t>4.4</w:t>
        <w:tab/>
        <w:t>Authorization</w:t>
      </w:r>
    </w:p>
    <w:p>
      <w:pPr>
        <w:pStyle w:val="Requirement"/>
        <w:keepNext w:val="0"/>
      </w:pPr>
      <w:r>
        <w:rPr>
          <w:b/>
          <w:color w:val="1F3864"/>
          <w:sz w:val="19"/>
        </w:rPr>
        <w:t>GW-IAM-011</w:t>
      </w:r>
      <w:r>
        <w:tab/>
      </w:r>
      <w:r>
        <w:t xml:space="preserve">The Gateway </w:t>
      </w:r>
      <w:r>
        <w:rPr>
          <w:b/>
        </w:rPr>
        <w:t>shall</w:t>
      </w:r>
      <w:r>
        <w:t xml:space="preserve"> enforce authorization at the API and operation level.</w:t>
      </w:r>
    </w:p>
    <w:p>
      <w:pPr>
        <w:pStyle w:val="Requirement"/>
        <w:keepNext/>
      </w:pPr>
      <w:r>
        <w:rPr>
          <w:b/>
          <w:color w:val="1F3864"/>
          <w:sz w:val="19"/>
        </w:rPr>
        <w:t>GW-IAM-012</w:t>
      </w:r>
      <w:r>
        <w:tab/>
      </w:r>
      <w:r>
        <w:t xml:space="preserve">Gateway authorization decisions </w:t>
      </w:r>
      <w:r>
        <w:rPr>
          <w:b/>
        </w:rPr>
        <w:t>may</w:t>
      </w:r>
      <w:r>
        <w:t xml:space="preserve"> be based on the following:</w:t>
      </w:r>
    </w:p>
    <w:p>
      <w:pPr>
        <w:pStyle w:val="ListBullet"/>
        <w:keepNext/>
        <w:spacing w:after="40"/>
        <w:ind w:left="1928" w:hanging="283"/>
      </w:pPr>
      <w:r>
        <w:t>Identity</w:t>
      </w:r>
    </w:p>
    <w:p>
      <w:pPr>
        <w:pStyle w:val="ListBullet"/>
        <w:keepNext/>
        <w:spacing w:after="40"/>
        <w:ind w:left="1928" w:hanging="283"/>
      </w:pPr>
      <w:r>
        <w:t>Groups</w:t>
      </w:r>
    </w:p>
    <w:p>
      <w:pPr>
        <w:pStyle w:val="ListBullet"/>
        <w:keepNext/>
        <w:spacing w:after="40"/>
        <w:ind w:left="1928" w:hanging="283"/>
      </w:pPr>
      <w:r>
        <w:t>Roles</w:t>
      </w:r>
    </w:p>
    <w:p>
      <w:pPr>
        <w:pStyle w:val="ListBullet"/>
        <w:keepNext/>
        <w:spacing w:after="40"/>
        <w:ind w:left="1928" w:hanging="283"/>
      </w:pPr>
      <w:r>
        <w:t>Claims</w:t>
      </w:r>
    </w:p>
    <w:p>
      <w:pPr>
        <w:pStyle w:val="ListBullet"/>
        <w:keepNext/>
        <w:spacing w:after="40"/>
        <w:ind w:left="1928" w:hanging="283"/>
      </w:pPr>
      <w:r>
        <w:t>Scopes</w:t>
      </w:r>
    </w:p>
    <w:p>
      <w:pPr>
        <w:pStyle w:val="ListBullet"/>
        <w:keepNext/>
        <w:spacing w:after="40"/>
        <w:ind w:left="1928" w:hanging="283"/>
      </w:pPr>
      <w:r>
        <w:t>Policies</w:t>
      </w:r>
    </w:p>
    <w:p>
      <w:pPr>
        <w:pStyle w:val="ListBullet"/>
        <w:keepNext w:val="0"/>
        <w:spacing w:after="40"/>
        <w:ind w:left="1928" w:hanging="283"/>
      </w:pPr>
      <w:r>
        <w:t>Consumer identity</w:t>
      </w:r>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Example of operation-level authorization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402"/>
        <w:gridCol w:w="2835"/>
      </w:tblGrid>
      <w:tr>
        <w:trPr>
          <w:cantSplit/>
          <w:tblHeader/>
        </w:trPr>
        <w:tc>
          <w:tcPr>
            <w:tcW w:type="dxa" w:w="2835"/>
            <w:shd w:val="clear" w:color="auto" w:fill="1F3864"/>
          </w:tcPr>
          <w:p>
            <w:pPr>
              <w:pStyle w:val="TableText"/>
            </w:pPr>
            <w:r>
              <w:rPr>
                <w:b/>
                <w:color w:val="FFFFFF"/>
              </w:rPr>
              <w:t>Consumer</w:t>
            </w:r>
          </w:p>
        </w:tc>
        <w:tc>
          <w:tcPr>
            <w:tcW w:type="dxa" w:w="3402"/>
            <w:shd w:val="clear" w:color="auto" w:fill="1F3864"/>
          </w:tcPr>
          <w:p>
            <w:pPr>
              <w:pStyle w:val="TableText"/>
            </w:pPr>
            <w:r>
              <w:rPr>
                <w:b/>
                <w:color w:val="FFFFFF"/>
              </w:rPr>
              <w:t>Request</w:t>
            </w:r>
          </w:p>
        </w:tc>
        <w:tc>
          <w:tcPr>
            <w:tcW w:type="dxa" w:w="2835"/>
            <w:shd w:val="clear" w:color="auto" w:fill="1F3864"/>
          </w:tcPr>
          <w:p>
            <w:pPr>
              <w:pStyle w:val="TableText"/>
            </w:pPr>
            <w:r>
              <w:rPr>
                <w:b/>
                <w:color w:val="FFFFFF"/>
              </w:rPr>
              <w:t>Decision</w:t>
            </w:r>
          </w:p>
        </w:tc>
      </w:tr>
      <w:tr>
        <w:trPr>
          <w:cantSplit/>
        </w:trPr>
        <w:tc>
          <w:tcPr>
            <w:tcW w:type="dxa" w:w="2835"/>
          </w:tcPr>
          <w:p>
            <w:pPr>
              <w:pStyle w:val="TableText"/>
            </w:pPr>
            <w:r>
              <w:t>Consumer A</w:t>
            </w:r>
          </w:p>
        </w:tc>
        <w:tc>
          <w:tcPr>
            <w:tcW w:type="dxa" w:w="3402"/>
          </w:tcPr>
          <w:p>
            <w:pPr>
              <w:pStyle w:val="TableText"/>
            </w:pPr>
            <w:r>
              <w:t>GET /customers</w:t>
            </w:r>
          </w:p>
        </w:tc>
        <w:tc>
          <w:tcPr>
            <w:tcW w:type="dxa" w:w="2835"/>
          </w:tcPr>
          <w:p>
            <w:pPr>
              <w:pStyle w:val="TableText"/>
            </w:pPr>
            <w:r>
              <w:t>Allowed</w:t>
            </w:r>
          </w:p>
        </w:tc>
      </w:tr>
      <w:tr>
        <w:trPr>
          <w:cantSplit/>
        </w:trPr>
        <w:tc>
          <w:tcPr>
            <w:tcW w:type="dxa" w:w="2835"/>
          </w:tcPr>
          <w:p>
            <w:pPr>
              <w:pStyle w:val="TableText"/>
            </w:pPr>
            <w:r>
              <w:t>Consumer A</w:t>
            </w:r>
          </w:p>
        </w:tc>
        <w:tc>
          <w:tcPr>
            <w:tcW w:type="dxa" w:w="3402"/>
          </w:tcPr>
          <w:p>
            <w:pPr>
              <w:pStyle w:val="TableText"/>
            </w:pPr>
            <w:r>
              <w:t>DELETE /customers</w:t>
            </w:r>
          </w:p>
        </w:tc>
        <w:tc>
          <w:tcPr>
            <w:tcW w:type="dxa" w:w="2835"/>
          </w:tcPr>
          <w:p>
            <w:pPr>
              <w:pStyle w:val="TableText"/>
            </w:pPr>
            <w:r>
              <w:t>Denied</w:t>
            </w:r>
          </w:p>
        </w:tc>
      </w:tr>
    </w:tbl>
    <w:p>
      <w:pPr>
        <w:spacing w:after="40"/>
      </w:pPr>
    </w:p>
    <w:p>
      <w:pPr>
        <w:pStyle w:val="Requirement"/>
        <w:keepNext w:val="0"/>
      </w:pPr>
      <w:r>
        <w:rPr>
          <w:b/>
          <w:color w:val="1F3864"/>
          <w:sz w:val="19"/>
        </w:rPr>
        <w:t>GW-IAM-013</w:t>
      </w:r>
      <w:r>
        <w:tab/>
      </w:r>
      <w:r>
        <w:t xml:space="preserve">The application </w:t>
      </w:r>
      <w:r>
        <w:rPr>
          <w:b/>
        </w:rPr>
        <w:t>shall</w:t>
      </w:r>
      <w:r>
        <w:t xml:space="preserve"> remain responsible for authorization decisions that require business context.</w:t>
      </w:r>
    </w:p>
    <w:p>
      <w:pPr>
        <w:pStyle w:val="Requirement"/>
        <w:keepNext w:val="0"/>
      </w:pPr>
      <w:r>
        <w:rPr>
          <w:b/>
          <w:color w:val="1F3864"/>
          <w:sz w:val="19"/>
        </w:rPr>
        <w:t>GW-IAM-014</w:t>
      </w:r>
      <w:r>
        <w:tab/>
      </w:r>
      <w:r>
        <w:t xml:space="preserve">The Gateway </w:t>
      </w:r>
      <w:r>
        <w:rPr>
          <w:b/>
        </w:rPr>
        <w:t>shall not</w:t>
      </w:r>
      <w:r>
        <w:t xml:space="preserve"> implement business authorization logic.</w:t>
      </w:r>
    </w:p>
    <w:p>
      <w:pPr>
        <w:pStyle w:val="Caption"/>
        <w:keepNext/>
      </w:pPr>
      <w:r>
        <w:t xml:space="preserve">Table </w:t>
      </w:r>
      <w:r>
        <w:fldChar w:fldCharType="begin"/>
      </w:r>
      <w:r>
        <w:instrText xml:space="preserve"> SEQ Table \* ARABIC </w:instrText>
      </w:r>
      <w:r>
        <w:fldChar w:fldCharType="separate"/>
      </w:r>
      <w:r>
        <w:t>8</w:t>
      </w:r>
      <w:r>
        <w:fldChar w:fldCharType="end"/>
      </w:r>
      <w:r>
        <w:t xml:space="preserve"> — Division of authorization decisions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Component</w:t>
            </w:r>
          </w:p>
        </w:tc>
        <w:tc>
          <w:tcPr>
            <w:tcW w:type="dxa" w:w="6803"/>
            <w:shd w:val="clear" w:color="auto" w:fill="1F3864"/>
          </w:tcPr>
          <w:p>
            <w:pPr>
              <w:pStyle w:val="TableText"/>
            </w:pPr>
            <w:r>
              <w:rPr>
                <w:b/>
                <w:color w:val="FFFFFF"/>
              </w:rPr>
              <w:t>Question answered</w:t>
            </w:r>
          </w:p>
        </w:tc>
      </w:tr>
      <w:tr>
        <w:trPr>
          <w:cantSplit/>
        </w:trPr>
        <w:tc>
          <w:tcPr>
            <w:tcW w:type="dxa" w:w="2268"/>
            <w:shd w:val="clear" w:color="auto" w:fill="F2F5FA"/>
          </w:tcPr>
          <w:p>
            <w:pPr>
              <w:pStyle w:val="TableText"/>
            </w:pPr>
            <w:r>
              <w:rPr>
                <w:b/>
              </w:rPr>
              <w:t>Gateway</w:t>
            </w:r>
          </w:p>
        </w:tc>
        <w:tc>
          <w:tcPr>
            <w:tcW w:type="dxa" w:w="6803"/>
          </w:tcPr>
          <w:p>
            <w:pPr>
              <w:pStyle w:val="TableText"/>
            </w:pPr>
            <w:r>
              <w:t>Is this consumer allowed to call GET /customers/{id}?</w:t>
            </w:r>
          </w:p>
        </w:tc>
      </w:tr>
      <w:tr>
        <w:trPr>
          <w:cantSplit/>
        </w:trPr>
        <w:tc>
          <w:tcPr>
            <w:tcW w:type="dxa" w:w="2268"/>
            <w:shd w:val="clear" w:color="auto" w:fill="F2F5FA"/>
          </w:tcPr>
          <w:p>
            <w:pPr>
              <w:pStyle w:val="TableText"/>
            </w:pPr>
            <w:r>
              <w:rPr>
                <w:b/>
              </w:rPr>
              <w:t>Application</w:t>
            </w:r>
          </w:p>
        </w:tc>
        <w:tc>
          <w:tcPr>
            <w:tcW w:type="dxa" w:w="6803"/>
          </w:tcPr>
          <w:p>
            <w:pPr>
              <w:pStyle w:val="TableText"/>
            </w:pPr>
            <w:r>
              <w:t>Is this user allowed to access customer #123?</w:t>
            </w:r>
          </w:p>
        </w:tc>
      </w:tr>
    </w:tbl>
    <w:p>
      <w:pPr>
        <w:spacing w:after="40"/>
      </w:pPr>
    </w:p>
    <w:p>
      <w:pPr>
        <w:pStyle w:val="Heading1"/>
        <w:spacing w:before="520"/>
      </w:pPr>
      <w:r>
        <w:t>5</w:t>
        <w:tab/>
        <w:t>Traffic Management</w:t>
      </w:r>
    </w:p>
    <w:p>
      <w:pPr>
        <w:pStyle w:val="Heading2"/>
      </w:pPr>
      <w:r>
        <w:t>5.1</w:t>
        <w:tab/>
        <w:t>Routing</w:t>
      </w:r>
    </w:p>
    <w:p>
      <w:pPr>
        <w:pStyle w:val="Requirement"/>
        <w:keepNext w:val="0"/>
      </w:pPr>
      <w:r>
        <w:rPr>
          <w:b/>
          <w:color w:val="1F3864"/>
          <w:sz w:val="19"/>
        </w:rPr>
        <w:t>GW-TRF-001</w:t>
      </w:r>
      <w:r>
        <w:tab/>
      </w:r>
      <w:r>
        <w:t xml:space="preserve">The Gateway </w:t>
      </w:r>
      <w:r>
        <w:rPr>
          <w:b/>
        </w:rPr>
        <w:t>shall</w:t>
      </w:r>
      <w:r>
        <w:t xml:space="preserve"> route requests to the appropriate backend.</w:t>
      </w:r>
    </w:p>
    <w:p>
      <w:pPr>
        <w:pStyle w:val="Requirement"/>
        <w:keepNext/>
      </w:pPr>
      <w:r>
        <w:rPr>
          <w:b/>
          <w:color w:val="1F3864"/>
          <w:sz w:val="19"/>
        </w:rPr>
        <w:t>GW-TRF-002</w:t>
      </w:r>
      <w:r>
        <w:tab/>
      </w:r>
      <w:r>
        <w:t xml:space="preserve">The Gateway </w:t>
      </w:r>
      <w:r>
        <w:rPr>
          <w:b/>
        </w:rPr>
        <w:t>shall</w:t>
      </w:r>
      <w:r>
        <w:t xml:space="preserve"> support the following methods of routing:</w:t>
      </w:r>
    </w:p>
    <w:p>
      <w:pPr>
        <w:pStyle w:val="ListBullet"/>
        <w:keepNext/>
        <w:spacing w:after="40"/>
        <w:ind w:left="1928" w:hanging="283"/>
      </w:pPr>
      <w:r>
        <w:t>Path-based routing</w:t>
      </w:r>
    </w:p>
    <w:p>
      <w:pPr>
        <w:pStyle w:val="ListBullet"/>
        <w:keepNext/>
        <w:spacing w:after="40"/>
        <w:ind w:left="1928" w:hanging="283"/>
      </w:pPr>
      <w:r>
        <w:t>Host-based routing</w:t>
      </w:r>
    </w:p>
    <w:p>
      <w:pPr>
        <w:pStyle w:val="ListBullet"/>
        <w:keepNext/>
        <w:spacing w:after="40"/>
        <w:ind w:left="1928" w:hanging="283"/>
      </w:pPr>
      <w:r>
        <w:t>API-based routing</w:t>
      </w:r>
    </w:p>
    <w:p>
      <w:pPr>
        <w:pStyle w:val="ListBullet"/>
        <w:keepNext/>
        <w:spacing w:after="40"/>
        <w:ind w:left="1928" w:hanging="283"/>
      </w:pPr>
      <w:r>
        <w:t>Operation-based routing</w:t>
      </w:r>
    </w:p>
    <w:p>
      <w:pPr>
        <w:pStyle w:val="ListBullet"/>
        <w:keepNext w:val="0"/>
        <w:spacing w:after="40"/>
        <w:ind w:left="1928" w:hanging="283"/>
      </w:pPr>
      <w:r>
        <w:t>Version routing</w:t>
      </w:r>
    </w:p>
    <w:p>
      <w:pPr>
        <w:pStyle w:val="Heading2"/>
      </w:pPr>
      <w:r>
        <w:t>5.2</w:t>
        <w:tab/>
        <w:t>Version routing</w:t>
      </w:r>
    </w:p>
    <w:p>
      <w:pPr>
        <w:pStyle w:val="Requirement"/>
        <w:keepNext w:val="0"/>
      </w:pPr>
      <w:r>
        <w:rPr>
          <w:b/>
          <w:color w:val="1F3864"/>
          <w:sz w:val="19"/>
        </w:rPr>
        <w:t>GW-TRF-003</w:t>
      </w:r>
      <w:r>
        <w:tab/>
      </w:r>
      <w:r>
        <w:t xml:space="preserve">The Gateway </w:t>
      </w:r>
      <w:r>
        <w:rPr>
          <w:b/>
        </w:rPr>
        <w:t>shall</w:t>
      </w:r>
      <w:r>
        <w:t xml:space="preserve"> provide the technical capability to route traffic between API versions.</w:t>
      </w:r>
    </w:p>
    <w:p>
      <w:pPr>
        <w:pStyle w:val="Caption"/>
        <w:keepNext/>
      </w:pPr>
      <w:r>
        <w:t xml:space="preserve">Table </w:t>
      </w:r>
      <w:r>
        <w:fldChar w:fldCharType="begin"/>
      </w:r>
      <w:r>
        <w:instrText xml:space="preserve"> SEQ Table \* ARABIC </w:instrText>
      </w:r>
      <w:r>
        <w:fldChar w:fldCharType="separate"/>
      </w:r>
      <w:r>
        <w:t>9</w:t>
      </w:r>
      <w:r>
        <w:fldChar w:fldCharType="end"/>
      </w:r>
      <w:r>
        <w:t xml:space="preserve"> — Example of version routing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Request path</w:t>
            </w:r>
          </w:p>
        </w:tc>
        <w:tc>
          <w:tcPr>
            <w:tcW w:type="dxa" w:w="4535"/>
            <w:shd w:val="clear" w:color="auto" w:fill="1F3864"/>
          </w:tcPr>
          <w:p>
            <w:pPr>
              <w:pStyle w:val="TableText"/>
            </w:pPr>
            <w:r>
              <w:rPr>
                <w:b/>
                <w:color w:val="FFFFFF"/>
              </w:rPr>
              <w:t>Backend</w:t>
            </w:r>
          </w:p>
        </w:tc>
      </w:tr>
      <w:tr>
        <w:trPr>
          <w:cantSplit/>
        </w:trPr>
        <w:tc>
          <w:tcPr>
            <w:tcW w:type="dxa" w:w="4535"/>
          </w:tcPr>
          <w:p>
            <w:pPr>
              <w:pStyle w:val="TableText"/>
            </w:pPr>
            <w:r>
              <w:t>/api/v1/customers</w:t>
            </w:r>
          </w:p>
        </w:tc>
        <w:tc>
          <w:tcPr>
            <w:tcW w:type="dxa" w:w="4535"/>
          </w:tcPr>
          <w:p>
            <w:pPr>
              <w:pStyle w:val="TableText"/>
            </w:pPr>
            <w:r>
              <w:t>Backend v1</w:t>
            </w:r>
          </w:p>
        </w:tc>
      </w:tr>
      <w:tr>
        <w:trPr>
          <w:cantSplit/>
        </w:trPr>
        <w:tc>
          <w:tcPr>
            <w:tcW w:type="dxa" w:w="4535"/>
          </w:tcPr>
          <w:p>
            <w:pPr>
              <w:pStyle w:val="TableText"/>
            </w:pPr>
            <w:r>
              <w:t>/api/v2/customers</w:t>
            </w:r>
          </w:p>
        </w:tc>
        <w:tc>
          <w:tcPr>
            <w:tcW w:type="dxa" w:w="4535"/>
          </w:tcPr>
          <w:p>
            <w:pPr>
              <w:pStyle w:val="TableText"/>
            </w:pPr>
            <w:r>
              <w:t>Backend v2</w:t>
            </w:r>
          </w:p>
        </w:tc>
      </w:tr>
    </w:tbl>
    <w:p>
      <w:pPr>
        <w:spacing w:after="40"/>
      </w:pPr>
    </w:p>
    <w:p>
      <w:pPr>
        <w:pStyle w:val="Requirement"/>
        <w:keepNext w:val="0"/>
      </w:pPr>
      <w:r>
        <w:rPr>
          <w:b/>
          <w:color w:val="1F3864"/>
          <w:sz w:val="19"/>
        </w:rPr>
        <w:t>GW-TRF-004</w:t>
      </w:r>
      <w:r>
        <w:tab/>
      </w:r>
      <w:r>
        <w:t xml:space="preserve">The Application Team </w:t>
      </w:r>
      <w:r>
        <w:rPr>
          <w:b/>
        </w:rPr>
        <w:t>shall</w:t>
      </w:r>
      <w:r>
        <w:t xml:space="preserve"> decide which versions exist, which consumers use each version, and when a version is deprecated and retired.</w:t>
      </w:r>
    </w:p>
    <w:p>
      <w:pPr>
        <w:pStyle w:val="Heading2"/>
      </w:pPr>
      <w:r>
        <w:t>5.3</w:t>
        <w:tab/>
        <w:t>Load balancing boundary</w:t>
      </w:r>
    </w:p>
    <w:p>
      <w:pPr>
        <w:pStyle w:val="Requirement"/>
        <w:keepNext w:val="0"/>
      </w:pPr>
      <w:r>
        <w:rPr>
          <w:b/>
          <w:color w:val="1F3864"/>
          <w:sz w:val="19"/>
        </w:rPr>
        <w:t>GW-TRF-005</w:t>
      </w:r>
      <w:r>
        <w:tab/>
      </w:r>
      <w:r>
        <w:t xml:space="preserve">The Gateway </w:t>
      </w:r>
      <w:r>
        <w:rPr>
          <w:b/>
        </w:rPr>
        <w:t>shall not</w:t>
      </w:r>
      <w:r>
        <w:t xml:space="preserve"> serve as the organization's general-purpose Load Balancer.</w:t>
      </w:r>
    </w:p>
    <w:p>
      <w:pPr>
        <w:pStyle w:val="Requirement"/>
        <w:keepNext w:val="0"/>
      </w:pPr>
      <w:r>
        <w:rPr>
          <w:b/>
          <w:color w:val="1F3864"/>
          <w:sz w:val="19"/>
        </w:rPr>
        <w:t>GW-TRF-006</w:t>
      </w:r>
      <w:r>
        <w:tab/>
      </w:r>
      <w:r>
        <w:t xml:space="preserve">Responsibilities </w:t>
      </w:r>
      <w:r>
        <w:rPr>
          <w:b/>
        </w:rPr>
        <w:t>should</w:t>
      </w:r>
      <w:r>
        <w:t xml:space="preserve"> be divided between the Gateway and load-balancing infrastructure as set out in Table 10.</w:t>
      </w:r>
    </w:p>
    <w:p>
      <w:pPr>
        <w:pStyle w:val="Caption"/>
        <w:keepNext/>
      </w:pPr>
      <w:r>
        <w:t xml:space="preserve">Table </w:t>
      </w:r>
      <w:r>
        <w:fldChar w:fldCharType="begin"/>
      </w:r>
      <w:r>
        <w:instrText xml:space="preserve"> SEQ Table \* ARABIC </w:instrText>
      </w:r>
      <w:r>
        <w:fldChar w:fldCharType="separate"/>
      </w:r>
      <w:r>
        <w:t>10</w:t>
      </w:r>
      <w:r>
        <w:fldChar w:fldCharType="end"/>
      </w:r>
      <w:r>
        <w:t xml:space="preserve"> — Division of responsibilities between the Gateway and load balancing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The Gateway handles</w:t>
            </w:r>
          </w:p>
        </w:tc>
        <w:tc>
          <w:tcPr>
            <w:tcW w:type="dxa" w:w="4535"/>
            <w:shd w:val="clear" w:color="auto" w:fill="1F3864"/>
          </w:tcPr>
          <w:p>
            <w:pPr>
              <w:pStyle w:val="TableText"/>
            </w:pPr>
            <w:r>
              <w:rPr>
                <w:b/>
                <w:color w:val="FFFFFF"/>
              </w:rPr>
              <w:t>Load-balancing infrastructure handles</w:t>
            </w:r>
          </w:p>
        </w:tc>
      </w:tr>
      <w:tr>
        <w:trPr>
          <w:cantSplit/>
        </w:trPr>
        <w:tc>
          <w:tcPr>
            <w:tcW w:type="dxa" w:w="4535"/>
          </w:tcPr>
          <w:p>
            <w:pPr>
              <w:pStyle w:val="ListBullet"/>
              <w:keepNext w:val="0"/>
              <w:spacing w:after="20"/>
              <w:ind w:left="238" w:hanging="193"/>
            </w:pPr>
            <w:r>
              <w:rPr>
                <w:sz w:val="19"/>
              </w:rPr>
              <w:t>API routing</w:t>
            </w:r>
          </w:p>
          <w:p>
            <w:pPr>
              <w:pStyle w:val="ListBullet"/>
              <w:keepNext w:val="0"/>
              <w:spacing w:after="20"/>
              <w:ind w:left="238" w:hanging="193"/>
            </w:pPr>
            <w:r>
              <w:rPr>
                <w:sz w:val="19"/>
              </w:rPr>
              <w:t>API-level policies</w:t>
            </w:r>
          </w:p>
          <w:p>
            <w:pPr>
              <w:pStyle w:val="ListBullet"/>
              <w:keepNext w:val="0"/>
              <w:spacing w:after="20"/>
              <w:ind w:left="238" w:hanging="193"/>
            </w:pPr>
            <w:r>
              <w:rPr>
                <w:sz w:val="19"/>
              </w:rPr>
              <w:t>API-level health checks</w:t>
            </w:r>
          </w:p>
          <w:p>
            <w:pPr>
              <w:pStyle w:val="ListBullet"/>
              <w:keepNext w:val="0"/>
              <w:spacing w:after="20"/>
              <w:ind w:left="238" w:hanging="193"/>
            </w:pPr>
            <w:r>
              <w:rPr>
                <w:sz w:val="19"/>
              </w:rPr>
              <w:t>API-level timeouts</w:t>
            </w:r>
          </w:p>
        </w:tc>
        <w:tc>
          <w:tcPr>
            <w:tcW w:type="dxa" w:w="4535"/>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p>
            <w:pPr>
              <w:pStyle w:val="ListBullet"/>
              <w:keepNext w:val="0"/>
              <w:spacing w:after="20"/>
              <w:ind w:left="238" w:hanging="193"/>
            </w:pPr>
            <w:r>
              <w:rPr>
                <w:sz w:val="19"/>
              </w:rPr>
              <w:t>Infrastructure-level traffic distribution</w:t>
            </w:r>
          </w:p>
          <w:p>
            <w:pPr>
              <w:pStyle w:val="ListBullet"/>
              <w:keepNext w:val="0"/>
              <w:spacing w:after="20"/>
              <w:ind w:left="238" w:hanging="193"/>
            </w:pPr>
            <w:r>
              <w:rPr>
                <w:sz w:val="19"/>
              </w:rPr>
              <w:t>Instance-level availability</w:t>
            </w:r>
          </w:p>
        </w:tc>
      </w:tr>
    </w:tbl>
    <w:p>
      <w:pPr>
        <w:spacing w:after="40"/>
      </w:pPr>
    </w:p>
    <w:p>
      <w:pPr>
        <w:pStyle w:val="Requirement"/>
        <w:keepNext w:val="0"/>
      </w:pPr>
      <w:r>
        <w:rPr>
          <w:b/>
          <w:color w:val="1F3864"/>
          <w:sz w:val="19"/>
        </w:rPr>
        <w:t>GW-TRF-007</w:t>
      </w:r>
      <w:r>
        <w:tab/>
      </w:r>
      <w:r>
        <w:t xml:space="preserve">The Gateway </w:t>
      </w:r>
      <w:r>
        <w:rPr>
          <w:b/>
        </w:rPr>
        <w:t>may</w:t>
      </w:r>
      <w:r>
        <w:t xml:space="preserve"> integrate with load-balancing infrastructure where appropriate.</w:t>
      </w:r>
    </w:p>
    <w:p>
      <w:pPr>
        <w:pStyle w:val="Heading2"/>
      </w:pPr>
      <w:r>
        <w:t>5.4</w:t>
        <w:tab/>
        <w:t>Health checks</w:t>
      </w:r>
    </w:p>
    <w:p>
      <w:pPr>
        <w:pStyle w:val="Requirement"/>
        <w:keepNext w:val="0"/>
      </w:pPr>
      <w:r>
        <w:rPr>
          <w:b/>
          <w:color w:val="1F3864"/>
          <w:sz w:val="19"/>
        </w:rPr>
        <w:t>GW-TRF-008</w:t>
      </w:r>
      <w:r>
        <w:tab/>
      </w:r>
      <w:r>
        <w:t xml:space="preserve">The Gateway </w:t>
      </w:r>
      <w:r>
        <w:rPr>
          <w:b/>
        </w:rPr>
        <w:t>shall</w:t>
      </w:r>
      <w:r>
        <w:t xml:space="preserve"> be able to determine whether a backend is available before routing traffic to it.</w:t>
      </w:r>
    </w:p>
    <w:p>
      <w:pPr>
        <w:pStyle w:val="Requirement"/>
        <w:keepNext/>
      </w:pPr>
      <w:r>
        <w:rPr>
          <w:b/>
          <w:color w:val="1F3864"/>
          <w:sz w:val="19"/>
        </w:rPr>
        <w:t>GW-TRF-009</w:t>
      </w:r>
      <w:r>
        <w:tab/>
      </w:r>
      <w:r>
        <w:t xml:space="preserve">Gateway health checking </w:t>
      </w:r>
      <w:r>
        <w:rPr>
          <w:b/>
        </w:rPr>
        <w:t>shall</w:t>
      </w:r>
      <w:r>
        <w:t xml:space="preserve"> support the following:</w:t>
      </w:r>
    </w:p>
    <w:p>
      <w:pPr>
        <w:pStyle w:val="ListBullet"/>
        <w:keepNext/>
        <w:spacing w:after="40"/>
        <w:ind w:left="1928" w:hanging="283"/>
      </w:pPr>
      <w:r>
        <w:t>HTTP health endpoints</w:t>
      </w:r>
    </w:p>
    <w:p>
      <w:pPr>
        <w:pStyle w:val="ListBullet"/>
        <w:keepNext/>
        <w:spacing w:after="40"/>
        <w:ind w:left="1928" w:hanging="283"/>
      </w:pPr>
      <w:r>
        <w:t>Configurable intervals</w:t>
      </w:r>
    </w:p>
    <w:p>
      <w:pPr>
        <w:pStyle w:val="ListBullet"/>
        <w:keepNext/>
        <w:spacing w:after="40"/>
        <w:ind w:left="1928" w:hanging="283"/>
      </w:pPr>
      <w:r>
        <w:t>Timeouts</w:t>
      </w:r>
    </w:p>
    <w:p>
      <w:pPr>
        <w:pStyle w:val="ListBullet"/>
        <w:keepNext/>
        <w:spacing w:after="40"/>
        <w:ind w:left="1928" w:hanging="283"/>
      </w:pPr>
      <w:r>
        <w:t>Failure thresholds</w:t>
      </w:r>
    </w:p>
    <w:p>
      <w:pPr>
        <w:pStyle w:val="ListBullet"/>
        <w:keepNext/>
        <w:spacing w:after="40"/>
        <w:ind w:left="1928" w:hanging="283"/>
      </w:pPr>
      <w:r>
        <w:t>Recovery thresholds</w:t>
      </w:r>
    </w:p>
    <w:p>
      <w:pPr>
        <w:pStyle w:val="ListBullet"/>
        <w:keepNext w:val="0"/>
        <w:spacing w:after="40"/>
        <w:ind w:left="1928" w:hanging="283"/>
      </w:pPr>
      <w:r>
        <w:t>Backend-specific configuration</w:t>
      </w:r>
    </w:p>
    <w:p>
      <w:pPr>
        <w:pStyle w:val="Requirement"/>
        <w:keepNext w:val="0"/>
      </w:pPr>
      <w:r>
        <w:rPr>
          <w:b/>
          <w:color w:val="1F3864"/>
          <w:sz w:val="19"/>
        </w:rPr>
        <w:t>GW-TRF-010</w:t>
      </w:r>
      <w:r>
        <w:tab/>
      </w:r>
      <w:r>
        <w:t xml:space="preserve">The Gateway </w:t>
      </w:r>
      <w:r>
        <w:rPr>
          <w:b/>
        </w:rPr>
        <w:t>shall</w:t>
      </w:r>
      <w:r>
        <w:t xml:space="preserve"> use the result of health checks to make routing decisions.</w:t>
      </w:r>
    </w:p>
    <w:p>
      <w:pPr>
        <w:pStyle w:val="Requirement"/>
        <w:keepNext w:val="0"/>
      </w:pPr>
      <w:r>
        <w:rPr>
          <w:b/>
          <w:color w:val="1F3864"/>
          <w:sz w:val="19"/>
        </w:rPr>
        <w:t>GW-TRF-011</w:t>
      </w:r>
      <w:r>
        <w:tab/>
      </w:r>
      <w:r>
        <w:t xml:space="preserve">The Application Team </w:t>
      </w:r>
      <w:r>
        <w:rPr>
          <w:b/>
        </w:rPr>
        <w:t>shall</w:t>
      </w:r>
      <w:r>
        <w:t xml:space="preserve"> expose an appropriate health endpoint for its backend.</w:t>
      </w:r>
    </w:p>
    <w:p>
      <w:pPr>
        <w:pStyle w:val="Note"/>
      </w:pPr>
      <w:r>
        <w:rPr>
          <w:b/>
        </w:rPr>
        <w:t xml:space="preserve">Note. </w:t>
      </w:r>
      <w:r>
        <w:t>Regular health checks apply to the backends of all API technologies. No protocol-specific health-check mechanism is defined.</w:t>
      </w:r>
    </w:p>
    <w:p>
      <w:pPr>
        <w:pStyle w:val="Heading2"/>
      </w:pPr>
      <w:r>
        <w:t>5.5</w:t>
        <w:tab/>
        <w:t>Timeouts</w:t>
      </w:r>
    </w:p>
    <w:p>
      <w:pPr>
        <w:pStyle w:val="Requirement"/>
        <w:keepNext/>
      </w:pPr>
      <w:r>
        <w:rPr>
          <w:b/>
          <w:color w:val="1F3864"/>
          <w:sz w:val="19"/>
        </w:rPr>
        <w:t>GW-TRF-012</w:t>
      </w:r>
      <w:r>
        <w:tab/>
      </w:r>
      <w:r>
        <w:t xml:space="preserve">The Gateway </w:t>
      </w:r>
      <w:r>
        <w:rPr>
          <w:b/>
        </w:rPr>
        <w:t>shall</w:t>
      </w:r>
      <w:r>
        <w:t xml:space="preserve"> enforce timeouts at the following levels:</w:t>
      </w:r>
    </w:p>
    <w:p>
      <w:pPr>
        <w:pStyle w:val="ListBullet"/>
        <w:keepNext/>
        <w:spacing w:after="40"/>
        <w:ind w:left="1928" w:hanging="283"/>
      </w:pPr>
      <w:r>
        <w:t>Connection timeout</w:t>
      </w:r>
    </w:p>
    <w:p>
      <w:pPr>
        <w:pStyle w:val="ListBullet"/>
        <w:keepNext/>
        <w:spacing w:after="40"/>
        <w:ind w:left="1928" w:hanging="283"/>
      </w:pPr>
      <w:r>
        <w:t>Backend response timeout</w:t>
      </w:r>
    </w:p>
    <w:p>
      <w:pPr>
        <w:pStyle w:val="ListBullet"/>
        <w:keepNext w:val="0"/>
        <w:spacing w:after="40"/>
        <w:ind w:left="1928" w:hanging="283"/>
      </w:pPr>
      <w:r>
        <w:t>Request timeout</w:t>
      </w:r>
    </w:p>
    <w:p>
      <w:pPr>
        <w:pStyle w:val="Requirement"/>
        <w:keepNext w:val="0"/>
      </w:pPr>
      <w:r>
        <w:rPr>
          <w:b/>
          <w:color w:val="1F3864"/>
          <w:sz w:val="19"/>
        </w:rPr>
        <w:t>GW-TRF-013</w:t>
      </w:r>
      <w:r>
        <w:tab/>
      </w:r>
      <w:r>
        <w:t xml:space="preserve">Timeouts </w:t>
      </w:r>
      <w:r>
        <w:rPr>
          <w:b/>
        </w:rPr>
        <w:t>should</w:t>
      </w:r>
      <w:r>
        <w:t xml:space="preserve"> be configurable according to the characteristics of the API.</w:t>
      </w:r>
    </w:p>
    <w:p>
      <w:pPr>
        <w:pStyle w:val="Rationale"/>
      </w:pPr>
      <w:r>
        <w:rPr>
          <w:b/>
        </w:rPr>
        <w:t xml:space="preserve">Rationale. </w:t>
      </w:r>
      <w:r>
        <w:t>Timeouts protect both the Gateway and backend services from indefinitely hanging requests.</w:t>
      </w:r>
    </w:p>
    <w:p>
      <w:pPr>
        <w:pStyle w:val="Heading2"/>
      </w:pPr>
      <w:r>
        <w:t>5.6</w:t>
        <w:tab/>
        <w:t>Retry policy</w:t>
      </w:r>
    </w:p>
    <w:p>
      <w:pPr>
        <w:pStyle w:val="Requirement"/>
        <w:keepNext w:val="0"/>
      </w:pPr>
      <w:r>
        <w:rPr>
          <w:b/>
          <w:color w:val="1F3864"/>
          <w:sz w:val="19"/>
        </w:rPr>
        <w:t>GW-TRF-014</w:t>
      </w:r>
      <w:r>
        <w:tab/>
      </w:r>
      <w:r>
        <w:t xml:space="preserve">Automatic retries </w:t>
      </w:r>
      <w:r>
        <w:rPr>
          <w:b/>
        </w:rPr>
        <w:t>should not</w:t>
      </w:r>
      <w:r>
        <w:t xml:space="preserve"> be enabled by default.</w:t>
      </w:r>
    </w:p>
    <w:p>
      <w:pPr>
        <w:pStyle w:val="Rationale"/>
      </w:pPr>
      <w:r>
        <w:rPr>
          <w:b/>
        </w:rPr>
        <w:t xml:space="preserve">Rationale. </w:t>
      </w:r>
      <w:r>
        <w:t>Retries can create additional load against an already unhealthy backend and may cause unexpected application behavior. By default, when a backend request times out, the Gateway does not send the request again.</w:t>
      </w:r>
    </w:p>
    <w:p>
      <w:pPr>
        <w:pStyle w:val="Requirement"/>
        <w:keepNext/>
      </w:pPr>
      <w:r>
        <w:rPr>
          <w:b/>
          <w:color w:val="1F3864"/>
          <w:sz w:val="19"/>
        </w:rPr>
        <w:t>GW-TRF-015</w:t>
      </w:r>
      <w:r>
        <w:tab/>
      </w:r>
      <w:r>
        <w:t xml:space="preserve">Automatic retries </w:t>
      </w:r>
      <w:r>
        <w:rPr>
          <w:b/>
        </w:rPr>
        <w:t>may</w:t>
      </w:r>
      <w:r>
        <w:t xml:space="preserve"> be enabled for a specific use case only when all of the following conditions are met:</w:t>
      </w:r>
    </w:p>
    <w:p>
      <w:pPr>
        <w:pStyle w:val="ListBullet"/>
        <w:keepNext/>
        <w:spacing w:after="40"/>
        <w:ind w:left="1928" w:hanging="283"/>
      </w:pPr>
      <w:r>
        <w:t>The operation is known to be safe to repeat.</w:t>
      </w:r>
    </w:p>
    <w:p>
      <w:pPr>
        <w:pStyle w:val="ListBullet"/>
        <w:keepNext/>
        <w:spacing w:after="40"/>
        <w:ind w:left="1928" w:hanging="283"/>
      </w:pPr>
      <w:r>
        <w:t>The backend behavior is understood.</w:t>
      </w:r>
    </w:p>
    <w:p>
      <w:pPr>
        <w:pStyle w:val="ListBullet"/>
        <w:keepNext/>
        <w:spacing w:after="40"/>
        <w:ind w:left="1928" w:hanging="283"/>
      </w:pPr>
      <w:r>
        <w:t>The retry policy is explicitly defined.</w:t>
      </w:r>
    </w:p>
    <w:p>
      <w:pPr>
        <w:pStyle w:val="ListBullet"/>
        <w:keepNext w:val="0"/>
        <w:spacing w:after="40"/>
        <w:ind w:left="1928" w:hanging="283"/>
      </w:pPr>
      <w:r>
        <w:t>The additional load is acceptable.</w:t>
      </w:r>
    </w:p>
    <w:p>
      <w:pPr>
        <w:pStyle w:val="Note"/>
      </w:pPr>
      <w:r>
        <w:rPr>
          <w:b/>
        </w:rPr>
        <w:t xml:space="preserve">Note. </w:t>
      </w:r>
      <w:r>
        <w:t xml:space="preserve">The default position is: </w:t>
      </w:r>
      <w:r>
        <w:rPr>
          <w:b/>
        </w:rPr>
        <w:t>Timeout: yes. Automatic retry: no.</w:t>
      </w:r>
    </w:p>
    <w:p>
      <w:pPr>
        <w:pStyle w:val="Heading2"/>
      </w:pPr>
      <w:r>
        <w:t>5.7</w:t>
        <w:tab/>
        <w:t>Rate limiting</w:t>
      </w:r>
    </w:p>
    <w:p>
      <w:r>
        <w:t>Rate limiting provides significant protection against accidental overload, excessive consumer usage, misbehaving applications, traffic spikes, resource exhaustion and abuse.</w:t>
      </w:r>
    </w:p>
    <w:p>
      <w:pPr>
        <w:pStyle w:val="Requirement"/>
        <w:keepNext w:val="0"/>
      </w:pPr>
      <w:r>
        <w:rPr>
          <w:b/>
          <w:color w:val="1F3864"/>
          <w:sz w:val="19"/>
        </w:rPr>
        <w:t>GW-TRF-016</w:t>
      </w:r>
      <w:r>
        <w:tab/>
      </w:r>
      <w:r>
        <w:t xml:space="preserve">The Gateway </w:t>
      </w:r>
      <w:r>
        <w:rPr>
          <w:b/>
        </w:rPr>
        <w:t>shall</w:t>
      </w:r>
      <w:r>
        <w:t xml:space="preserve"> provide rate limiting as a capability.</w:t>
      </w:r>
    </w:p>
    <w:p>
      <w:pPr>
        <w:pStyle w:val="Requirement"/>
        <w:keepNext/>
      </w:pPr>
      <w:r>
        <w:rPr>
          <w:b/>
          <w:color w:val="1F3864"/>
          <w:sz w:val="19"/>
        </w:rPr>
        <w:t>GW-TRF-017</w:t>
      </w:r>
      <w:r>
        <w:tab/>
      </w:r>
      <w:r>
        <w:t xml:space="preserve">Rate limits </w:t>
      </w:r>
      <w:r>
        <w:rPr>
          <w:b/>
        </w:rPr>
        <w:t>may</w:t>
      </w:r>
      <w:r>
        <w:t xml:space="preserve"> be applied based on the following:</w:t>
      </w:r>
    </w:p>
    <w:p>
      <w:pPr>
        <w:pStyle w:val="ListBullet"/>
        <w:keepNext/>
        <w:spacing w:after="40"/>
        <w:ind w:left="1928" w:hanging="283"/>
      </w:pPr>
      <w:r>
        <w:t>Consumer</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Client identity</w:t>
      </w:r>
    </w:p>
    <w:p>
      <w:pPr>
        <w:pStyle w:val="ListBullet"/>
        <w:keepNext/>
        <w:spacing w:after="40"/>
        <w:ind w:left="1928" w:hanging="283"/>
      </w:pPr>
      <w:r>
        <w:t>Token</w:t>
      </w:r>
    </w:p>
    <w:p>
      <w:pPr>
        <w:pStyle w:val="ListBullet"/>
        <w:keepNext w:val="0"/>
        <w:spacing w:after="40"/>
        <w:ind w:left="1928" w:hanging="283"/>
      </w:pPr>
      <w:r>
        <w:t>Other relevant attributes</w:t>
      </w:r>
    </w:p>
    <w:p>
      <w:pPr>
        <w:pStyle w:val="Caption"/>
        <w:keepNext/>
      </w:pPr>
      <w:r>
        <w:t xml:space="preserve">Table </w:t>
      </w:r>
      <w:r>
        <w:fldChar w:fldCharType="begin"/>
      </w:r>
      <w:r>
        <w:instrText xml:space="preserve"> SEQ Table \* ARABIC </w:instrText>
      </w:r>
      <w:r>
        <w:fldChar w:fldCharType="separate"/>
      </w:r>
      <w:r>
        <w:t>11</w:t>
      </w:r>
      <w:r>
        <w:fldChar w:fldCharType="end"/>
      </w:r>
      <w:r>
        <w:t xml:space="preserve"> — Example of per-API rate limits for one consumer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2835"/>
        <w:gridCol w:w="3402"/>
      </w:tblGrid>
      <w:tr>
        <w:trPr>
          <w:cantSplit/>
          <w:tblHeader/>
        </w:trPr>
        <w:tc>
          <w:tcPr>
            <w:tcW w:type="dxa" w:w="2835"/>
            <w:shd w:val="clear" w:color="auto" w:fill="1F3864"/>
          </w:tcPr>
          <w:p>
            <w:pPr>
              <w:pStyle w:val="TableText"/>
            </w:pPr>
            <w:r>
              <w:rPr>
                <w:b/>
                <w:color w:val="FFFFFF"/>
              </w:rPr>
              <w:t>Consumer</w:t>
            </w:r>
          </w:p>
        </w:tc>
        <w:tc>
          <w:tcPr>
            <w:tcW w:type="dxa" w:w="2835"/>
            <w:shd w:val="clear" w:color="auto" w:fill="1F3864"/>
          </w:tcPr>
          <w:p>
            <w:pPr>
              <w:pStyle w:val="TableText"/>
            </w:pPr>
            <w:r>
              <w:rPr>
                <w:b/>
                <w:color w:val="FFFFFF"/>
              </w:rPr>
              <w:t>API</w:t>
            </w:r>
          </w:p>
        </w:tc>
        <w:tc>
          <w:tcPr>
            <w:tcW w:type="dxa" w:w="3402"/>
            <w:shd w:val="clear" w:color="auto" w:fill="1F3864"/>
          </w:tcPr>
          <w:p>
            <w:pPr>
              <w:pStyle w:val="TableText"/>
            </w:pPr>
            <w:r>
              <w:rPr>
                <w:b/>
                <w:color w:val="FFFFFF"/>
              </w:rPr>
              <w:t>Limit</w:t>
            </w:r>
          </w:p>
        </w:tc>
      </w:tr>
      <w:tr>
        <w:trPr>
          <w:cantSplit/>
        </w:trPr>
        <w:tc>
          <w:tcPr>
            <w:tcW w:type="dxa" w:w="2835"/>
          </w:tcPr>
          <w:p>
            <w:pPr>
              <w:pStyle w:val="TableText"/>
            </w:pPr>
            <w:r>
              <w:t>Consumer A</w:t>
            </w:r>
          </w:p>
        </w:tc>
        <w:tc>
          <w:tcPr>
            <w:tcW w:type="dxa" w:w="2835"/>
          </w:tcPr>
          <w:p>
            <w:pPr>
              <w:pStyle w:val="TableText"/>
            </w:pPr>
            <w:r>
              <w:t>API A</w:t>
            </w:r>
          </w:p>
        </w:tc>
        <w:tc>
          <w:tcPr>
            <w:tcW w:type="dxa" w:w="3402"/>
          </w:tcPr>
          <w:p>
            <w:pPr>
              <w:pStyle w:val="TableText"/>
            </w:pPr>
            <w:r>
              <w:t>100 requests per second</w:t>
            </w:r>
          </w:p>
        </w:tc>
      </w:tr>
      <w:tr>
        <w:trPr>
          <w:cantSplit/>
        </w:trPr>
        <w:tc>
          <w:tcPr>
            <w:tcW w:type="dxa" w:w="2835"/>
          </w:tcPr>
          <w:p>
            <w:pPr>
              <w:pStyle w:val="TableText"/>
            </w:pPr>
            <w:r>
              <w:t>Consumer A</w:t>
            </w:r>
          </w:p>
        </w:tc>
        <w:tc>
          <w:tcPr>
            <w:tcW w:type="dxa" w:w="2835"/>
          </w:tcPr>
          <w:p>
            <w:pPr>
              <w:pStyle w:val="TableText"/>
            </w:pPr>
            <w:r>
              <w:t>API B</w:t>
            </w:r>
          </w:p>
        </w:tc>
        <w:tc>
          <w:tcPr>
            <w:tcW w:type="dxa" w:w="3402"/>
          </w:tcPr>
          <w:p>
            <w:pPr>
              <w:pStyle w:val="TableText"/>
            </w:pPr>
            <w:r>
              <w:t>20 requests per second</w:t>
            </w:r>
          </w:p>
        </w:tc>
      </w:tr>
    </w:tbl>
    <w:p>
      <w:pPr>
        <w:spacing w:after="40"/>
      </w:pPr>
    </w:p>
    <w:p>
      <w:pPr>
        <w:pStyle w:val="Requirement"/>
        <w:keepNext w:val="0"/>
      </w:pPr>
      <w:r>
        <w:rPr>
          <w:b/>
          <w:color w:val="1F3864"/>
          <w:sz w:val="19"/>
        </w:rPr>
        <w:t>GW-TRF-018</w:t>
      </w:r>
      <w:r>
        <w:tab/>
      </w:r>
      <w:r>
        <w:t xml:space="preserve">Rate limiting </w:t>
      </w:r>
      <w:r>
        <w:rPr>
          <w:b/>
        </w:rPr>
        <w:t>may</w:t>
      </w:r>
      <w:r>
        <w:t xml:space="preserve"> be enabled for an API where appropriate.</w:t>
      </w:r>
    </w:p>
    <w:p>
      <w:pPr>
        <w:pStyle w:val="Note"/>
      </w:pPr>
      <w:r>
        <w:rPr>
          <w:b/>
        </w:rPr>
        <w:t xml:space="preserve">Note. </w:t>
      </w:r>
      <w:r>
        <w:t>Rate limiting is not required to be enabled for every API.</w:t>
      </w:r>
    </w:p>
    <w:p>
      <w:pPr>
        <w:pStyle w:val="Heading1"/>
        <w:spacing w:before="520"/>
      </w:pPr>
      <w:r>
        <w:t>6</w:t>
        <w:tab/>
        <w:t>API Policy Capabilities</w:t>
      </w:r>
    </w:p>
    <w:p>
      <w:pPr>
        <w:pStyle w:val="Heading2"/>
      </w:pPr>
      <w:r>
        <w:t>6.1</w:t>
        <w:tab/>
        <w:t>Transformation</w:t>
      </w:r>
    </w:p>
    <w:p>
      <w:pPr>
        <w:pStyle w:val="Rationale"/>
      </w:pPr>
      <w:r>
        <w:rPr>
          <w:b/>
        </w:rPr>
        <w:t xml:space="preserve">Rationale. </w:t>
      </w:r>
      <w:r>
        <w:t>Transformation can resolve many integration conflicts without requiring backend changes. For example, a consumer can use a new API format while the Gateway presents the legacy format to the backend.</w:t>
      </w:r>
    </w:p>
    <w:p>
      <w:pPr>
        <w:pStyle w:val="Requirement"/>
        <w:keepNext w:val="0"/>
      </w:pPr>
      <w:r>
        <w:rPr>
          <w:b/>
          <w:color w:val="1F3864"/>
          <w:sz w:val="19"/>
        </w:rPr>
        <w:t>GW-POL-001</w:t>
      </w:r>
      <w:r>
        <w:tab/>
      </w:r>
      <w:r>
        <w:t xml:space="preserve">The Gateway </w:t>
      </w:r>
      <w:r>
        <w:rPr>
          <w:b/>
        </w:rPr>
        <w:t>shall</w:t>
      </w:r>
      <w:r>
        <w:t xml:space="preserve"> provide transformation as a capability.</w:t>
      </w:r>
    </w:p>
    <w:p>
      <w:pPr>
        <w:pStyle w:val="Requirement"/>
        <w:keepNext/>
      </w:pPr>
      <w:r>
        <w:rPr>
          <w:b/>
          <w:color w:val="1F3864"/>
          <w:sz w:val="19"/>
        </w:rPr>
        <w:t>GW-POL-002</w:t>
      </w:r>
      <w:r>
        <w:tab/>
      </w:r>
      <w:r>
        <w:t xml:space="preserve">The Gateway </w:t>
      </w:r>
      <w:r>
        <w:rPr>
          <w:b/>
        </w:rPr>
        <w:t>may</w:t>
      </w:r>
      <w:r>
        <w:t xml:space="preserve"> perform technical transformations such as the following:</w:t>
      </w:r>
    </w:p>
    <w:p>
      <w:pPr>
        <w:pStyle w:val="ListBullet"/>
        <w:keepNext/>
        <w:spacing w:after="40"/>
        <w:ind w:left="1928" w:hanging="283"/>
      </w:pPr>
      <w:r>
        <w:t>Header manipulation</w:t>
      </w:r>
    </w:p>
    <w:p>
      <w:pPr>
        <w:pStyle w:val="ListBullet"/>
        <w:keepNext/>
        <w:spacing w:after="40"/>
        <w:ind w:left="1928" w:hanging="283"/>
      </w:pPr>
      <w:r>
        <w:t>Path rewriting</w:t>
      </w:r>
    </w:p>
    <w:p>
      <w:pPr>
        <w:pStyle w:val="ListBullet"/>
        <w:keepNext/>
        <w:spacing w:after="40"/>
        <w:ind w:left="1928" w:hanging="283"/>
      </w:pPr>
      <w:r>
        <w:t>Request mapping</w:t>
      </w:r>
    </w:p>
    <w:p>
      <w:pPr>
        <w:pStyle w:val="ListBullet"/>
        <w:keepNext/>
        <w:spacing w:after="40"/>
        <w:ind w:left="1928" w:hanging="283"/>
      </w:pPr>
      <w:r>
        <w:t>Response mapping</w:t>
      </w:r>
    </w:p>
    <w:p>
      <w:pPr>
        <w:pStyle w:val="ListBullet"/>
        <w:keepNext/>
        <w:spacing w:after="40"/>
        <w:ind w:left="1928" w:hanging="283"/>
      </w:pPr>
      <w:r>
        <w:t>Protocol-level adaptations</w:t>
      </w:r>
    </w:p>
    <w:p>
      <w:pPr>
        <w:pStyle w:val="ListBullet"/>
        <w:keepNext w:val="0"/>
        <w:spacing w:after="40"/>
        <w:ind w:left="1928" w:hanging="283"/>
      </w:pPr>
      <w:r>
        <w:t>Version compatibility transformations</w:t>
      </w:r>
    </w:p>
    <w:p>
      <w:pPr>
        <w:pStyle w:val="Requirement"/>
        <w:keepNext w:val="0"/>
      </w:pPr>
      <w:r>
        <w:rPr>
          <w:b/>
          <w:color w:val="1F3864"/>
          <w:sz w:val="19"/>
        </w:rPr>
        <w:t>GW-POL-003</w:t>
      </w:r>
      <w:r>
        <w:tab/>
      </w:r>
      <w:r>
        <w:t xml:space="preserve">Transformation </w:t>
      </w:r>
      <w:r>
        <w:rPr>
          <w:b/>
        </w:rPr>
        <w:t>should</w:t>
      </w:r>
      <w:r>
        <w:t xml:space="preserve"> be used for technical compatibility.</w:t>
      </w:r>
    </w:p>
    <w:p>
      <w:pPr>
        <w:pStyle w:val="Requirement"/>
        <w:keepNext w:val="0"/>
      </w:pPr>
      <w:r>
        <w:rPr>
          <w:b/>
          <w:color w:val="1F3864"/>
          <w:sz w:val="19"/>
        </w:rPr>
        <w:t>GW-POL-004</w:t>
      </w:r>
      <w:r>
        <w:tab/>
      </w:r>
      <w:r>
        <w:t xml:space="preserve">Transformation </w:t>
      </w:r>
      <w:r>
        <w:rPr>
          <w:b/>
        </w:rPr>
        <w:t>shall not</w:t>
      </w:r>
      <w:r>
        <w:t xml:space="preserve"> be used to implement business logic.</w:t>
      </w:r>
    </w:p>
    <w:p>
      <w:pPr>
        <w:pStyle w:val="Heading2"/>
      </w:pPr>
      <w:r>
        <w:t>6.2</w:t>
        <w:tab/>
        <w:t>Caching</w:t>
      </w:r>
    </w:p>
    <w:p>
      <w:pPr>
        <w:pStyle w:val="Requirement"/>
        <w:keepNext w:val="0"/>
      </w:pPr>
      <w:r>
        <w:rPr>
          <w:b/>
          <w:color w:val="1F3864"/>
          <w:sz w:val="19"/>
        </w:rPr>
        <w:t>GW-POL-005</w:t>
      </w:r>
      <w:r>
        <w:tab/>
      </w:r>
      <w:r>
        <w:t xml:space="preserve">The Gateway </w:t>
      </w:r>
      <w:r>
        <w:rPr>
          <w:b/>
        </w:rPr>
        <w:t>shall</w:t>
      </w:r>
      <w:r>
        <w:t xml:space="preserve"> provide caching as a capability.</w:t>
      </w:r>
    </w:p>
    <w:p>
      <w:pPr>
        <w:pStyle w:val="Requirement"/>
        <w:keepNext w:val="0"/>
      </w:pPr>
      <w:r>
        <w:rPr>
          <w:b/>
          <w:color w:val="1F3864"/>
          <w:sz w:val="19"/>
        </w:rPr>
        <w:t>GW-POL-006</w:t>
      </w:r>
      <w:r>
        <w:tab/>
      </w:r>
      <w:r>
        <w:t xml:space="preserve">Caching </w:t>
      </w:r>
      <w:r>
        <w:rPr>
          <w:b/>
        </w:rPr>
        <w:t>should</w:t>
      </w:r>
      <w:r>
        <w:t xml:space="preserve"> be used only where it is safe and appropriate.</w:t>
      </w:r>
    </w:p>
    <w:p>
      <w:pPr>
        <w:pStyle w:val="Requirement"/>
        <w:keepNext/>
      </w:pPr>
      <w:r>
        <w:rPr>
          <w:b/>
          <w:color w:val="1F3864"/>
          <w:sz w:val="19"/>
        </w:rPr>
        <w:t>GW-POL-007</w:t>
      </w:r>
      <w:r>
        <w:tab/>
      </w:r>
      <w:r>
        <w:t xml:space="preserve">The caching configuration of an API </w:t>
      </w:r>
      <w:r>
        <w:rPr>
          <w:b/>
        </w:rPr>
        <w:t>should</w:t>
      </w:r>
      <w:r>
        <w:t xml:space="preserve"> take the following into account:</w:t>
      </w:r>
    </w:p>
    <w:p>
      <w:pPr>
        <w:pStyle w:val="ListBullet"/>
        <w:keepNext/>
        <w:spacing w:after="40"/>
        <w:ind w:left="1928" w:hanging="283"/>
      </w:pPr>
      <w:r>
        <w:t>Cache TTL</w:t>
      </w:r>
    </w:p>
    <w:p>
      <w:pPr>
        <w:pStyle w:val="ListBullet"/>
        <w:keepNext/>
        <w:spacing w:after="40"/>
        <w:ind w:left="1928" w:hanging="283"/>
      </w:pPr>
      <w:r>
        <w:t>Cache key</w:t>
      </w:r>
    </w:p>
    <w:p>
      <w:pPr>
        <w:pStyle w:val="ListBullet"/>
        <w:keepNext/>
        <w:spacing w:after="40"/>
        <w:ind w:left="1928" w:hanging="283"/>
      </w:pPr>
      <w:r>
        <w:t>HTTP cache headers</w:t>
      </w:r>
    </w:p>
    <w:p>
      <w:pPr>
        <w:pStyle w:val="ListBullet"/>
        <w:keepNext/>
        <w:spacing w:after="40"/>
        <w:ind w:left="1928" w:hanging="283"/>
      </w:pPr>
      <w:r>
        <w:t>Authentication context</w:t>
      </w:r>
    </w:p>
    <w:p>
      <w:pPr>
        <w:pStyle w:val="ListBullet"/>
        <w:keepNext/>
        <w:spacing w:after="40"/>
        <w:ind w:left="1928" w:hanging="283"/>
      </w:pPr>
      <w:r>
        <w:t>Authorization context</w:t>
      </w:r>
    </w:p>
    <w:p>
      <w:pPr>
        <w:pStyle w:val="ListBullet"/>
        <w:keepNext/>
        <w:spacing w:after="40"/>
        <w:ind w:left="1928" w:hanging="283"/>
      </w:pPr>
      <w:r>
        <w:t>Data sensitivity</w:t>
      </w:r>
    </w:p>
    <w:p>
      <w:pPr>
        <w:pStyle w:val="ListBullet"/>
        <w:keepNext/>
        <w:spacing w:after="40"/>
        <w:ind w:left="1928" w:hanging="283"/>
      </w:pPr>
      <w:r>
        <w:t>Data freshness</w:t>
      </w:r>
    </w:p>
    <w:p>
      <w:pPr>
        <w:pStyle w:val="ListBullet"/>
        <w:keepNext w:val="0"/>
        <w:spacing w:after="40"/>
        <w:ind w:left="1928" w:hanging="283"/>
      </w:pPr>
      <w:r>
        <w:t>Cache invalidation</w:t>
      </w:r>
    </w:p>
    <w:p>
      <w:pPr>
        <w:pStyle w:val="Requirement"/>
        <w:keepNext w:val="0"/>
      </w:pPr>
      <w:r>
        <w:rPr>
          <w:b/>
          <w:color w:val="1F3864"/>
          <w:sz w:val="19"/>
        </w:rPr>
        <w:t>GW-POL-008</w:t>
      </w:r>
      <w:r>
        <w:tab/>
      </w:r>
      <w:r>
        <w:t xml:space="preserve">Caching </w:t>
      </w:r>
      <w:r>
        <w:rPr>
          <w:b/>
        </w:rPr>
        <w:t>shall not</w:t>
      </w:r>
      <w:r>
        <w:t xml:space="preserve"> cause one consumer to receive data belonging to another consumer.</w:t>
      </w:r>
    </w:p>
    <w:p>
      <w:pPr>
        <w:pStyle w:val="Requirement"/>
        <w:keepNext w:val="0"/>
      </w:pPr>
      <w:r>
        <w:rPr>
          <w:b/>
          <w:color w:val="1F3864"/>
          <w:sz w:val="19"/>
        </w:rPr>
        <w:t>GW-POL-009</w:t>
      </w:r>
      <w:r>
        <w:tab/>
      </w:r>
      <w:r>
        <w:t xml:space="preserve">The Gateway </w:t>
      </w:r>
      <w:r>
        <w:rPr>
          <w:b/>
        </w:rPr>
        <w:t>shall not</w:t>
      </w:r>
      <w:r>
        <w:t xml:space="preserve"> become a business-data store.</w:t>
      </w:r>
    </w:p>
    <w:p>
      <w:pPr>
        <w:pStyle w:val="Requirement"/>
        <w:keepNext w:val="0"/>
      </w:pPr>
      <w:r>
        <w:rPr>
          <w:b/>
          <w:color w:val="1F3864"/>
          <w:sz w:val="19"/>
        </w:rPr>
        <w:t>GW-POL-010</w:t>
      </w:r>
      <w:r>
        <w:tab/>
      </w:r>
      <w:r>
        <w:t xml:space="preserve">Business-driven cache invalidation </w:t>
      </w:r>
      <w:r>
        <w:rPr>
          <w:b/>
        </w:rPr>
        <w:t>shall</w:t>
      </w:r>
      <w:r>
        <w:t xml:space="preserve"> remain an application responsibility.</w:t>
      </w:r>
    </w:p>
    <w:p>
      <w:pPr>
        <w:pStyle w:val="Heading2"/>
      </w:pPr>
      <w:r>
        <w:t>6.3</w:t>
        <w:tab/>
        <w:t>Schema validation</w:t>
      </w:r>
    </w:p>
    <w:p>
      <w:pPr>
        <w:pStyle w:val="Requirement"/>
        <w:keepNext w:val="0"/>
      </w:pPr>
      <w:r>
        <w:rPr>
          <w:b/>
          <w:color w:val="1F3864"/>
          <w:sz w:val="19"/>
        </w:rPr>
        <w:t>GW-POL-011</w:t>
      </w:r>
      <w:r>
        <w:tab/>
      </w:r>
      <w:r>
        <w:t xml:space="preserve">The Gateway </w:t>
      </w:r>
      <w:r>
        <w:rPr>
          <w:b/>
        </w:rPr>
        <w:t>shall</w:t>
      </w:r>
      <w:r>
        <w:t xml:space="preserve"> provide schema validation as a capability.</w:t>
      </w:r>
    </w:p>
    <w:p>
      <w:pPr>
        <w:pStyle w:val="Requirement"/>
        <w:keepNext/>
      </w:pPr>
      <w:r>
        <w:rPr>
          <w:b/>
          <w:color w:val="1F3864"/>
          <w:sz w:val="19"/>
        </w:rPr>
        <w:t>GW-POL-012</w:t>
      </w:r>
      <w:r>
        <w:tab/>
      </w:r>
      <w:r>
        <w:t xml:space="preserve">The Gateway </w:t>
      </w:r>
      <w:r>
        <w:rPr>
          <w:b/>
        </w:rPr>
        <w:t>may</w:t>
      </w:r>
      <w:r>
        <w:t xml:space="preserve"> validate the following:</w:t>
      </w:r>
    </w:p>
    <w:p>
      <w:pPr>
        <w:pStyle w:val="ListBullet"/>
        <w:keepNext/>
        <w:spacing w:after="40"/>
        <w:ind w:left="1928" w:hanging="283"/>
      </w:pPr>
      <w:r>
        <w:t>Request structure</w:t>
      </w:r>
    </w:p>
    <w:p>
      <w:pPr>
        <w:pStyle w:val="ListBullet"/>
        <w:keepNext/>
        <w:spacing w:after="40"/>
        <w:ind w:left="1928" w:hanging="283"/>
      </w:pPr>
      <w:r>
        <w:t>Response structure</w:t>
      </w:r>
    </w:p>
    <w:p>
      <w:pPr>
        <w:pStyle w:val="ListBullet"/>
        <w:keepNext/>
        <w:spacing w:after="40"/>
        <w:ind w:left="1928" w:hanging="283"/>
      </w:pPr>
      <w:r>
        <w:t>Required fields</w:t>
      </w:r>
    </w:p>
    <w:p>
      <w:pPr>
        <w:pStyle w:val="ListBullet"/>
        <w:keepNext/>
        <w:spacing w:after="40"/>
        <w:ind w:left="1928" w:hanging="283"/>
      </w:pPr>
      <w:r>
        <w:t>Data types</w:t>
      </w:r>
    </w:p>
    <w:p>
      <w:pPr>
        <w:pStyle w:val="ListBullet"/>
        <w:keepNext/>
        <w:spacing w:after="40"/>
        <w:ind w:left="1928" w:hanging="283"/>
      </w:pPr>
      <w:r>
        <w:t>Payload size</w:t>
      </w:r>
    </w:p>
    <w:p>
      <w:pPr>
        <w:pStyle w:val="ListBullet"/>
        <w:keepNext w:val="0"/>
        <w:spacing w:after="40"/>
        <w:ind w:left="1928" w:hanging="283"/>
      </w:pPr>
      <w:r>
        <w:t>API contract compliance</w:t>
      </w:r>
    </w:p>
    <w:p>
      <w:pPr>
        <w:pStyle w:val="Rationale"/>
      </w:pPr>
      <w:r>
        <w:rPr>
          <w:b/>
        </w:rPr>
        <w:t xml:space="preserve">Rationale. </w:t>
      </w:r>
      <w:r>
        <w:t>Schema validation provides an additional layer of protection for backend services.</w:t>
      </w:r>
    </w:p>
    <w:p>
      <w:pPr>
        <w:pStyle w:val="Requirement"/>
        <w:keepNext w:val="0"/>
      </w:pPr>
      <w:r>
        <w:rPr>
          <w:b/>
          <w:color w:val="1F3864"/>
          <w:sz w:val="19"/>
        </w:rPr>
        <w:t>GW-POL-013</w:t>
      </w:r>
      <w:r>
        <w:tab/>
      </w:r>
      <w:r>
        <w:t xml:space="preserve">Schema validation </w:t>
      </w:r>
      <w:r>
        <w:rPr>
          <w:b/>
        </w:rPr>
        <w:t>should not</w:t>
      </w:r>
      <w:r>
        <w:t xml:space="preserve"> be used to implement business validation.</w:t>
      </w:r>
    </w:p>
    <w:p>
      <w:pPr>
        <w:pStyle w:val="Caption"/>
        <w:keepNext/>
      </w:pPr>
      <w:r>
        <w:t xml:space="preserve">Table </w:t>
      </w:r>
      <w:r>
        <w:fldChar w:fldCharType="begin"/>
      </w:r>
      <w:r>
        <w:instrText xml:space="preserve"> SEQ Table \* ARABIC </w:instrText>
      </w:r>
      <w:r>
        <w:fldChar w:fldCharType="separate"/>
      </w:r>
      <w:r>
        <w:t>12</w:t>
      </w:r>
      <w:r>
        <w:fldChar w:fldCharType="end"/>
      </w:r>
      <w:r>
        <w:t xml:space="preserve"> — Technical validation versus business validation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6237"/>
      </w:tblGrid>
      <w:tr>
        <w:trPr>
          <w:cantSplit/>
          <w:tblHeader/>
        </w:trPr>
        <w:tc>
          <w:tcPr>
            <w:tcW w:type="dxa" w:w="2835"/>
            <w:shd w:val="clear" w:color="auto" w:fill="1F3864"/>
          </w:tcPr>
          <w:p>
            <w:pPr>
              <w:pStyle w:val="TableText"/>
            </w:pPr>
            <w:r>
              <w:rPr>
                <w:b/>
                <w:color w:val="FFFFFF"/>
              </w:rPr>
              <w:t>Component</w:t>
            </w:r>
          </w:p>
        </w:tc>
        <w:tc>
          <w:tcPr>
            <w:tcW w:type="dxa" w:w="6236"/>
            <w:shd w:val="clear" w:color="auto" w:fill="1F3864"/>
          </w:tcPr>
          <w:p>
            <w:pPr>
              <w:pStyle w:val="TableText"/>
            </w:pPr>
            <w:r>
              <w:rPr>
                <w:b/>
                <w:color w:val="FFFFFF"/>
              </w:rPr>
              <w:t>Example of validation</w:t>
            </w:r>
          </w:p>
        </w:tc>
      </w:tr>
      <w:tr>
        <w:trPr>
          <w:cantSplit/>
        </w:trPr>
        <w:tc>
          <w:tcPr>
            <w:tcW w:type="dxa" w:w="2835"/>
            <w:shd w:val="clear" w:color="auto" w:fill="F2F5FA"/>
          </w:tcPr>
          <w:p>
            <w:pPr>
              <w:pStyle w:val="TableText"/>
            </w:pPr>
            <w:r>
              <w:rPr>
                <w:b/>
              </w:rPr>
              <w:t>Gateway (technical)</w:t>
            </w:r>
          </w:p>
        </w:tc>
        <w:tc>
          <w:tcPr>
            <w:tcW w:type="dxa" w:w="6236"/>
          </w:tcPr>
          <w:p>
            <w:pPr>
              <w:pStyle w:val="TableText"/>
            </w:pPr>
            <w:r>
              <w:t>customer_id must be an integer.</w:t>
            </w:r>
          </w:p>
        </w:tc>
      </w:tr>
      <w:tr>
        <w:trPr>
          <w:cantSplit/>
        </w:trPr>
        <w:tc>
          <w:tcPr>
            <w:tcW w:type="dxa" w:w="2835"/>
            <w:shd w:val="clear" w:color="auto" w:fill="F2F5FA"/>
          </w:tcPr>
          <w:p>
            <w:pPr>
              <w:pStyle w:val="TableText"/>
            </w:pPr>
            <w:r>
              <w:rPr>
                <w:b/>
              </w:rPr>
              <w:t>Application (business)</w:t>
            </w:r>
          </w:p>
        </w:tc>
        <w:tc>
          <w:tcPr>
            <w:tcW w:type="dxa" w:w="6236"/>
          </w:tcPr>
          <w:p>
            <w:pPr>
              <w:pStyle w:val="TableText"/>
            </w:pPr>
            <w:r>
              <w:t>customer_id must belong to the authenticated user.</w:t>
            </w:r>
          </w:p>
        </w:tc>
      </w:tr>
    </w:tbl>
    <w:p>
      <w:pPr>
        <w:spacing w:after="40"/>
      </w:pPr>
    </w:p>
    <w:p>
      <w:pPr>
        <w:pStyle w:val="Heading1"/>
        <w:spacing w:before="520"/>
      </w:pPr>
      <w:r>
        <w:t>7</w:t>
        <w:tab/>
        <w:t>API Contract, Lifecycle and Developer Portal</w:t>
      </w:r>
    </w:p>
    <w:p>
      <w:pPr>
        <w:pStyle w:val="Heading2"/>
      </w:pPr>
      <w:r>
        <w:t>7.1</w:t>
        <w:tab/>
        <w:t>API contract</w:t>
      </w:r>
    </w:p>
    <w:p>
      <w:pPr>
        <w:pStyle w:val="Requirement"/>
        <w:keepNext w:val="0"/>
      </w:pPr>
      <w:r>
        <w:rPr>
          <w:b/>
          <w:color w:val="1F3864"/>
          <w:sz w:val="19"/>
        </w:rPr>
        <w:t>GW-LCY-001</w:t>
      </w:r>
      <w:r>
        <w:tab/>
      </w:r>
      <w:r>
        <w:t xml:space="preserve">Every API </w:t>
      </w:r>
      <w:r>
        <w:rPr>
          <w:b/>
        </w:rPr>
        <w:t>shall</w:t>
      </w:r>
      <w:r>
        <w:t xml:space="preserve"> have a defined technical contract.</w:t>
      </w:r>
    </w:p>
    <w:p>
      <w:pPr>
        <w:pStyle w:val="Requirement"/>
        <w:keepNext/>
      </w:pPr>
      <w:r>
        <w:rPr>
          <w:b/>
          <w:color w:val="1F3864"/>
          <w:sz w:val="19"/>
        </w:rPr>
        <w:t>GW-LCY-002</w:t>
      </w:r>
      <w:r>
        <w:tab/>
      </w:r>
      <w:r>
        <w:t xml:space="preserve">The contract </w:t>
      </w:r>
      <w:r>
        <w:rPr>
          <w:b/>
        </w:rPr>
        <w:t>should</w:t>
      </w:r>
      <w:r>
        <w:t xml:space="preserve"> describe the following:</w:t>
      </w:r>
    </w:p>
    <w:p>
      <w:pPr>
        <w:pStyle w:val="ListBullet"/>
        <w:keepNext/>
        <w:spacing w:after="40"/>
        <w:ind w:left="1928" w:hanging="283"/>
      </w:pPr>
      <w:r>
        <w:t>Endpoints</w:t>
      </w:r>
    </w:p>
    <w:p>
      <w:pPr>
        <w:pStyle w:val="ListBullet"/>
        <w:keepNext/>
        <w:spacing w:after="40"/>
        <w:ind w:left="1928" w:hanging="283"/>
      </w:pPr>
      <w:r>
        <w:t>Methods</w:t>
      </w:r>
    </w:p>
    <w:p>
      <w:pPr>
        <w:pStyle w:val="ListBullet"/>
        <w:keepNext/>
        <w:spacing w:after="40"/>
        <w:ind w:left="1928" w:hanging="283"/>
      </w:pPr>
      <w:r>
        <w:t>Parameters</w:t>
      </w:r>
    </w:p>
    <w:p>
      <w:pPr>
        <w:pStyle w:val="ListBullet"/>
        <w:keepNext/>
        <w:spacing w:after="40"/>
        <w:ind w:left="1928" w:hanging="283"/>
      </w:pPr>
      <w:r>
        <w:t>Headers</w:t>
      </w:r>
    </w:p>
    <w:p>
      <w:pPr>
        <w:pStyle w:val="ListBullet"/>
        <w:keepNext/>
        <w:spacing w:after="40"/>
        <w:ind w:left="1928" w:hanging="283"/>
      </w:pPr>
      <w:r>
        <w:t>Request schemas</w:t>
      </w:r>
    </w:p>
    <w:p>
      <w:pPr>
        <w:pStyle w:val="ListBullet"/>
        <w:keepNext/>
        <w:spacing w:after="40"/>
        <w:ind w:left="1928" w:hanging="283"/>
      </w:pPr>
      <w:r>
        <w:t>Response schemas</w:t>
      </w:r>
    </w:p>
    <w:p>
      <w:pPr>
        <w:pStyle w:val="ListBullet"/>
        <w:keepNext/>
        <w:spacing w:after="40"/>
        <w:ind w:left="1928" w:hanging="283"/>
      </w:pPr>
      <w:r>
        <w:t>Error responses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val="0"/>
        <w:spacing w:after="40"/>
        <w:ind w:left="1928" w:hanging="283"/>
      </w:pPr>
      <w:r>
        <w:t>Versions</w:t>
      </w:r>
    </w:p>
    <w:p>
      <w:pPr>
        <w:pStyle w:val="Requirement"/>
        <w:keepNext w:val="0"/>
      </w:pPr>
      <w:r>
        <w:rPr>
          <w:b/>
          <w:color w:val="1F3864"/>
          <w:sz w:val="19"/>
        </w:rPr>
        <w:t>GW-LCY-003</w:t>
      </w:r>
      <w:r>
        <w:tab/>
      </w:r>
      <w:r>
        <w:t xml:space="preserve">The contract </w:t>
      </w:r>
      <w:r>
        <w:rPr>
          <w:b/>
        </w:rPr>
        <w:t>should</w:t>
      </w:r>
      <w:r>
        <w:t xml:space="preserve"> be version controlled as part of the API lifecycle.</w:t>
      </w:r>
    </w:p>
    <w:p>
      <w:pPr>
        <w:pStyle w:val="Heading2"/>
      </w:pPr>
      <w:r>
        <w:t>7.2</w:t>
        <w:tab/>
        <w:t>API lifecycle</w:t>
      </w:r>
    </w:p>
    <w:p>
      <w:pPr>
        <w:keepNext/>
        <w:spacing w:before="120" w:after="40"/>
        <w:jc w:val="center"/>
      </w:pPr>
      <w:r>
        <w:drawing>
          <wp:inline xmlns:a="http://schemas.openxmlformats.org/drawingml/2006/main" xmlns:pic="http://schemas.openxmlformats.org/drawingml/2006/picture">
            <wp:extent cx="5760000" cy="1028571"/>
            <wp:docPr id="3" name="Picture 3" descr="Seven stages in sequence: Design, Development, Exposure, Operation, Change or Version, Deprecation and Retirement." title="API lifecycle"/>
            <wp:cNvGraphicFramePr>
              <a:graphicFrameLocks noChangeAspect="1"/>
            </wp:cNvGraphicFramePr>
            <a:graphic>
              <a:graphicData uri="http://schemas.openxmlformats.org/drawingml/2006/picture">
                <pic:pic>
                  <pic:nvPicPr>
                    <pic:cNvPr id="0" name="fig_lifecycle.png"/>
                    <pic:cNvPicPr/>
                  </pic:nvPicPr>
                  <pic:blipFill>
                    <a:blip r:embed="rId11"/>
                    <a:stretch>
                      <a:fillRect/>
                    </a:stretch>
                  </pic:blipFill>
                  <pic:spPr>
                    <a:xfrm>
                      <a:off x="0" y="0"/>
                      <a:ext cx="5760000" cy="1028571"/>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3</w:t>
      </w:r>
      <w:r>
        <w:fldChar w:fldCharType="end"/>
      </w:r>
      <w:r>
        <w:t xml:space="preserve"> — API lifecycle</w:t>
      </w:r>
    </w:p>
    <w:p>
      <w:pPr>
        <w:pStyle w:val="Requirement"/>
        <w:keepNext w:val="0"/>
      </w:pPr>
      <w:r>
        <w:rPr>
          <w:b/>
          <w:color w:val="1F3864"/>
          <w:sz w:val="19"/>
        </w:rPr>
        <w:t>GW-LCY-004</w:t>
      </w:r>
      <w:r>
        <w:tab/>
      </w:r>
      <w:r>
        <w:t xml:space="preserve">The Application Team </w:t>
      </w:r>
      <w:r>
        <w:rPr>
          <w:b/>
        </w:rPr>
        <w:t>shall</w:t>
      </w:r>
      <w:r>
        <w:t xml:space="preserve"> own the API lifecycle.</w:t>
      </w:r>
    </w:p>
    <w:p>
      <w:pPr>
        <w:pStyle w:val="Requirement"/>
        <w:keepNext w:val="0"/>
      </w:pPr>
      <w:r>
        <w:rPr>
          <w:b/>
          <w:color w:val="1F3864"/>
          <w:sz w:val="19"/>
        </w:rPr>
        <w:t>GW-LCY-005</w:t>
      </w:r>
      <w:r>
        <w:tab/>
      </w:r>
      <w:r>
        <w:t xml:space="preserve">The Gateway </w:t>
      </w:r>
      <w:r>
        <w:rPr>
          <w:b/>
        </w:rPr>
        <w:t>shall</w:t>
      </w:r>
      <w:r>
        <w:t xml:space="preserve"> provide the technical capabilities required to implement the API lifecycle.</w:t>
      </w:r>
    </w:p>
    <w:p>
      <w:pPr>
        <w:pStyle w:val="Heading2"/>
      </w:pPr>
      <w:r>
        <w:t>7.3</w:t>
        <w:tab/>
        <w:t>Deprecation</w:t>
      </w:r>
    </w:p>
    <w:p>
      <w:pPr>
        <w:pStyle w:val="Requirement"/>
        <w:keepNext/>
      </w:pPr>
      <w:r>
        <w:rPr>
          <w:b/>
          <w:color w:val="1F3864"/>
          <w:sz w:val="19"/>
        </w:rPr>
        <w:t>GW-LCY-006</w:t>
      </w:r>
      <w:r>
        <w:tab/>
      </w:r>
      <w:r>
        <w:t xml:space="preserve">When an API version is deprecated, the Application Team </w:t>
      </w:r>
      <w:r>
        <w:rPr>
          <w:b/>
        </w:rPr>
        <w:t>should</w:t>
      </w:r>
      <w:r>
        <w:t xml:space="preserve"> do the following:</w:t>
      </w:r>
    </w:p>
    <w:p>
      <w:pPr>
        <w:pStyle w:val="ListBullet"/>
        <w:keepNext/>
        <w:spacing w:after="40"/>
        <w:ind w:left="1928" w:hanging="283"/>
      </w:pPr>
      <w:r>
        <w:t>Identify the consumers.</w:t>
      </w:r>
    </w:p>
    <w:p>
      <w:pPr>
        <w:pStyle w:val="ListBullet"/>
        <w:keepNext/>
        <w:spacing w:after="40"/>
        <w:ind w:left="1928" w:hanging="283"/>
      </w:pPr>
      <w:r>
        <w:t>Provide migration guidance.</w:t>
      </w:r>
    </w:p>
    <w:p>
      <w:pPr>
        <w:pStyle w:val="ListBullet"/>
        <w:keepNext/>
        <w:spacing w:after="40"/>
        <w:ind w:left="1928" w:hanging="283"/>
      </w:pPr>
      <w:r>
        <w:t>Define a retirement date.</w:t>
      </w:r>
    </w:p>
    <w:p>
      <w:pPr>
        <w:pStyle w:val="ListBullet"/>
        <w:keepNext/>
        <w:spacing w:after="40"/>
        <w:ind w:left="1928" w:hanging="283"/>
      </w:pPr>
      <w:r>
        <w:t>Monitor usage.</w:t>
      </w:r>
    </w:p>
    <w:p>
      <w:pPr>
        <w:pStyle w:val="ListBullet"/>
        <w:keepNext w:val="0"/>
        <w:spacing w:after="40"/>
        <w:ind w:left="1928" w:hanging="283"/>
      </w:pPr>
      <w:r>
        <w:t>Eventually remove access.</w:t>
      </w:r>
    </w:p>
    <w:p>
      <w:pPr>
        <w:pStyle w:val="Heading2"/>
      </w:pPr>
      <w:r>
        <w:t>7.4</w:t>
        <w:tab/>
        <w:t>Consumer lifecycle</w:t>
      </w:r>
    </w:p>
    <w:p>
      <w:pPr>
        <w:pStyle w:val="Requirement"/>
        <w:keepNext/>
      </w:pPr>
      <w:r>
        <w:rPr>
          <w:b/>
          <w:color w:val="1F3864"/>
          <w:sz w:val="19"/>
        </w:rPr>
        <w:t>GW-LCY-007</w:t>
      </w:r>
      <w:r>
        <w:tab/>
      </w:r>
      <w:r>
        <w:t xml:space="preserve">The Application Team, as API owner, </w:t>
      </w:r>
      <w:r>
        <w:rPr>
          <w:b/>
        </w:rPr>
        <w:t>shall</w:t>
      </w:r>
      <w:r>
        <w:t xml:space="preserve"> be responsible for the following:</w:t>
      </w:r>
    </w:p>
    <w:p>
      <w:pPr>
        <w:pStyle w:val="ListBullet"/>
        <w:keepNext/>
        <w:spacing w:after="40"/>
        <w:ind w:left="1928" w:hanging="283"/>
      </w:pPr>
      <w:r>
        <w:t>Adding consumers.</w:t>
      </w:r>
    </w:p>
    <w:p>
      <w:pPr>
        <w:pStyle w:val="ListBullet"/>
        <w:keepNext/>
        <w:spacing w:after="40"/>
        <w:ind w:left="1928" w:hanging="283"/>
      </w:pPr>
      <w:r>
        <w:t>Removing consumers.</w:t>
      </w:r>
    </w:p>
    <w:p>
      <w:pPr>
        <w:pStyle w:val="ListBullet"/>
        <w:keepNext/>
        <w:spacing w:after="40"/>
        <w:ind w:left="1928" w:hanging="283"/>
      </w:pPr>
      <w:r>
        <w:t>Changing consumer permissions.</w:t>
      </w:r>
    </w:p>
    <w:p>
      <w:pPr>
        <w:pStyle w:val="ListBullet"/>
        <w:keepNext/>
        <w:spacing w:after="40"/>
        <w:ind w:left="1928" w:hanging="283"/>
      </w:pPr>
      <w:r>
        <w:t>Reviewing unused consumers.</w:t>
      </w:r>
    </w:p>
    <w:p>
      <w:pPr>
        <w:pStyle w:val="ListBullet"/>
        <w:keepNext w:val="0"/>
        <w:spacing w:after="40"/>
        <w:ind w:left="1928" w:hanging="283"/>
      </w:pPr>
      <w:r>
        <w:t>Revoking access when it is no longer required.</w:t>
      </w:r>
    </w:p>
    <w:p>
      <w:pPr>
        <w:pStyle w:val="Heading2"/>
      </w:pPr>
      <w:r>
        <w:t>7.5</w:t>
        <w:tab/>
        <w:t>Developer Portal</w:t>
      </w:r>
    </w:p>
    <w:p>
      <w:pPr>
        <w:pStyle w:val="Requirement"/>
        <w:keepNext w:val="0"/>
      </w:pPr>
      <w:r>
        <w:rPr>
          <w:b/>
          <w:color w:val="1F3864"/>
          <w:sz w:val="19"/>
        </w:rPr>
        <w:t>GW-LCY-008</w:t>
      </w:r>
      <w:r>
        <w:tab/>
      </w:r>
      <w:r>
        <w:t xml:space="preserve">The Platform </w:t>
      </w:r>
      <w:r>
        <w:rPr>
          <w:b/>
        </w:rPr>
        <w:t>shall</w:t>
      </w:r>
      <w:r>
        <w:t xml:space="preserve"> provide a Developer Portal.</w:t>
      </w:r>
    </w:p>
    <w:p>
      <w:pPr>
        <w:pStyle w:val="Requirement"/>
        <w:keepNext/>
      </w:pPr>
      <w:r>
        <w:rPr>
          <w:b/>
          <w:color w:val="1F3864"/>
          <w:sz w:val="19"/>
        </w:rPr>
        <w:t>GW-LCY-009</w:t>
      </w:r>
      <w:r>
        <w:tab/>
      </w:r>
      <w:r>
        <w:t xml:space="preserve">The Developer Portal </w:t>
      </w:r>
      <w:r>
        <w:rPr>
          <w:b/>
        </w:rPr>
        <w:t>should</w:t>
      </w:r>
      <w:r>
        <w:t xml:space="preserve"> provide the following:</w:t>
      </w:r>
    </w:p>
    <w:p>
      <w:pPr>
        <w:pStyle w:val="ListBullet"/>
        <w:keepNext/>
        <w:spacing w:after="40"/>
        <w:ind w:left="1928" w:hanging="283"/>
      </w:pPr>
      <w:r>
        <w:t>API discovery</w:t>
      </w:r>
    </w:p>
    <w:p>
      <w:pPr>
        <w:pStyle w:val="ListBullet"/>
        <w:keepNext/>
        <w:spacing w:after="40"/>
        <w:ind w:left="1928" w:hanging="283"/>
      </w:pPr>
      <w:r>
        <w:t>API documentation</w:t>
      </w:r>
    </w:p>
    <w:p>
      <w:pPr>
        <w:pStyle w:val="ListBullet"/>
        <w:keepNext/>
        <w:spacing w:after="40"/>
        <w:ind w:left="1928" w:hanging="283"/>
      </w:pPr>
      <w:r>
        <w:t>API versions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spacing w:after="40"/>
        <w:ind w:left="1928" w:hanging="283"/>
      </w:pPr>
      <w:r>
        <w:t>Usage information</w:t>
      </w:r>
    </w:p>
    <w:p>
      <w:pPr>
        <w:pStyle w:val="ListBullet"/>
        <w:keepNext w:val="0"/>
        <w:spacing w:after="40"/>
        <w:ind w:left="1928" w:hanging="283"/>
      </w:pPr>
      <w:r>
        <w:t>Access request information</w:t>
      </w:r>
    </w:p>
    <w:p>
      <w:pPr>
        <w:pStyle w:val="Requirement"/>
        <w:keepNext w:val="0"/>
      </w:pPr>
      <w:r>
        <w:rPr>
          <w:b/>
          <w:color w:val="1F3864"/>
          <w:sz w:val="19"/>
        </w:rPr>
        <w:t>GW-LCY-010</w:t>
      </w:r>
      <w:r>
        <w:tab/>
      </w:r>
      <w:r>
        <w:t xml:space="preserve">The Developer Portal </w:t>
      </w:r>
      <w:r>
        <w:rPr>
          <w:b/>
        </w:rPr>
        <w:t>should</w:t>
      </w:r>
      <w:r>
        <w:t xml:space="preserve"> give clear instructions on how to obtain authorization to consume an API.</w:t>
      </w:r>
    </w:p>
    <w:p>
      <w:r>
        <w:t>The mechanism for issuing credentials or granting access depends on the organization's implementation and is not inherently a responsibility of the Gateway.</w:t>
      </w:r>
    </w:p>
    <w:p>
      <w:pPr>
        <w:pStyle w:val="Requirement"/>
        <w:keepNext w:val="0"/>
      </w:pPr>
      <w:r>
        <w:rPr>
          <w:b/>
          <w:color w:val="1F3864"/>
          <w:sz w:val="19"/>
        </w:rPr>
        <w:t>GW-LCY-011</w:t>
      </w:r>
      <w:r>
        <w:tab/>
      </w:r>
      <w:r>
        <w:t xml:space="preserve">The API owner </w:t>
      </w:r>
      <w:r>
        <w:rPr>
          <w:b/>
        </w:rPr>
        <w:t>shall</w:t>
      </w:r>
      <w:r>
        <w:t xml:space="preserve"> be responsible for the accuracy of the API documentation.</w:t>
      </w:r>
    </w:p>
    <w:p>
      <w:pPr>
        <w:pStyle w:val="Heading1"/>
        <w:spacing w:before="520"/>
      </w:pPr>
      <w:r>
        <w:t>8</w:t>
        <w:tab/>
        <w:t>Configuration Management</w:t>
      </w:r>
    </w:p>
    <w:p>
      <w:pPr>
        <w:pStyle w:val="Heading2"/>
      </w:pPr>
      <w:r>
        <w:t>8.1</w:t>
        <w:tab/>
        <w:t>Git as the source of truth</w:t>
      </w:r>
    </w:p>
    <w:p>
      <w:pPr>
        <w:pStyle w:val="Requirement"/>
        <w:keepNext w:val="0"/>
      </w:pPr>
      <w:r>
        <w:rPr>
          <w:b/>
          <w:color w:val="1F3864"/>
          <w:sz w:val="19"/>
        </w:rPr>
        <w:t>GW-CFG-001</w:t>
      </w:r>
      <w:r>
        <w:tab/>
      </w:r>
      <w:r>
        <w:t xml:space="preserve">API configuration </w:t>
      </w:r>
      <w:r>
        <w:rPr>
          <w:b/>
        </w:rPr>
        <w:t>shall</w:t>
      </w:r>
      <w:r>
        <w:t xml:space="preserve"> be synchronized with Git.</w:t>
      </w:r>
    </w:p>
    <w:p>
      <w:pPr>
        <w:pStyle w:val="Requirement"/>
        <w:keepNext/>
      </w:pPr>
      <w:r>
        <w:rPr>
          <w:b/>
          <w:color w:val="1F3864"/>
          <w:sz w:val="19"/>
        </w:rPr>
        <w:t>GW-CFG-002</w:t>
      </w:r>
      <w:r>
        <w:tab/>
      </w:r>
      <w:r>
        <w:t xml:space="preserve">Git </w:t>
      </w:r>
      <w:r>
        <w:rPr>
          <w:b/>
        </w:rPr>
        <w:t>shall</w:t>
      </w:r>
      <w:r>
        <w:t xml:space="preserve"> serve as the source of truth for the following:</w:t>
      </w:r>
    </w:p>
    <w:p>
      <w:pPr>
        <w:pStyle w:val="ListBullet"/>
        <w:keepNext/>
        <w:spacing w:after="40"/>
        <w:ind w:left="1928" w:hanging="283"/>
      </w:pPr>
      <w:r>
        <w:t>API definitions</w:t>
      </w:r>
    </w:p>
    <w:p>
      <w:pPr>
        <w:pStyle w:val="ListBullet"/>
        <w:keepNext/>
        <w:spacing w:after="40"/>
        <w:ind w:left="1928" w:hanging="283"/>
      </w:pPr>
      <w:r>
        <w:t>Routes</w:t>
      </w:r>
    </w:p>
    <w:p>
      <w:pPr>
        <w:pStyle w:val="ListBullet"/>
        <w:keepNext/>
        <w:spacing w:after="40"/>
        <w:ind w:left="1928" w:hanging="283"/>
      </w:pPr>
      <w:r>
        <w:t>Policies</w:t>
      </w:r>
    </w:p>
    <w:p>
      <w:pPr>
        <w:pStyle w:val="ListBullet"/>
        <w:keepNext/>
        <w:spacing w:after="40"/>
        <w:ind w:left="1928" w:hanging="283"/>
      </w:pPr>
      <w:r>
        <w:t>Gateway configuration</w:t>
      </w:r>
    </w:p>
    <w:p>
      <w:pPr>
        <w:pStyle w:val="ListBullet"/>
        <w:keepNext/>
        <w:spacing w:after="40"/>
        <w:ind w:left="1928" w:hanging="283"/>
      </w:pPr>
      <w:r>
        <w:t>Version configuration</w:t>
      </w:r>
    </w:p>
    <w:p>
      <w:pPr>
        <w:pStyle w:val="ListBullet"/>
        <w:keepNext w:val="0"/>
        <w:spacing w:after="40"/>
        <w:ind w:left="1928" w:hanging="283"/>
      </w:pPr>
      <w:r>
        <w:t>Consumer configuration where appropriate</w:t>
      </w:r>
    </w:p>
    <w:p>
      <w:pPr>
        <w:pStyle w:val="Requirement"/>
        <w:keepNext w:val="0"/>
      </w:pPr>
      <w:r>
        <w:rPr>
          <w:b/>
          <w:color w:val="1F3864"/>
          <w:sz w:val="19"/>
        </w:rPr>
        <w:t>GW-CFG-003</w:t>
      </w:r>
      <w:r>
        <w:tab/>
      </w:r>
      <w:r>
        <w:t xml:space="preserve">Direct manual changes to production Gateway configuration </w:t>
      </w:r>
      <w:r>
        <w:rPr>
          <w:b/>
        </w:rPr>
        <w:t>should</w:t>
      </w:r>
      <w:r>
        <w:t xml:space="preserve"> be avoided.</w:t>
      </w:r>
    </w:p>
    <w:p>
      <w:pPr>
        <w:pStyle w:val="Rationale"/>
      </w:pPr>
      <w:r>
        <w:rPr>
          <w:b/>
        </w:rPr>
        <w:t xml:space="preserve">Rationale. </w:t>
      </w:r>
      <w:r>
        <w:t>Using Git as the source of truth provides change history, review, auditability, rollback, reproducibility and consistency between environments.</w:t>
      </w:r>
    </w:p>
    <w:p>
      <w:pPr>
        <w:pStyle w:val="Heading2"/>
      </w:pPr>
      <w:r>
        <w:t>8.2</w:t>
        <w:tab/>
        <w:t>GitOps</w:t>
      </w:r>
    </w:p>
    <w:p>
      <w:r>
        <w:t>The preferred operating model is GitOps.</w:t>
      </w:r>
    </w:p>
    <w:p>
      <w:pPr>
        <w:pStyle w:val="Requirement"/>
        <w:keepNext/>
      </w:pPr>
      <w:r>
        <w:rPr>
          <w:b/>
          <w:color w:val="1F3864"/>
          <w:sz w:val="19"/>
        </w:rPr>
        <w:t>GW-CFG-004</w:t>
      </w:r>
      <w:r>
        <w:tab/>
      </w:r>
      <w:r>
        <w:t xml:space="preserve">Changes to Gateway configuration </w:t>
      </w:r>
      <w:r>
        <w:rPr>
          <w:b/>
        </w:rPr>
        <w:t>should</w:t>
      </w:r>
      <w:r>
        <w:t xml:space="preserve"> follow this sequence:</w:t>
      </w:r>
    </w:p>
    <w:p>
      <w:pPr>
        <w:pStyle w:val="ListBullet"/>
        <w:keepNext/>
        <w:spacing w:after="40"/>
        <w:ind w:left="1928" w:hanging="283"/>
      </w:pPr>
      <w:r>
        <w:t>Defined in Git.</w:t>
      </w:r>
    </w:p>
    <w:p>
      <w:pPr>
        <w:pStyle w:val="ListBullet"/>
        <w:keepNext/>
        <w:spacing w:after="40"/>
        <w:ind w:left="1928" w:hanging="283"/>
      </w:pPr>
      <w:r>
        <w:t>Reviewed.</w:t>
      </w:r>
    </w:p>
    <w:p>
      <w:pPr>
        <w:pStyle w:val="ListBullet"/>
        <w:keepNext/>
        <w:spacing w:after="40"/>
        <w:ind w:left="1928" w:hanging="283"/>
      </w:pPr>
      <w:r>
        <w:t>Validated.</w:t>
      </w:r>
    </w:p>
    <w:p>
      <w:pPr>
        <w:pStyle w:val="ListBullet"/>
        <w:keepNext/>
        <w:spacing w:after="40"/>
        <w:ind w:left="1928" w:hanging="283"/>
      </w:pPr>
      <w:r>
        <w:t>Approved.</w:t>
      </w:r>
    </w:p>
    <w:p>
      <w:pPr>
        <w:pStyle w:val="ListBullet"/>
        <w:keepNext w:val="0"/>
        <w:spacing w:after="40"/>
        <w:ind w:left="1928" w:hanging="283"/>
      </w:pPr>
      <w:r>
        <w:t>Deployed automatically.</w:t>
      </w:r>
    </w:p>
    <w:p>
      <w:pPr>
        <w:keepNext/>
        <w:spacing w:before="120" w:after="40"/>
        <w:jc w:val="center"/>
      </w:pPr>
      <w:r>
        <w:drawing>
          <wp:inline xmlns:a="http://schemas.openxmlformats.org/drawingml/2006/main" xmlns:pic="http://schemas.openxmlformats.org/drawingml/2006/picture">
            <wp:extent cx="5760000" cy="2509714"/>
            <wp:docPr id="4" name="Picture 4" descr="Flow diagram. A change is defined in Git as a pull request, reviewed, automatically validated, approved and automatically deployed to the API Gateway. Secrets management supplies secrets to the Gateway at deployment. Git records what was requested and approved; Gateway audit records what was executed." title="Configuration change flow"/>
            <wp:cNvGraphicFramePr>
              <a:graphicFrameLocks noChangeAspect="1"/>
            </wp:cNvGraphicFramePr>
            <a:graphic>
              <a:graphicData uri="http://schemas.openxmlformats.org/drawingml/2006/picture">
                <pic:pic>
                  <pic:nvPicPr>
                    <pic:cNvPr id="0" name="fig_gitops.png"/>
                    <pic:cNvPicPr/>
                  </pic:nvPicPr>
                  <pic:blipFill>
                    <a:blip r:embed="rId12"/>
                    <a:stretch>
                      <a:fillRect/>
                    </a:stretch>
                  </pic:blipFill>
                  <pic:spPr>
                    <a:xfrm>
                      <a:off x="0" y="0"/>
                      <a:ext cx="5760000" cy="2509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4</w:t>
      </w:r>
      <w:r>
        <w:fldChar w:fldCharType="end"/>
      </w:r>
      <w:r>
        <w:t xml:space="preserve"> — Configuration change flow</w:t>
      </w:r>
    </w:p>
    <w:p>
      <w:pPr>
        <w:pStyle w:val="Requirement"/>
        <w:keepNext w:val="0"/>
      </w:pPr>
      <w:r>
        <w:rPr>
          <w:b/>
          <w:color w:val="1F3864"/>
          <w:sz w:val="19"/>
        </w:rPr>
        <w:t>GW-CFG-005</w:t>
      </w:r>
      <w:r>
        <w:tab/>
      </w:r>
      <w:r>
        <w:t xml:space="preserve">Production </w:t>
      </w:r>
      <w:r>
        <w:rPr>
          <w:b/>
        </w:rPr>
        <w:t>should not</w:t>
      </w:r>
      <w:r>
        <w:t xml:space="preserve"> depend on undocumented manual configuration.</w:t>
      </w:r>
    </w:p>
    <w:p>
      <w:pPr>
        <w:pStyle w:val="Requirement"/>
        <w:keepNext w:val="0"/>
      </w:pPr>
      <w:r>
        <w:rPr>
          <w:b/>
          <w:color w:val="1F3864"/>
          <w:sz w:val="19"/>
        </w:rPr>
        <w:t>GW-CFG-006</w:t>
      </w:r>
      <w:r>
        <w:tab/>
      </w:r>
      <w:r>
        <w:t xml:space="preserve">The deployed state </w:t>
      </w:r>
      <w:r>
        <w:rPr>
          <w:b/>
        </w:rPr>
        <w:t>should</w:t>
      </w:r>
      <w:r>
        <w:t xml:space="preserve"> be reproducible from the repository.</w:t>
      </w:r>
    </w:p>
    <w:p>
      <w:pPr>
        <w:pStyle w:val="Heading2"/>
      </w:pPr>
      <w:r>
        <w:t>8.3</w:t>
        <w:tab/>
        <w:t>Secrets</w:t>
      </w:r>
    </w:p>
    <w:p>
      <w:pPr>
        <w:pStyle w:val="Requirement"/>
        <w:keepNext w:val="0"/>
      </w:pPr>
      <w:r>
        <w:rPr>
          <w:b/>
          <w:color w:val="1F3864"/>
          <w:sz w:val="19"/>
        </w:rPr>
        <w:t>GW-CFG-007</w:t>
      </w:r>
      <w:r>
        <w:tab/>
      </w:r>
      <w:r>
        <w:t xml:space="preserve">Secrets, including passwords, private keys, API secrets, client secrets and long-lived credentials, </w:t>
      </w:r>
      <w:r>
        <w:rPr>
          <w:b/>
        </w:rPr>
        <w:t>shall not</w:t>
      </w:r>
      <w:r>
        <w:t xml:space="preserve"> be stored in Git.</w:t>
      </w:r>
    </w:p>
    <w:p>
      <w:pPr>
        <w:pStyle w:val="Requirement"/>
        <w:keepNext w:val="0"/>
      </w:pPr>
      <w:r>
        <w:rPr>
          <w:b/>
          <w:color w:val="1F3864"/>
          <w:sz w:val="19"/>
        </w:rPr>
        <w:t>GW-CFG-008</w:t>
      </w:r>
      <w:r>
        <w:tab/>
      </w:r>
      <w:r>
        <w:t xml:space="preserve">Secrets </w:t>
      </w:r>
      <w:r>
        <w:rPr>
          <w:b/>
        </w:rPr>
        <w:t>shall</w:t>
      </w:r>
      <w:r>
        <w:t xml:space="preserve"> be stored in a dedicated secrets-management solution.</w:t>
      </w:r>
    </w:p>
    <w:p>
      <w:pPr>
        <w:pStyle w:val="Requirement"/>
        <w:keepNext w:val="0"/>
      </w:pPr>
      <w:r>
        <w:rPr>
          <w:b/>
          <w:color w:val="1F3864"/>
          <w:sz w:val="19"/>
        </w:rPr>
        <w:t>GW-CFG-009</w:t>
      </w:r>
      <w:r>
        <w:tab/>
      </w:r>
      <w:r>
        <w:t xml:space="preserve">The deployment process </w:t>
      </w:r>
      <w:r>
        <w:rPr>
          <w:b/>
        </w:rPr>
        <w:t>should</w:t>
      </w:r>
      <w:r>
        <w:t xml:space="preserve"> combine the configuration held in Git with the secrets held in the secrets-management solution to produce the runtime configuration.</w:t>
      </w:r>
    </w:p>
    <w:p>
      <w:pPr>
        <w:pStyle w:val="Heading1"/>
        <w:spacing w:before="520"/>
      </w:pPr>
      <w:r>
        <w:t>9</w:t>
        <w:tab/>
        <w:t>Observability and Audit</w:t>
      </w:r>
    </w:p>
    <w:p>
      <w:pPr>
        <w:pStyle w:val="Heading2"/>
      </w:pPr>
      <w:r>
        <w:t>9.1</w:t>
        <w:tab/>
        <w:t>Runtime logging</w:t>
      </w:r>
    </w:p>
    <w:p>
      <w:pPr>
        <w:pStyle w:val="Requirement"/>
        <w:keepNext w:val="0"/>
      </w:pPr>
      <w:r>
        <w:rPr>
          <w:b/>
          <w:color w:val="1F3864"/>
          <w:sz w:val="19"/>
        </w:rPr>
        <w:t>GW-OBS-001</w:t>
      </w:r>
      <w:r>
        <w:tab/>
      </w:r>
      <w:r>
        <w:t xml:space="preserve">The Gateway </w:t>
      </w:r>
      <w:r>
        <w:rPr>
          <w:b/>
        </w:rPr>
        <w:t>shall</w:t>
      </w:r>
      <w:r>
        <w:t xml:space="preserve"> provide centralized observability.</w:t>
      </w:r>
    </w:p>
    <w:p>
      <w:pPr>
        <w:pStyle w:val="Requirement"/>
        <w:keepNext/>
      </w:pPr>
      <w:r>
        <w:rPr>
          <w:b/>
          <w:color w:val="1F3864"/>
          <w:sz w:val="19"/>
        </w:rPr>
        <w:t>GW-OBS-002</w:t>
      </w:r>
      <w:r>
        <w:tab/>
      </w:r>
      <w:r>
        <w:t xml:space="preserve">At a minimum, runtime logging </w:t>
      </w:r>
      <w:r>
        <w:rPr>
          <w:b/>
        </w:rPr>
        <w:t>shall</w:t>
      </w:r>
      <w:r>
        <w:t xml:space="preserve"> record the following:</w:t>
      </w:r>
    </w:p>
    <w:p>
      <w:pPr>
        <w:pStyle w:val="ListBullet"/>
        <w:keepNext/>
        <w:spacing w:after="40"/>
        <w:ind w:left="1928" w:hanging="283"/>
      </w:pPr>
      <w:r>
        <w:t>Consumer identity</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Timestamp</w:t>
      </w:r>
    </w:p>
    <w:p>
      <w:pPr>
        <w:pStyle w:val="ListBullet"/>
        <w:keepNext/>
        <w:spacing w:after="40"/>
        <w:ind w:left="1928" w:hanging="283"/>
      </w:pPr>
      <w:r>
        <w:t>HTTP status</w:t>
      </w:r>
    </w:p>
    <w:p>
      <w:pPr>
        <w:pStyle w:val="ListBullet"/>
        <w:keepNext/>
        <w:spacing w:after="40"/>
        <w:ind w:left="1928" w:hanging="283"/>
      </w:pPr>
      <w:r>
        <w:t>Request result</w:t>
      </w:r>
    </w:p>
    <w:p>
      <w:pPr>
        <w:pStyle w:val="ListBullet"/>
        <w:keepNext/>
        <w:spacing w:after="40"/>
        <w:ind w:left="1928" w:hanging="283"/>
      </w:pPr>
      <w:r>
        <w:t>Latency</w:t>
      </w:r>
    </w:p>
    <w:p>
      <w:pPr>
        <w:pStyle w:val="ListBullet"/>
        <w:keepNext/>
        <w:spacing w:after="40"/>
        <w:ind w:left="1928" w:hanging="283"/>
      </w:pPr>
      <w:r>
        <w:t>Rejection reason</w:t>
      </w:r>
    </w:p>
    <w:p>
      <w:pPr>
        <w:pStyle w:val="ListBullet"/>
        <w:keepNext w:val="0"/>
        <w:spacing w:after="40"/>
        <w:ind w:left="1928" w:hanging="283"/>
      </w:pPr>
      <w:r>
        <w:t>Rate-limit information where relevant</w:t>
      </w:r>
    </w:p>
    <w:p>
      <w:pPr>
        <w:pStyle w:val="Requirement"/>
        <w:keepNext w:val="0"/>
      </w:pPr>
      <w:r>
        <w:rPr>
          <w:b/>
          <w:color w:val="1F3864"/>
          <w:sz w:val="19"/>
        </w:rPr>
        <w:t>GW-OBS-003</w:t>
      </w:r>
      <w:r>
        <w:tab/>
      </w:r>
      <w:r>
        <w:t xml:space="preserve">The Gateway </w:t>
      </w:r>
      <w:r>
        <w:rPr>
          <w:b/>
        </w:rPr>
        <w:t>should not</w:t>
      </w:r>
      <w:r>
        <w:t xml:space="preserve"> log sensitive business payloads by default.</w:t>
      </w:r>
    </w:p>
    <w:p>
      <w:pPr>
        <w:pStyle w:val="Requirement"/>
        <w:keepNext w:val="0"/>
      </w:pPr>
      <w:r>
        <w:rPr>
          <w:b/>
          <w:color w:val="1F3864"/>
          <w:sz w:val="19"/>
        </w:rPr>
        <w:t>GW-OBS-004</w:t>
      </w:r>
      <w:r>
        <w:tab/>
      </w:r>
      <w:r>
        <w:t xml:space="preserve">Which information is sensitive </w:t>
      </w:r>
      <w:r>
        <w:rPr>
          <w:b/>
        </w:rPr>
        <w:t>should</w:t>
      </w:r>
      <w:r>
        <w:t xml:space="preserve"> be defined per API by the Application Team.</w:t>
      </w:r>
    </w:p>
    <w:p>
      <w:pPr>
        <w:pStyle w:val="Requirement"/>
        <w:keepNext w:val="0"/>
      </w:pPr>
      <w:r>
        <w:rPr>
          <w:b/>
          <w:color w:val="1F3864"/>
          <w:sz w:val="19"/>
        </w:rPr>
        <w:t>GW-OBS-005</w:t>
      </w:r>
      <w:r>
        <w:tab/>
      </w:r>
      <w:r>
        <w:t xml:space="preserve">Observability </w:t>
      </w:r>
      <w:r>
        <w:rPr>
          <w:b/>
        </w:rPr>
        <w:t>should</w:t>
      </w:r>
      <w:r>
        <w:t xml:space="preserve"> integrate with the organization's existing logging and monitoring systems.</w:t>
      </w:r>
    </w:p>
    <w:p>
      <w:pPr>
        <w:pStyle w:val="Heading2"/>
      </w:pPr>
      <w:r>
        <w:t>9.2</w:t>
        <w:tab/>
        <w:t>Metrics</w:t>
      </w:r>
    </w:p>
    <w:p>
      <w:pPr>
        <w:pStyle w:val="Requirement"/>
        <w:keepNext/>
      </w:pPr>
      <w:r>
        <w:rPr>
          <w:b/>
          <w:color w:val="1F3864"/>
          <w:sz w:val="19"/>
        </w:rPr>
        <w:t>GW-OBS-006</w:t>
      </w:r>
      <w:r>
        <w:tab/>
      </w:r>
      <w:r>
        <w:t xml:space="preserve">The Gateway </w:t>
      </w:r>
      <w:r>
        <w:rPr>
          <w:b/>
        </w:rPr>
        <w:t>shall</w:t>
      </w:r>
      <w:r>
        <w:t xml:space="preserve"> expose metrics for the following:</w:t>
      </w:r>
    </w:p>
    <w:p>
      <w:pPr>
        <w:pStyle w:val="ListBullet"/>
        <w:keepNext/>
        <w:spacing w:after="40"/>
        <w:ind w:left="1928" w:hanging="283"/>
      </w:pPr>
      <w:r>
        <w:t>Request volume</w:t>
      </w:r>
    </w:p>
    <w:p>
      <w:pPr>
        <w:pStyle w:val="ListBullet"/>
        <w:keepNext/>
        <w:spacing w:after="40"/>
        <w:ind w:left="1928" w:hanging="283"/>
      </w:pPr>
      <w:r>
        <w:t>Error rate</w:t>
      </w:r>
    </w:p>
    <w:p>
      <w:pPr>
        <w:pStyle w:val="ListBullet"/>
        <w:keepNext/>
        <w:spacing w:after="40"/>
        <w:ind w:left="1928" w:hanging="283"/>
      </w:pPr>
      <w:r>
        <w:t>Latency</w:t>
      </w:r>
    </w:p>
    <w:p>
      <w:pPr>
        <w:pStyle w:val="ListBullet"/>
        <w:keepNext/>
        <w:spacing w:after="40"/>
        <w:ind w:left="1928" w:hanging="283"/>
      </w:pPr>
      <w:r>
        <w:t>Backend latency</w:t>
      </w:r>
    </w:p>
    <w:p>
      <w:pPr>
        <w:pStyle w:val="ListBullet"/>
        <w:keepNext/>
        <w:spacing w:after="40"/>
        <w:ind w:left="1928" w:hanging="283"/>
      </w:pPr>
      <w:r>
        <w:t>Availability</w:t>
      </w:r>
    </w:p>
    <w:p>
      <w:pPr>
        <w:pStyle w:val="ListBullet"/>
        <w:keepNext/>
        <w:spacing w:after="40"/>
        <w:ind w:left="1928" w:hanging="283"/>
      </w:pPr>
      <w:r>
        <w:t>Rate limiting</w:t>
      </w:r>
    </w:p>
    <w:p>
      <w:pPr>
        <w:pStyle w:val="ListBullet"/>
        <w:keepNext/>
        <w:spacing w:after="40"/>
        <w:ind w:left="1928" w:hanging="283"/>
      </w:pPr>
      <w:r>
        <w:t>Authentication failures</w:t>
      </w:r>
    </w:p>
    <w:p>
      <w:pPr>
        <w:pStyle w:val="ListBullet"/>
        <w:keepNext/>
        <w:spacing w:after="40"/>
        <w:ind w:left="1928" w:hanging="283"/>
      </w:pPr>
      <w:r>
        <w:t>Authorization failures</w:t>
      </w:r>
    </w:p>
    <w:p>
      <w:pPr>
        <w:pStyle w:val="ListBullet"/>
        <w:keepNext/>
        <w:spacing w:after="40"/>
        <w:ind w:left="1928" w:hanging="283"/>
      </w:pPr>
      <w:r>
        <w:t>Backend failures</w:t>
      </w:r>
    </w:p>
    <w:p>
      <w:pPr>
        <w:pStyle w:val="ListBullet"/>
        <w:keepNext w:val="0"/>
        <w:spacing w:after="40"/>
        <w:ind w:left="1928" w:hanging="283"/>
      </w:pPr>
      <w:r>
        <w:t>Gateway health</w:t>
      </w:r>
    </w:p>
    <w:p>
      <w:pPr>
        <w:pStyle w:val="Requirement"/>
        <w:keepNext/>
      </w:pPr>
      <w:r>
        <w:rPr>
          <w:b/>
          <w:color w:val="1F3864"/>
          <w:sz w:val="19"/>
        </w:rPr>
        <w:t>GW-OBS-007</w:t>
      </w:r>
      <w:r>
        <w:tab/>
      </w:r>
      <w:r>
        <w:t xml:space="preserve">Metrics </w:t>
      </w:r>
      <w:r>
        <w:rPr>
          <w:b/>
        </w:rPr>
        <w:t>should</w:t>
      </w:r>
      <w:r>
        <w:t xml:space="preserve"> be available by the following dimensions:</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Consumer</w:t>
      </w:r>
    </w:p>
    <w:p>
      <w:pPr>
        <w:pStyle w:val="ListBullet"/>
        <w:keepNext/>
        <w:spacing w:after="40"/>
        <w:ind w:left="1928" w:hanging="283"/>
      </w:pPr>
      <w:r>
        <w:t>Backend</w:t>
      </w:r>
    </w:p>
    <w:p>
      <w:pPr>
        <w:pStyle w:val="ListBullet"/>
        <w:keepNext w:val="0"/>
        <w:spacing w:after="40"/>
        <w:ind w:left="1928" w:hanging="283"/>
      </w:pPr>
      <w:r>
        <w:t>Environment</w:t>
      </w:r>
    </w:p>
    <w:p>
      <w:pPr>
        <w:pStyle w:val="Heading2"/>
      </w:pPr>
      <w:r>
        <w:t>9.3</w:t>
        <w:tab/>
        <w:t>Audit</w:t>
      </w:r>
    </w:p>
    <w:p>
      <w:pPr>
        <w:pStyle w:val="Requirement"/>
        <w:keepNext w:val="0"/>
      </w:pPr>
      <w:r>
        <w:rPr>
          <w:b/>
          <w:color w:val="1F3864"/>
          <w:sz w:val="19"/>
        </w:rPr>
        <w:t>GW-OBS-008</w:t>
      </w:r>
      <w:r>
        <w:tab/>
      </w:r>
      <w:r>
        <w:t xml:space="preserve">Audit logging </w:t>
      </w:r>
      <w:r>
        <w:rPr>
          <w:b/>
        </w:rPr>
        <w:t>shall</w:t>
      </w:r>
      <w:r>
        <w:t xml:space="preserve"> be performed for all administrative and configuration activities.</w:t>
      </w:r>
    </w:p>
    <w:p>
      <w:pPr>
        <w:pStyle w:val="Requirement"/>
        <w:keepNext/>
      </w:pPr>
      <w:r>
        <w:rPr>
          <w:b/>
          <w:color w:val="1F3864"/>
          <w:sz w:val="19"/>
        </w:rPr>
        <w:t>GW-OBS-009</w:t>
      </w:r>
      <w:r>
        <w:tab/>
      </w:r>
      <w:r>
        <w:t xml:space="preserve">Audit logs </w:t>
      </w:r>
      <w:r>
        <w:rPr>
          <w:b/>
        </w:rPr>
        <w:t>shall</w:t>
      </w:r>
      <w:r>
        <w:t xml:space="preserve"> record at least the following:</w:t>
      </w:r>
    </w:p>
    <w:p>
      <w:pPr>
        <w:pStyle w:val="ListBullet"/>
        <w:keepNext/>
        <w:spacing w:after="40"/>
        <w:ind w:left="1928" w:hanging="283"/>
      </w:pPr>
      <w:r>
        <w:t>Who performed the action.</w:t>
      </w:r>
    </w:p>
    <w:p>
      <w:pPr>
        <w:pStyle w:val="ListBullet"/>
        <w:keepNext/>
        <w:spacing w:after="40"/>
        <w:ind w:left="1928" w:hanging="283"/>
      </w:pPr>
      <w:r>
        <w:t>What was changed.</w:t>
      </w:r>
    </w:p>
    <w:p>
      <w:pPr>
        <w:pStyle w:val="ListBullet"/>
        <w:keepNext/>
        <w:spacing w:after="40"/>
        <w:ind w:left="1928" w:hanging="283"/>
      </w:pPr>
      <w:r>
        <w:t>When it was changed.</w:t>
      </w:r>
    </w:p>
    <w:p>
      <w:pPr>
        <w:pStyle w:val="ListBullet"/>
        <w:keepNext w:val="0"/>
        <w:spacing w:after="40"/>
        <w:ind w:left="1928" w:hanging="283"/>
      </w:pPr>
      <w:r>
        <w:t>Which API or configuration was affected.</w:t>
      </w:r>
    </w:p>
    <w:p>
      <w:pPr>
        <w:pStyle w:val="Requirement"/>
        <w:keepNext w:val="0"/>
      </w:pPr>
      <w:r>
        <w:rPr>
          <w:b/>
          <w:color w:val="1F3864"/>
          <w:sz w:val="19"/>
        </w:rPr>
        <w:t>GW-OBS-010</w:t>
      </w:r>
      <w:r>
        <w:tab/>
      </w:r>
      <w:r>
        <w:t xml:space="preserve">Audit logs </w:t>
      </w:r>
      <w:r>
        <w:rPr>
          <w:b/>
        </w:rPr>
        <w:t>shall</w:t>
      </w:r>
      <w:r>
        <w:t xml:space="preserve"> be sent to a centralized system outside the direct control of the person performing the operation.</w:t>
      </w:r>
    </w:p>
    <w:p>
      <w:r>
        <w:t>Two complementary sources of evidence exist for each change, as set out in Table 13.</w:t>
      </w:r>
    </w:p>
    <w:p>
      <w:pPr>
        <w:pStyle w:val="Caption"/>
        <w:keepNext/>
      </w:pPr>
      <w:r>
        <w:t xml:space="preserve">Table </w:t>
      </w:r>
      <w:r>
        <w:fldChar w:fldCharType="begin"/>
      </w:r>
      <w:r>
        <w:instrText xml:space="preserve"> SEQ Table \* ARABIC </w:instrText>
      </w:r>
      <w:r>
        <w:fldChar w:fldCharType="separate"/>
      </w:r>
      <w:r>
        <w:t>13</w:t>
      </w:r>
      <w:r>
        <w:fldChar w:fldCharType="end"/>
      </w:r>
      <w:r>
        <w:t xml:space="preserve"> — Sources of audit evidence</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Source</w:t>
            </w:r>
          </w:p>
        </w:tc>
        <w:tc>
          <w:tcPr>
            <w:tcW w:type="dxa" w:w="6803"/>
            <w:shd w:val="clear" w:color="auto" w:fill="1F3864"/>
          </w:tcPr>
          <w:p>
            <w:pPr>
              <w:pStyle w:val="TableText"/>
            </w:pPr>
            <w:r>
              <w:rPr>
                <w:b/>
                <w:color w:val="FFFFFF"/>
              </w:rPr>
              <w:t>Evidence provided</w:t>
            </w:r>
          </w:p>
        </w:tc>
      </w:tr>
      <w:tr>
        <w:trPr>
          <w:cantSplit/>
        </w:trPr>
        <w:tc>
          <w:tcPr>
            <w:tcW w:type="dxa" w:w="2268"/>
            <w:shd w:val="clear" w:color="auto" w:fill="F2F5FA"/>
          </w:tcPr>
          <w:p>
            <w:pPr>
              <w:pStyle w:val="TableText"/>
            </w:pPr>
            <w:r>
              <w:rPr>
                <w:b/>
              </w:rPr>
              <w:t>Git</w:t>
            </w:r>
          </w:p>
        </w:tc>
        <w:tc>
          <w:tcPr>
            <w:tcW w:type="dxa" w:w="6803"/>
          </w:tcPr>
          <w:p>
            <w:pPr>
              <w:pStyle w:val="TableText"/>
            </w:pPr>
            <w:r>
              <w:t>What change was requested and approved.</w:t>
            </w:r>
          </w:p>
        </w:tc>
      </w:tr>
      <w:tr>
        <w:trPr>
          <w:cantSplit/>
        </w:trPr>
        <w:tc>
          <w:tcPr>
            <w:tcW w:type="dxa" w:w="2268"/>
            <w:shd w:val="clear" w:color="auto" w:fill="F2F5FA"/>
          </w:tcPr>
          <w:p>
            <w:pPr>
              <w:pStyle w:val="TableText"/>
            </w:pPr>
            <w:r>
              <w:rPr>
                <w:b/>
              </w:rPr>
              <w:t>Gateway audit</w:t>
            </w:r>
          </w:p>
        </w:tc>
        <w:tc>
          <w:tcPr>
            <w:tcW w:type="dxa" w:w="6803"/>
          </w:tcPr>
          <w:p>
            <w:pPr>
              <w:pStyle w:val="TableText"/>
            </w:pPr>
            <w:r>
              <w:t>What was actually changed or executed.</w:t>
            </w:r>
          </w:p>
        </w:tc>
      </w:tr>
    </w:tbl>
    <w:p>
      <w:pPr>
        <w:spacing w:after="40"/>
      </w:pPr>
    </w:p>
    <w:p>
      <w:pPr>
        <w:pStyle w:val="Note"/>
      </w:pPr>
      <w:r>
        <w:rPr>
          <w:b/>
        </w:rPr>
        <w:t xml:space="preserve">Note. </w:t>
      </w:r>
      <w:r>
        <w:t>No retention period is defined for runtime logs or audit logs.</w:t>
      </w:r>
    </w:p>
    <w:p>
      <w:pPr>
        <w:pStyle w:val="Heading1"/>
        <w:spacing w:before="520"/>
      </w:pPr>
      <w:r>
        <w:t>10</w:t>
        <w:tab/>
        <w:t>Availability and Deployment Architecture</w:t>
      </w:r>
    </w:p>
    <w:p>
      <w:pPr>
        <w:pStyle w:val="Heading2"/>
      </w:pPr>
      <w:r>
        <w:t>10.1</w:t>
        <w:tab/>
        <w:t>Availability</w:t>
      </w:r>
    </w:p>
    <w:p>
      <w:pPr>
        <w:pStyle w:val="Requirement"/>
        <w:keepNext w:val="0"/>
      </w:pPr>
      <w:r>
        <w:rPr>
          <w:b/>
          <w:color w:val="1F3864"/>
          <w:sz w:val="19"/>
        </w:rPr>
        <w:t>GW-AVL-001</w:t>
      </w:r>
      <w:r>
        <w:tab/>
      </w:r>
      <w:r>
        <w:t xml:space="preserve">The Platform </w:t>
      </w:r>
      <w:r>
        <w:rPr>
          <w:b/>
        </w:rPr>
        <w:t>shall</w:t>
      </w:r>
      <w:r>
        <w:t xml:space="preserve"> provide at least 99.9% monthly availability during regular operation.</w:t>
      </w:r>
    </w:p>
    <w:p>
      <w:r>
        <w:t>Availability is measured during regular operation; planned maintenance is excluded from the calculation. This commitment applies to the Gateway platform and does not imply availability of backend applications.</w:t>
      </w:r>
    </w:p>
    <w:p>
      <w:pPr>
        <w:pStyle w:val="Note"/>
      </w:pPr>
      <w:r>
        <w:rPr>
          <w:b/>
        </w:rPr>
        <w:t xml:space="preserve">Note. </w:t>
      </w:r>
      <w:r>
        <w:t>For information: 99.9% availability in a 30-day month allows approximately 43 minutes of unavailability during regular operation.</w:t>
      </w:r>
    </w:p>
    <w:p>
      <w:pPr>
        <w:pStyle w:val="Requirement"/>
        <w:keepNext w:val="0"/>
      </w:pPr>
      <w:r>
        <w:rPr>
          <w:b/>
          <w:color w:val="1F3864"/>
          <w:sz w:val="19"/>
        </w:rPr>
        <w:t>GW-AVL-002</w:t>
      </w:r>
      <w:r>
        <w:tab/>
      </w:r>
      <w:r>
        <w:t xml:space="preserve">The Platform </w:t>
      </w:r>
      <w:r>
        <w:rPr>
          <w:b/>
        </w:rPr>
        <w:t>shall not</w:t>
      </w:r>
      <w:r>
        <w:t xml:space="preserve"> contain a single point of failure.</w:t>
      </w:r>
    </w:p>
    <w:p>
      <w:pPr>
        <w:pStyle w:val="Requirement"/>
        <w:keepNext/>
      </w:pPr>
      <w:r>
        <w:rPr>
          <w:b/>
          <w:color w:val="1F3864"/>
          <w:sz w:val="19"/>
        </w:rPr>
        <w:t>GW-AVL-003</w:t>
      </w:r>
      <w:r>
        <w:tab/>
      </w:r>
      <w:r>
        <w:t xml:space="preserve">The Platform </w:t>
      </w:r>
      <w:r>
        <w:rPr>
          <w:b/>
        </w:rPr>
        <w:t>shall</w:t>
      </w:r>
      <w:r>
        <w:t xml:space="preserve"> provide the following:</w:t>
      </w:r>
    </w:p>
    <w:p>
      <w:pPr>
        <w:pStyle w:val="ListBullet"/>
        <w:keepNext/>
        <w:spacing w:after="40"/>
        <w:ind w:left="1928" w:hanging="283"/>
      </w:pPr>
      <w:r>
        <w:t>Multiple Gateway instances</w:t>
      </w:r>
    </w:p>
    <w:p>
      <w:pPr>
        <w:pStyle w:val="ListBullet"/>
        <w:keepNext/>
        <w:spacing w:after="40"/>
        <w:ind w:left="1928" w:hanging="283"/>
      </w:pPr>
      <w:r>
        <w:t>Failure tolerance</w:t>
      </w:r>
    </w:p>
    <w:p>
      <w:pPr>
        <w:pStyle w:val="ListBullet"/>
        <w:keepNext/>
        <w:spacing w:after="40"/>
        <w:ind w:left="1928" w:hanging="283"/>
      </w:pPr>
      <w:r>
        <w:t>Controlled upgrades</w:t>
      </w:r>
    </w:p>
    <w:p>
      <w:pPr>
        <w:pStyle w:val="ListBullet"/>
        <w:keepNext/>
        <w:spacing w:after="40"/>
        <w:ind w:left="1928" w:hanging="283"/>
      </w:pPr>
      <w:r>
        <w:t>Controlled resets</w:t>
      </w:r>
    </w:p>
    <w:p>
      <w:pPr>
        <w:pStyle w:val="ListBullet"/>
        <w:keepNext/>
        <w:spacing w:after="40"/>
        <w:ind w:left="1928" w:hanging="283"/>
      </w:pPr>
      <w:r>
        <w:t>Rollback capability</w:t>
      </w:r>
    </w:p>
    <w:p>
      <w:pPr>
        <w:pStyle w:val="ListBullet"/>
        <w:keepNext w:val="0"/>
        <w:spacing w:after="40"/>
        <w:ind w:left="1928" w:hanging="283"/>
      </w:pPr>
      <w:r>
        <w:t>Health-based traffic management</w:t>
      </w:r>
    </w:p>
    <w:p>
      <w:pPr>
        <w:pStyle w:val="Heading2"/>
      </w:pPr>
      <w:r>
        <w:t>10.2</w:t>
        <w:tab/>
        <w:t>Controlled reset</w:t>
      </w:r>
    </w:p>
    <w:p>
      <w:pPr>
        <w:pStyle w:val="Requirement"/>
        <w:keepNext w:val="0"/>
      </w:pPr>
      <w:r>
        <w:rPr>
          <w:b/>
          <w:color w:val="1F3864"/>
          <w:sz w:val="19"/>
        </w:rPr>
        <w:t>GW-AVL-004</w:t>
      </w:r>
      <w:r>
        <w:tab/>
      </w:r>
      <w:r>
        <w:t xml:space="preserve">Gateway resets and restarts </w:t>
      </w:r>
      <w:r>
        <w:rPr>
          <w:b/>
        </w:rPr>
        <w:t>should</w:t>
      </w:r>
      <w:r>
        <w:t xml:space="preserve"> be performed in a controlled manner.</w:t>
      </w:r>
    </w:p>
    <w:p>
      <w:pPr>
        <w:pStyle w:val="Requirement"/>
        <w:keepNext w:val="0"/>
      </w:pPr>
      <w:r>
        <w:rPr>
          <w:b/>
          <w:color w:val="1F3864"/>
          <w:sz w:val="19"/>
        </w:rPr>
        <w:t>GW-AVL-005</w:t>
      </w:r>
      <w:r>
        <w:tab/>
      </w:r>
      <w:r>
        <w:t xml:space="preserve">Maintenance </w:t>
      </w:r>
      <w:r>
        <w:rPr>
          <w:b/>
        </w:rPr>
        <w:t>should</w:t>
      </w:r>
      <w:r>
        <w:t xml:space="preserve"> be performed on a rolling basis.</w:t>
      </w:r>
    </w:p>
    <w:p>
      <w:pPr>
        <w:pStyle w:val="Requirement"/>
        <w:keepNext w:val="0"/>
      </w:pPr>
      <w:r>
        <w:rPr>
          <w:b/>
          <w:color w:val="1F3864"/>
          <w:sz w:val="19"/>
        </w:rPr>
        <w:t>GW-AVL-006</w:t>
      </w:r>
      <w:r>
        <w:tab/>
      </w:r>
      <w:r>
        <w:t xml:space="preserve">A planned Gateway reset </w:t>
      </w:r>
      <w:r>
        <w:rPr>
          <w:b/>
        </w:rPr>
        <w:t>shall not</w:t>
      </w:r>
      <w:r>
        <w:t xml:space="preserve"> intentionally prevent new requests from being served when redundant capacity is available.</w:t>
      </w:r>
    </w:p>
    <w:p>
      <w:pPr>
        <w:pStyle w:val="Note"/>
      </w:pPr>
      <w:r>
        <w:rPr>
          <w:b/>
        </w:rPr>
        <w:t xml:space="preserve">Note. </w:t>
      </w:r>
      <w:r>
        <w:t>Existing sessions may be affected during a reset where this is technically unavoidable.</w:t>
      </w:r>
    </w:p>
    <w:p>
      <w:pPr>
        <w:pStyle w:val="Heading2"/>
      </w:pPr>
      <w:r>
        <w:t>10.3</w:t>
        <w:tab/>
        <w:t>Distributed deployment</w:t>
      </w:r>
    </w:p>
    <w:p>
      <w:pPr>
        <w:pStyle w:val="Requirement"/>
        <w:keepNext w:val="0"/>
      </w:pPr>
      <w:r>
        <w:rPr>
          <w:b/>
          <w:color w:val="1F3864"/>
          <w:sz w:val="19"/>
        </w:rPr>
        <w:t>GW-AVL-007</w:t>
      </w:r>
      <w:r>
        <w:tab/>
      </w:r>
      <w:r>
        <w:t xml:space="preserve">The Gateway </w:t>
      </w:r>
      <w:r>
        <w:rPr>
          <w:b/>
        </w:rPr>
        <w:t>should</w:t>
      </w:r>
      <w:r>
        <w:t xml:space="preserve"> be deployed close to the applications it serves.</w:t>
      </w:r>
    </w:p>
    <w:p>
      <w:pPr>
        <w:pStyle w:val="Requirement"/>
        <w:keepNext w:val="0"/>
      </w:pPr>
      <w:r>
        <w:rPr>
          <w:b/>
          <w:color w:val="1F3864"/>
          <w:sz w:val="19"/>
        </w:rPr>
        <w:t>GW-AVL-008</w:t>
      </w:r>
      <w:r>
        <w:tab/>
      </w:r>
      <w:r>
        <w:t xml:space="preserve">Where an application exists in multiple sites, the Gateway </w:t>
      </w:r>
      <w:r>
        <w:rPr>
          <w:b/>
        </w:rPr>
        <w:t>shall</w:t>
      </w:r>
      <w:r>
        <w:t xml:space="preserve"> be available in each relevant site.</w:t>
      </w:r>
    </w:p>
    <w:p>
      <w:pPr>
        <w:pStyle w:val="Requirement"/>
        <w:keepNext w:val="0"/>
      </w:pPr>
      <w:r>
        <w:rPr>
          <w:b/>
          <w:color w:val="1F3864"/>
          <w:sz w:val="19"/>
        </w:rPr>
        <w:t>GW-AVL-009</w:t>
      </w:r>
      <w:r>
        <w:tab/>
      </w:r>
      <w:r>
        <w:t xml:space="preserve">A failure or network partition affecting another site </w:t>
      </w:r>
      <w:r>
        <w:rPr>
          <w:b/>
        </w:rPr>
        <w:t>shall not</w:t>
      </w:r>
      <w:r>
        <w:t xml:space="preserve"> prevent local APIs from operating.</w:t>
      </w:r>
    </w:p>
    <w:p>
      <w:pPr>
        <w:pStyle w:val="Rationale"/>
      </w:pPr>
      <w:r>
        <w:rPr>
          <w:b/>
        </w:rPr>
        <w:t xml:space="preserve">Rationale. </w:t>
      </w:r>
      <w:r>
        <w:t>This reduces dependency on a remote site for local application traffic.</w:t>
      </w:r>
    </w:p>
    <w:p>
      <w:pPr>
        <w:pStyle w:val="Heading2"/>
      </w:pPr>
      <w:r>
        <w:t>10.4</w:t>
        <w:tab/>
        <w:t>Centralized management and distributed runtime</w:t>
      </w:r>
    </w:p>
    <w:p>
      <w:pPr>
        <w:pStyle w:val="Requirement"/>
        <w:keepNext w:val="0"/>
      </w:pPr>
      <w:r>
        <w:rPr>
          <w:b/>
          <w:color w:val="1F3864"/>
          <w:sz w:val="19"/>
        </w:rPr>
        <w:t>GW-AVL-010</w:t>
      </w:r>
      <w:r>
        <w:tab/>
      </w:r>
      <w:r>
        <w:t xml:space="preserve">The Platform </w:t>
      </w:r>
      <w:r>
        <w:rPr>
          <w:b/>
        </w:rPr>
        <w:t>should</w:t>
      </w:r>
      <w:r>
        <w:t xml:space="preserve"> combine a centralized Management Plane with a distributed Data Plane.</w:t>
      </w:r>
    </w:p>
    <w:p>
      <w:pPr>
        <w:pStyle w:val="Requirement"/>
        <w:keepNext w:val="0"/>
      </w:pPr>
      <w:r>
        <w:rPr>
          <w:b/>
          <w:color w:val="1F3864"/>
          <w:sz w:val="19"/>
        </w:rPr>
        <w:t>GW-AVL-011</w:t>
      </w:r>
      <w:r>
        <w:tab/>
      </w:r>
      <w:r>
        <w:t xml:space="preserve">The Management Plane </w:t>
      </w:r>
      <w:r>
        <w:rPr>
          <w:b/>
        </w:rPr>
        <w:t>may</w:t>
      </w:r>
      <w:r>
        <w:t xml:space="preserve"> be centralized.</w:t>
      </w:r>
    </w:p>
    <w:p>
      <w:pPr>
        <w:pStyle w:val="Requirement"/>
        <w:keepNext w:val="0"/>
      </w:pPr>
      <w:r>
        <w:rPr>
          <w:b/>
          <w:color w:val="1F3864"/>
          <w:sz w:val="19"/>
        </w:rPr>
        <w:t>GW-AVL-012</w:t>
      </w:r>
      <w:r>
        <w:tab/>
      </w:r>
      <w:r>
        <w:t xml:space="preserve">The Data Plane </w:t>
      </w:r>
      <w:r>
        <w:rPr>
          <w:b/>
        </w:rPr>
        <w:t>shall</w:t>
      </w:r>
      <w:r>
        <w:t xml:space="preserve"> be distributed.</w:t>
      </w:r>
    </w:p>
    <w:p>
      <w:pPr>
        <w:pStyle w:val="Requirement"/>
        <w:keepNext w:val="0"/>
      </w:pPr>
      <w:r>
        <w:rPr>
          <w:b/>
          <w:color w:val="1F3864"/>
          <w:sz w:val="19"/>
        </w:rPr>
        <w:t>GW-AVL-013</w:t>
      </w:r>
      <w:r>
        <w:tab/>
      </w:r>
      <w:r>
        <w:t xml:space="preserve">The loss of the Management Plane </w:t>
      </w:r>
      <w:r>
        <w:rPr>
          <w:b/>
        </w:rPr>
        <w:t>shall not</w:t>
      </w:r>
      <w:r>
        <w:t xml:space="preserve"> immediately stop already-configured API traffic.</w:t>
      </w:r>
    </w:p>
    <w:p>
      <w:pPr>
        <w:pStyle w:val="Requirement"/>
        <w:keepNext w:val="0"/>
      </w:pPr>
      <w:r>
        <w:rPr>
          <w:b/>
          <w:color w:val="1F3864"/>
          <w:sz w:val="19"/>
        </w:rPr>
        <w:t>GW-AVL-014</w:t>
      </w:r>
      <w:r>
        <w:tab/>
      </w:r>
      <w:r>
        <w:t xml:space="preserve">The Data Plane </w:t>
      </w:r>
      <w:r>
        <w:rPr>
          <w:b/>
        </w:rPr>
        <w:t>shall</w:t>
      </w:r>
      <w:r>
        <w:t xml:space="preserve"> continue to operate indefinitely using its last known valid configuration while the Management Plane is unavailable.</w:t>
      </w:r>
    </w:p>
    <w:p>
      <w:pPr>
        <w:pStyle w:val="Requirement"/>
        <w:keepNext w:val="0"/>
      </w:pPr>
      <w:r>
        <w:rPr>
          <w:b/>
          <w:color w:val="1F3864"/>
          <w:sz w:val="19"/>
        </w:rPr>
        <w:t>GW-AVL-015</w:t>
      </w:r>
      <w:r>
        <w:tab/>
      </w:r>
      <w:r>
        <w:t xml:space="preserve">The Management Plane </w:t>
      </w:r>
      <w:r>
        <w:rPr>
          <w:b/>
        </w:rPr>
        <w:t>should</w:t>
      </w:r>
      <w:r>
        <w:t xml:space="preserve"> be restorable within one hour.</w:t>
      </w:r>
    </w:p>
    <w:p>
      <w:pPr>
        <w:pStyle w:val="Note"/>
      </w:pPr>
      <w:r>
        <w:rPr>
          <w:b/>
        </w:rPr>
        <w:t xml:space="preserve">Note. </w:t>
      </w:r>
      <w:r>
        <w:t>New configuration changes may depend on the availability of the Management Plane.</w:t>
      </w:r>
    </w:p>
    <w:p>
      <w:pPr>
        <w:keepNext/>
        <w:spacing w:before="120" w:after="40"/>
        <w:jc w:val="center"/>
      </w:pPr>
      <w:r>
        <w:drawing>
          <wp:inline xmlns:a="http://schemas.openxmlformats.org/drawingml/2006/main" xmlns:pic="http://schemas.openxmlformats.org/drawingml/2006/picture">
            <wp:extent cx="5760000" cy="3003429"/>
            <wp:docPr id="5" name="Picture 5" descr="Diagram. A central Management Plane sends configuration to an API Gateway in Site A and an API Gateway in Site B. Each Gateway serves the application in its own site. If the Management Plane is unavailable, each Gateway continues to serve traffic using its last known valid configuration." title="Centralized management with distributed Data Planes"/>
            <wp:cNvGraphicFramePr>
              <a:graphicFrameLocks noChangeAspect="1"/>
            </wp:cNvGraphicFramePr>
            <a:graphic>
              <a:graphicData uri="http://schemas.openxmlformats.org/drawingml/2006/picture">
                <pic:pic>
                  <pic:nvPicPr>
                    <pic:cNvPr id="0" name="fig_distributed.png"/>
                    <pic:cNvPicPr/>
                  </pic:nvPicPr>
                  <pic:blipFill>
                    <a:blip r:embed="rId13"/>
                    <a:stretch>
                      <a:fillRect/>
                    </a:stretch>
                  </pic:blipFill>
                  <pic:spPr>
                    <a:xfrm>
                      <a:off x="0" y="0"/>
                      <a:ext cx="5760000" cy="3003429"/>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5</w:t>
      </w:r>
      <w:r>
        <w:fldChar w:fldCharType="end"/>
      </w:r>
      <w:r>
        <w:t xml:space="preserve"> — Centralized management with distributed Data Planes</w:t>
      </w:r>
    </w:p>
    <w:p>
      <w:pPr>
        <w:pStyle w:val="Heading1"/>
        <w:spacing w:before="520"/>
      </w:pPr>
      <w:r>
        <w:t>11</w:t>
        <w:tab/>
        <w:t>Governance and Exceptions</w:t>
      </w:r>
    </w:p>
    <w:p>
      <w:pPr>
        <w:pStyle w:val="Heading2"/>
      </w:pPr>
      <w:r>
        <w:t>11.1</w:t>
        <w:tab/>
        <w:t>Governance model</w:t>
      </w:r>
    </w:p>
    <w:p>
      <w:r>
        <w:t>Governance combines three mechanisms, described in Table 14. The overall principle is:</w:t>
      </w:r>
    </w:p>
    <w:p>
      <w:pPr>
        <w:pStyle w:val="Note"/>
      </w:pPr>
      <w:r>
        <w:rPr>
          <w:b/>
        </w:rPr>
        <w:t>Enforce what can safely and consistently be enforced; document and guide the rest.</w:t>
      </w:r>
    </w:p>
    <w:p>
      <w:pPr>
        <w:pStyle w:val="Caption"/>
        <w:keepNext/>
      </w:pPr>
      <w:r>
        <w:t xml:space="preserve">Table </w:t>
      </w:r>
      <w:r>
        <w:fldChar w:fldCharType="begin"/>
      </w:r>
      <w:r>
        <w:instrText xml:space="preserve"> SEQ Table \* ARABIC </w:instrText>
      </w:r>
      <w:r>
        <w:fldChar w:fldCharType="separate"/>
      </w:r>
      <w:r>
        <w:t>14</w:t>
      </w:r>
      <w:r>
        <w:fldChar w:fldCharType="end"/>
      </w:r>
      <w:r>
        <w:t xml:space="preserve"> — Governance mechanisms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3969"/>
        <w:gridCol w:w="2721"/>
      </w:tblGrid>
      <w:tr>
        <w:trPr>
          <w:cantSplit/>
          <w:tblHeader/>
        </w:trPr>
        <w:tc>
          <w:tcPr>
            <w:tcW w:type="dxa" w:w="2381"/>
            <w:shd w:val="clear" w:color="auto" w:fill="1F3864"/>
          </w:tcPr>
          <w:p>
            <w:pPr>
              <w:pStyle w:val="TableText"/>
            </w:pPr>
            <w:r>
              <w:rPr>
                <w:b/>
                <w:color w:val="FFFFFF"/>
              </w:rPr>
              <w:t>Mechanism</w:t>
            </w:r>
          </w:p>
        </w:tc>
        <w:tc>
          <w:tcPr>
            <w:tcW w:type="dxa" w:w="3969"/>
            <w:shd w:val="clear" w:color="auto" w:fill="1F3864"/>
          </w:tcPr>
          <w:p>
            <w:pPr>
              <w:pStyle w:val="TableText"/>
            </w:pPr>
            <w:r>
              <w:rPr>
                <w:b/>
                <w:color w:val="FFFFFF"/>
              </w:rPr>
              <w:t>Purpose</w:t>
            </w:r>
          </w:p>
        </w:tc>
        <w:tc>
          <w:tcPr>
            <w:tcW w:type="dxa" w:w="2721"/>
            <w:shd w:val="clear" w:color="auto" w:fill="1F3864"/>
          </w:tcPr>
          <w:p>
            <w:pPr>
              <w:pStyle w:val="TableText"/>
            </w:pPr>
            <w:r>
              <w:rPr>
                <w:b/>
                <w:color w:val="FFFFFF"/>
              </w:rPr>
              <w:t>Enforcement</w:t>
            </w:r>
          </w:p>
        </w:tc>
      </w:tr>
      <w:tr>
        <w:trPr>
          <w:cantSplit/>
        </w:trPr>
        <w:tc>
          <w:tcPr>
            <w:tcW w:type="dxa" w:w="2381"/>
            <w:shd w:val="clear" w:color="auto" w:fill="F2F5FA"/>
          </w:tcPr>
          <w:p>
            <w:pPr>
              <w:pStyle w:val="TableText"/>
            </w:pPr>
            <w:r>
              <w:rPr>
                <w:b/>
              </w:rPr>
              <w:t>Mandatory guardrails</w:t>
            </w:r>
          </w:p>
        </w:tc>
        <w:tc>
          <w:tcPr>
            <w:tcW w:type="dxa" w:w="3969"/>
          </w:tcPr>
          <w:p>
            <w:pPr>
              <w:pStyle w:val="TableText"/>
            </w:pPr>
            <w:r>
              <w:t>Requirements that can and should be technically enforced.</w:t>
            </w:r>
          </w:p>
        </w:tc>
        <w:tc>
          <w:tcPr>
            <w:tcW w:type="dxa" w:w="2721"/>
          </w:tcPr>
          <w:p>
            <w:pPr>
              <w:pStyle w:val="TableText"/>
            </w:pPr>
            <w:r>
              <w:t>Technically enforced by the Platform.</w:t>
            </w:r>
          </w:p>
        </w:tc>
      </w:tr>
      <w:tr>
        <w:trPr>
          <w:cantSplit/>
        </w:trPr>
        <w:tc>
          <w:tcPr>
            <w:tcW w:type="dxa" w:w="2381"/>
            <w:shd w:val="clear" w:color="auto" w:fill="F2F5FA"/>
          </w:tcPr>
          <w:p>
            <w:pPr>
              <w:pStyle w:val="TableText"/>
            </w:pPr>
            <w:r>
              <w:rPr>
                <w:b/>
              </w:rPr>
              <w:t>Standards</w:t>
            </w:r>
          </w:p>
        </w:tc>
        <w:tc>
          <w:tcPr>
            <w:tcW w:type="dxa" w:w="3969"/>
          </w:tcPr>
          <w:p>
            <w:pPr>
              <w:pStyle w:val="TableText"/>
            </w:pPr>
            <w:r>
              <w:t>The organization's preferred and consistent way of operating APIs.</w:t>
            </w:r>
          </w:p>
        </w:tc>
        <w:tc>
          <w:tcPr>
            <w:tcW w:type="dxa" w:w="2721"/>
          </w:tcPr>
          <w:p>
            <w:pPr>
              <w:pStyle w:val="TableText"/>
            </w:pPr>
            <w:r>
              <w:t>Technically enforced where practical.</w:t>
            </w:r>
          </w:p>
        </w:tc>
      </w:tr>
      <w:tr>
        <w:trPr>
          <w:cantSplit/>
        </w:trPr>
        <w:tc>
          <w:tcPr>
            <w:tcW w:type="dxa" w:w="2381"/>
            <w:shd w:val="clear" w:color="auto" w:fill="F2F5FA"/>
          </w:tcPr>
          <w:p>
            <w:pPr>
              <w:pStyle w:val="TableText"/>
            </w:pPr>
            <w:r>
              <w:rPr>
                <w:b/>
              </w:rPr>
              <w:t>Guidelines</w:t>
            </w:r>
          </w:p>
        </w:tc>
        <w:tc>
          <w:tcPr>
            <w:tcW w:type="dxa" w:w="3969"/>
          </w:tcPr>
          <w:p>
            <w:pPr>
              <w:pStyle w:val="TableText"/>
            </w:pPr>
            <w:r>
              <w:t>Decisions that cannot or should not be enforced by technology.</w:t>
            </w:r>
          </w:p>
        </w:tc>
        <w:tc>
          <w:tcPr>
            <w:tcW w:type="dxa" w:w="2721"/>
          </w:tcPr>
          <w:p>
            <w:pPr>
              <w:pStyle w:val="TableText"/>
            </w:pPr>
            <w:r>
              <w:t>Documented and guided; not enforced.</w:t>
            </w:r>
          </w:p>
        </w:tc>
      </w:tr>
    </w:tbl>
    <w:p>
      <w:pPr>
        <w:spacing w:after="40"/>
      </w:pPr>
    </w:p>
    <w:p>
      <w:pPr>
        <w:pStyle w:val="Heading2"/>
      </w:pPr>
      <w:r>
        <w:t>11.2</w:t>
        <w:tab/>
        <w:t>Mandatory guardrails</w:t>
      </w:r>
    </w:p>
    <w:p>
      <w:pPr>
        <w:pStyle w:val="Requirement"/>
        <w:keepNext w:val="0"/>
      </w:pPr>
      <w:r>
        <w:rPr>
          <w:b/>
          <w:color w:val="1F3864"/>
          <w:sz w:val="19"/>
        </w:rPr>
        <w:t>GW-GOV-001</w:t>
      </w:r>
      <w:r>
        <w:tab/>
      </w:r>
      <w:r>
        <w:t xml:space="preserve">Requirements that are suitable for technical enforcement </w:t>
      </w:r>
      <w:r>
        <w:rPr>
          <w:b/>
        </w:rPr>
        <w:t>should</w:t>
      </w:r>
      <w:r>
        <w:t xml:space="preserve"> be implemented as mandatory Gateway guardrails.</w:t>
      </w:r>
    </w:p>
    <w:p>
      <w:pPr>
        <w:pStyle w:val="Requirement"/>
        <w:keepNext/>
      </w:pPr>
      <w:r>
        <w:rPr>
          <w:b/>
          <w:color w:val="1F3864"/>
          <w:sz w:val="19"/>
        </w:rPr>
        <w:t>GW-GOV-002</w:t>
      </w:r>
      <w:r>
        <w:tab/>
      </w:r>
      <w:r>
        <w:t xml:space="preserve">Mandatory guardrails </w:t>
      </w:r>
      <w:r>
        <w:rPr>
          <w:b/>
        </w:rPr>
        <w:t>should</w:t>
      </w:r>
      <w:r>
        <w:t xml:space="preserve"> include the following:</w:t>
      </w:r>
    </w:p>
    <w:p>
      <w:pPr>
        <w:pStyle w:val="ListBullet"/>
        <w:keepNext/>
        <w:spacing w:after="40"/>
        <w:ind w:left="1928" w:hanging="283"/>
      </w:pPr>
      <w:r>
        <w:t>HTTPS at required boundaries</w:t>
      </w:r>
    </w:p>
    <w:p>
      <w:pPr>
        <w:pStyle w:val="ListBullet"/>
        <w:keepNext/>
        <w:spacing w:after="40"/>
        <w:ind w:left="1928" w:hanging="283"/>
      </w:pPr>
      <w:r>
        <w:t>Authentication</w:t>
      </w:r>
    </w:p>
    <w:p>
      <w:pPr>
        <w:pStyle w:val="ListBullet"/>
        <w:keepNext/>
        <w:spacing w:after="40"/>
        <w:ind w:left="1928" w:hanging="283"/>
      </w:pPr>
      <w:r>
        <w:t>Required logging</w:t>
      </w:r>
    </w:p>
    <w:p>
      <w:pPr>
        <w:pStyle w:val="ListBullet"/>
        <w:keepNext/>
        <w:spacing w:after="40"/>
        <w:ind w:left="1928" w:hanging="283"/>
      </w:pPr>
      <w:r>
        <w:t>Maximum request size</w:t>
      </w:r>
    </w:p>
    <w:p>
      <w:pPr>
        <w:pStyle w:val="ListBullet"/>
        <w:keepNext w:val="0"/>
        <w:spacing w:after="40"/>
        <w:ind w:left="1928" w:hanging="283"/>
      </w:pPr>
      <w:r>
        <w:t>Mandatory organizational policies</w:t>
      </w:r>
    </w:p>
    <w:p>
      <w:pPr>
        <w:pStyle w:val="Note"/>
      </w:pPr>
      <w:r>
        <w:rPr>
          <w:b/>
        </w:rPr>
        <w:t xml:space="preserve">Note. </w:t>
      </w:r>
      <w:r>
        <w:t>Communication within the cluster, including between the Gateway and backend services, uses HTTP. No minimum TLS version and no maximum request size are defined by this document.</w:t>
      </w:r>
    </w:p>
    <w:p>
      <w:pPr>
        <w:pStyle w:val="Heading2"/>
      </w:pPr>
      <w:r>
        <w:t>11.3</w:t>
        <w:tab/>
        <w:t>Standards</w:t>
      </w:r>
    </w:p>
    <w:p>
      <w:pPr>
        <w:pStyle w:val="Requirement"/>
        <w:keepNext w:val="0"/>
      </w:pPr>
      <w:r>
        <w:rPr>
          <w:b/>
          <w:color w:val="1F3864"/>
          <w:sz w:val="19"/>
        </w:rPr>
        <w:t>GW-GOV-003</w:t>
      </w:r>
      <w:r>
        <w:tab/>
      </w:r>
      <w:r>
        <w:t xml:space="preserve">Standards </w:t>
      </w:r>
      <w:r>
        <w:rPr>
          <w:b/>
        </w:rPr>
        <w:t>should</w:t>
      </w:r>
      <w:r>
        <w:t xml:space="preserve"> define the organization's preferred and consistent way of operating APIs.</w:t>
      </w:r>
    </w:p>
    <w:p>
      <w:pPr>
        <w:pStyle w:val="Requirement"/>
        <w:keepNext w:val="0"/>
      </w:pPr>
      <w:r>
        <w:rPr>
          <w:b/>
          <w:color w:val="1F3864"/>
          <w:sz w:val="19"/>
        </w:rPr>
        <w:t>GW-GOV-004</w:t>
      </w:r>
      <w:r>
        <w:tab/>
      </w:r>
      <w:r>
        <w:t xml:space="preserve">Where practical, standards </w:t>
      </w:r>
      <w:r>
        <w:rPr>
          <w:b/>
        </w:rPr>
        <w:t>should</w:t>
      </w:r>
      <w:r>
        <w:t xml:space="preserve"> be technically enforced.</w:t>
      </w:r>
    </w:p>
    <w:p>
      <w:pPr>
        <w:pStyle w:val="Heading2"/>
      </w:pPr>
      <w:r>
        <w:t>11.4</w:t>
        <w:tab/>
        <w:t>Guidelines</w:t>
      </w:r>
    </w:p>
    <w:p>
      <w:r>
        <w:t>Not every architectural or operational decision can or should be enforced by technology.</w:t>
      </w:r>
    </w:p>
    <w:p>
      <w:pPr>
        <w:pStyle w:val="Requirement"/>
        <w:keepNext w:val="0"/>
      </w:pPr>
      <w:r>
        <w:rPr>
          <w:b/>
          <w:color w:val="1F3864"/>
          <w:sz w:val="19"/>
        </w:rPr>
        <w:t>GW-GOV-005</w:t>
      </w:r>
      <w:r>
        <w:tab/>
      </w:r>
      <w:r>
        <w:t xml:space="preserve">Decisions that are not suited to technical enforcement </w:t>
      </w:r>
      <w:r>
        <w:rPr>
          <w:b/>
        </w:rPr>
        <w:t>should</w:t>
      </w:r>
      <w:r>
        <w:t xml:space="preserve"> remain guidelines.</w:t>
      </w:r>
    </w:p>
    <w:p>
      <w:r>
        <w:t>Examples of guidelines include:</w:t>
      </w:r>
    </w:p>
    <w:p>
      <w:pPr>
        <w:pStyle w:val="ListBullet"/>
        <w:keepNext w:val="0"/>
        <w:spacing w:after="60"/>
        <w:ind w:left="510" w:hanging="283"/>
      </w:pPr>
      <w:r>
        <w:t>Recommended caching</w:t>
      </w:r>
    </w:p>
    <w:p>
      <w:pPr>
        <w:pStyle w:val="ListBullet"/>
        <w:keepNext w:val="0"/>
        <w:spacing w:after="60"/>
        <w:ind w:left="510" w:hanging="283"/>
      </w:pPr>
      <w:r>
        <w:t>Recommended timeout values</w:t>
      </w:r>
    </w:p>
    <w:p>
      <w:pPr>
        <w:pStyle w:val="ListBullet"/>
        <w:keepNext w:val="0"/>
        <w:spacing w:after="60"/>
        <w:ind w:left="510" w:hanging="283"/>
      </w:pPr>
      <w:r>
        <w:t>Recommended API versioning strategy</w:t>
      </w:r>
    </w:p>
    <w:p>
      <w:pPr>
        <w:pStyle w:val="ListBullet"/>
        <w:keepNext w:val="0"/>
        <w:spacing w:after="60"/>
        <w:ind w:left="510" w:hanging="283"/>
      </w:pPr>
      <w:r>
        <w:t>Recommended use of transformation</w:t>
      </w:r>
    </w:p>
    <w:p>
      <w:pPr>
        <w:pStyle w:val="Heading2"/>
      </w:pPr>
      <w:r>
        <w:t>11.5</w:t>
        <w:tab/>
        <w:t>Organizational governance</w:t>
      </w:r>
    </w:p>
    <w:p>
      <w:pPr>
        <w:pStyle w:val="Requirement"/>
        <w:keepNext w:val="0"/>
      </w:pPr>
      <w:r>
        <w:rPr>
          <w:b/>
          <w:color w:val="1F3864"/>
          <w:sz w:val="19"/>
        </w:rPr>
        <w:t>GW-GOV-006</w:t>
      </w:r>
      <w:r>
        <w:tab/>
      </w:r>
      <w:r>
        <w:t xml:space="preserve">An organizational governance body </w:t>
      </w:r>
      <w:r>
        <w:rPr>
          <w:b/>
        </w:rPr>
        <w:t>should</w:t>
      </w:r>
      <w:r>
        <w:t xml:space="preserve"> define API standards and policies.</w:t>
      </w:r>
    </w:p>
    <w:p>
      <w:pPr>
        <w:pStyle w:val="Requirement"/>
        <w:keepNext w:val="0"/>
      </w:pPr>
      <w:r>
        <w:rPr>
          <w:b/>
          <w:color w:val="1F3864"/>
          <w:sz w:val="19"/>
        </w:rPr>
        <w:t>GW-GOV-007</w:t>
      </w:r>
      <w:r>
        <w:tab/>
      </w:r>
      <w:r>
        <w:t xml:space="preserve">The Infrastructure Team </w:t>
      </w:r>
      <w:r>
        <w:rPr>
          <w:b/>
        </w:rPr>
        <w:t>should</w:t>
      </w:r>
      <w:r>
        <w:t xml:space="preserve"> implement the requirements defined by the governance body as Gateway capabilities and guardrails.</w:t>
      </w:r>
    </w:p>
    <w:p>
      <w:pPr>
        <w:pStyle w:val="Requirement"/>
        <w:keepNext w:val="0"/>
      </w:pPr>
      <w:r>
        <w:rPr>
          <w:b/>
          <w:color w:val="1F3864"/>
          <w:sz w:val="19"/>
        </w:rPr>
        <w:t>GW-GOV-008</w:t>
      </w:r>
      <w:r>
        <w:tab/>
      </w:r>
      <w:r>
        <w:t xml:space="preserve">Where organizational governance is not yet mature, the Infrastructure Team </w:t>
      </w:r>
      <w:r>
        <w:rPr>
          <w:b/>
        </w:rPr>
        <w:t>may</w:t>
      </w:r>
      <w:r>
        <w:t xml:space="preserve"> temporarily provide governance for the Gateway platform itself.</w:t>
      </w:r>
    </w:p>
    <w:p>
      <w:pPr>
        <w:pStyle w:val="Requirement"/>
        <w:keepNext w:val="0"/>
      </w:pPr>
      <w:r>
        <w:rPr>
          <w:b/>
          <w:color w:val="1F3864"/>
          <w:sz w:val="19"/>
        </w:rPr>
        <w:t>GW-GOV-009</w:t>
      </w:r>
      <w:r>
        <w:tab/>
      </w:r>
      <w:r>
        <w:t xml:space="preserve">Interim governance of the Gateway platform </w:t>
      </w:r>
      <w:r>
        <w:rPr>
          <w:b/>
        </w:rPr>
        <w:t>shall not</w:t>
      </w:r>
      <w:r>
        <w:t xml:space="preserve"> make the Infrastructure Team the owner of individual APIs.</w:t>
      </w:r>
    </w:p>
    <w:p>
      <w:pPr>
        <w:pStyle w:val="Note"/>
      </w:pPr>
      <w:r>
        <w:rPr>
          <w:b/>
        </w:rPr>
        <w:t xml:space="preserve">Note. </w:t>
      </w:r>
      <w:r>
        <w:t>An organizational governance body has not yet been defined. Interim governance by the Infrastructure Team therefore applies.</w:t>
      </w:r>
    </w:p>
    <w:p>
      <w:pPr>
        <w:pStyle w:val="Heading2"/>
      </w:pPr>
      <w:r>
        <w:t>11.6</w:t>
        <w:tab/>
        <w:t>Exceptions</w:t>
      </w:r>
    </w:p>
    <w:p>
      <w:pPr>
        <w:pStyle w:val="Requirement"/>
        <w:keepNext w:val="0"/>
      </w:pPr>
      <w:r>
        <w:rPr>
          <w:b/>
          <w:color w:val="1F3864"/>
          <w:sz w:val="19"/>
        </w:rPr>
        <w:t>GW-GOV-010</w:t>
      </w:r>
      <w:r>
        <w:tab/>
      </w:r>
      <w:r>
        <w:t xml:space="preserve">The Platform </w:t>
      </w:r>
      <w:r>
        <w:rPr>
          <w:b/>
        </w:rPr>
        <w:t>should</w:t>
      </w:r>
      <w:r>
        <w:t xml:space="preserve"> support a controlled exception mechanism.</w:t>
      </w:r>
    </w:p>
    <w:p>
      <w:pPr>
        <w:pStyle w:val="Requirement"/>
        <w:keepNext/>
      </w:pPr>
      <w:r>
        <w:rPr>
          <w:b/>
          <w:color w:val="1F3864"/>
          <w:sz w:val="19"/>
        </w:rPr>
        <w:t>GW-GOV-011</w:t>
      </w:r>
      <w:r>
        <w:tab/>
      </w:r>
      <w:r>
        <w:t xml:space="preserve">An exception </w:t>
      </w:r>
      <w:r>
        <w:rPr>
          <w:b/>
        </w:rPr>
        <w:t>should</w:t>
      </w:r>
      <w:r>
        <w:t xml:space="preserve"> have the following:</w:t>
      </w:r>
    </w:p>
    <w:p>
      <w:pPr>
        <w:pStyle w:val="ListBullet"/>
        <w:keepNext/>
        <w:spacing w:after="40"/>
        <w:ind w:left="1928" w:hanging="283"/>
      </w:pPr>
      <w:r>
        <w:t>A documented reason.</w:t>
      </w:r>
    </w:p>
    <w:p>
      <w:pPr>
        <w:pStyle w:val="ListBullet"/>
        <w:keepNext/>
        <w:spacing w:after="40"/>
        <w:ind w:left="1928" w:hanging="283"/>
      </w:pPr>
      <w:r>
        <w:t>An identified owner.</w:t>
      </w:r>
    </w:p>
    <w:p>
      <w:pPr>
        <w:pStyle w:val="ListBullet"/>
        <w:keepNext/>
        <w:spacing w:after="40"/>
        <w:ind w:left="1928" w:hanging="283"/>
      </w:pPr>
      <w:r>
        <w:t>An appropriate approval.</w:t>
      </w:r>
    </w:p>
    <w:p>
      <w:pPr>
        <w:pStyle w:val="ListBullet"/>
        <w:keepNext/>
        <w:spacing w:after="40"/>
        <w:ind w:left="1928" w:hanging="283"/>
      </w:pPr>
      <w:r>
        <w:t>Risk considerations.</w:t>
      </w:r>
    </w:p>
    <w:p>
      <w:pPr>
        <w:pStyle w:val="ListBullet"/>
        <w:keepNext w:val="0"/>
        <w:spacing w:after="40"/>
        <w:ind w:left="1928" w:hanging="283"/>
      </w:pPr>
      <w:r>
        <w:t>An expiration or review date where appropriate.</w:t>
      </w:r>
    </w:p>
    <w:p>
      <w:pPr>
        <w:pStyle w:val="Requirement"/>
        <w:keepNext w:val="0"/>
      </w:pPr>
      <w:r>
        <w:rPr>
          <w:b/>
          <w:color w:val="1F3864"/>
          <w:sz w:val="19"/>
        </w:rPr>
        <w:t>GW-GOV-012</w:t>
      </w:r>
      <w:r>
        <w:tab/>
      </w:r>
      <w:r>
        <w:t xml:space="preserve">Exceptions </w:t>
      </w:r>
      <w:r>
        <w:rPr>
          <w:b/>
        </w:rPr>
        <w:t>should not</w:t>
      </w:r>
      <w:r>
        <w:t xml:space="preserve"> become an alternative to proper architecture.</w:t>
      </w:r>
    </w:p>
    <w:p>
      <w:pPr>
        <w:pStyle w:val="Heading1"/>
        <w:spacing w:before="520"/>
      </w:pPr>
      <w:r>
        <w:t>12</w:t>
        <w:tab/>
        <w:t>Platform Boundaries</w:t>
      </w:r>
    </w:p>
    <w:p>
      <w:pPr>
        <w:pStyle w:val="Heading2"/>
      </w:pPr>
      <w:r>
        <w:t>12.1</w:t>
        <w:tab/>
        <w:t>Boundary overview</w:t>
      </w:r>
    </w:p>
    <w:p>
      <w:r>
        <w:t>The Gateway is one component of a wider security and infrastructure architecture. Table 15 summarizes the boundary between the Gateway and each adjacent component.</w:t>
      </w:r>
    </w:p>
    <w:p>
      <w:pPr>
        <w:pStyle w:val="Caption"/>
        <w:keepNext/>
      </w:pPr>
      <w:r>
        <w:t xml:space="preserve">Table </w:t>
      </w:r>
      <w:r>
        <w:fldChar w:fldCharType="begin"/>
      </w:r>
      <w:r>
        <w:instrText xml:space="preserve"> SEQ Table \* ARABIC </w:instrText>
      </w:r>
      <w:r>
        <w:fldChar w:fldCharType="separate"/>
      </w:r>
      <w:r>
        <w:t>15</w:t>
      </w:r>
      <w:r>
        <w:fldChar w:fldCharType="end"/>
      </w:r>
      <w:r>
        <w:t xml:space="preserve"> — Boundaries between the Gateway and adjacent components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3628"/>
        <w:gridCol w:w="3628"/>
      </w:tblGrid>
      <w:tr>
        <w:trPr>
          <w:cantSplit/>
          <w:tblHeader/>
        </w:trPr>
        <w:tc>
          <w:tcPr>
            <w:tcW w:type="dxa" w:w="1814"/>
            <w:shd w:val="clear" w:color="auto" w:fill="1F3864"/>
          </w:tcPr>
          <w:p>
            <w:pPr>
              <w:pStyle w:val="TableText"/>
            </w:pPr>
            <w:r>
              <w:rPr>
                <w:b/>
                <w:color w:val="FFFFFF"/>
              </w:rPr>
              <w:t>Adjacent component</w:t>
            </w:r>
          </w:p>
        </w:tc>
        <w:tc>
          <w:tcPr>
            <w:tcW w:type="dxa" w:w="3628"/>
            <w:shd w:val="clear" w:color="auto" w:fill="1F3864"/>
          </w:tcPr>
          <w:p>
            <w:pPr>
              <w:pStyle w:val="TableText"/>
            </w:pPr>
            <w:r>
              <w:rPr>
                <w:b/>
                <w:color w:val="FFFFFF"/>
              </w:rPr>
              <w:t>The Gateway is responsible for</w:t>
            </w:r>
          </w:p>
        </w:tc>
        <w:tc>
          <w:tcPr>
            <w:tcW w:type="dxa" w:w="3628"/>
            <w:shd w:val="clear" w:color="auto" w:fill="1F3864"/>
          </w:tcPr>
          <w:p>
            <w:pPr>
              <w:pStyle w:val="TableText"/>
            </w:pPr>
            <w:r>
              <w:rPr>
                <w:b/>
                <w:color w:val="FFFFFF"/>
              </w:rPr>
              <w:t>The adjacent component is responsible for</w:t>
            </w:r>
          </w:p>
        </w:tc>
      </w:tr>
      <w:tr>
        <w:trPr>
          <w:cantSplit/>
        </w:trPr>
        <w:tc>
          <w:tcPr>
            <w:tcW w:type="dxa" w:w="1814"/>
            <w:shd w:val="clear" w:color="auto" w:fill="F2F5FA"/>
          </w:tcPr>
          <w:p>
            <w:pPr>
              <w:pStyle w:val="TableText"/>
            </w:pPr>
            <w:r>
              <w:rPr>
                <w:b/>
              </w:rPr>
              <w:t>WAF</w:t>
            </w:r>
          </w:p>
        </w:tc>
        <w:tc>
          <w:tcPr>
            <w:tcW w:type="dxa" w:w="3628"/>
          </w:tcPr>
          <w:p>
            <w:pPr>
              <w:pStyle w:val="ListBullet"/>
              <w:keepNext w:val="0"/>
              <w:spacing w:after="20"/>
              <w:ind w:left="238" w:hanging="193"/>
            </w:pPr>
            <w:r>
              <w:rPr>
                <w:sz w:val="19"/>
              </w:rPr>
              <w:t>Authentication</w:t>
            </w:r>
          </w:p>
          <w:p>
            <w:pPr>
              <w:pStyle w:val="ListBullet"/>
              <w:keepNext w:val="0"/>
              <w:spacing w:after="20"/>
              <w:ind w:left="238" w:hanging="193"/>
            </w:pPr>
            <w:r>
              <w:rPr>
                <w:sz w:val="19"/>
              </w:rPr>
              <w:t>Authorization</w:t>
            </w:r>
          </w:p>
          <w:p>
            <w:pPr>
              <w:pStyle w:val="ListBullet"/>
              <w:keepNext w:val="0"/>
              <w:spacing w:after="20"/>
              <w:ind w:left="238" w:hanging="193"/>
            </w:pPr>
            <w:r>
              <w:rPr>
                <w:sz w:val="19"/>
              </w:rPr>
              <w:t>Routing</w:t>
            </w:r>
          </w:p>
          <w:p>
            <w:pPr>
              <w:pStyle w:val="ListBullet"/>
              <w:keepNext w:val="0"/>
              <w:spacing w:after="20"/>
              <w:ind w:left="238" w:hanging="193"/>
            </w:pPr>
            <w:r>
              <w:rPr>
                <w:sz w:val="19"/>
              </w:rPr>
              <w:t>Rate limiting</w:t>
            </w:r>
          </w:p>
          <w:p>
            <w:pPr>
              <w:pStyle w:val="ListBullet"/>
              <w:keepNext w:val="0"/>
              <w:spacing w:after="20"/>
              <w:ind w:left="238" w:hanging="193"/>
            </w:pPr>
            <w:r>
              <w:rPr>
                <w:sz w:val="19"/>
              </w:rPr>
              <w:t>API policies</w:t>
            </w:r>
          </w:p>
          <w:p>
            <w:pPr>
              <w:pStyle w:val="ListBullet"/>
              <w:keepNext w:val="0"/>
              <w:spacing w:after="20"/>
              <w:ind w:left="238" w:hanging="193"/>
            </w:pPr>
            <w:r>
              <w:rPr>
                <w:sz w:val="19"/>
              </w:rPr>
              <w:t>Request controls</w:t>
            </w:r>
          </w:p>
          <w:p>
            <w:pPr>
              <w:pStyle w:val="ListBullet"/>
              <w:keepNext w:val="0"/>
              <w:spacing w:after="20"/>
              <w:ind w:left="238" w:hanging="193"/>
            </w:pPr>
            <w:r>
              <w:rPr>
                <w:sz w:val="19"/>
              </w:rPr>
              <w:t>Timeouts</w:t>
            </w:r>
          </w:p>
          <w:p>
            <w:pPr>
              <w:pStyle w:val="ListBullet"/>
              <w:keepNext w:val="0"/>
              <w:spacing w:after="20"/>
              <w:ind w:left="238" w:hanging="193"/>
            </w:pPr>
            <w:r>
              <w:rPr>
                <w:sz w:val="19"/>
              </w:rPr>
              <w:t>API-level transformations</w:t>
            </w:r>
          </w:p>
          <w:p>
            <w:pPr>
              <w:pStyle w:val="ListBullet"/>
              <w:keepNext w:val="0"/>
              <w:spacing w:after="20"/>
              <w:ind w:left="238" w:hanging="193"/>
            </w:pPr>
            <w:r>
              <w:rPr>
                <w:sz w:val="19"/>
              </w:rPr>
              <w:t>API contract validation</w:t>
            </w:r>
          </w:p>
          <w:p>
            <w:pPr>
              <w:pStyle w:val="ListBullet"/>
              <w:keepNext w:val="0"/>
              <w:spacing w:after="20"/>
              <w:ind w:left="238" w:hanging="193"/>
            </w:pPr>
            <w:r>
              <w:rPr>
                <w:sz w:val="19"/>
              </w:rPr>
              <w:t>API observability</w:t>
            </w:r>
          </w:p>
        </w:tc>
        <w:tc>
          <w:tcPr>
            <w:tcW w:type="dxa" w:w="3628"/>
          </w:tcPr>
          <w:p>
            <w:pPr>
              <w:pStyle w:val="ListBullet"/>
              <w:keepNext w:val="0"/>
              <w:spacing w:after="20"/>
              <w:ind w:left="238" w:hanging="193"/>
            </w:pPr>
            <w:r>
              <w:rPr>
                <w:sz w:val="19"/>
              </w:rPr>
              <w:t>Attack signatures</w:t>
            </w:r>
          </w:p>
          <w:p>
            <w:pPr>
              <w:pStyle w:val="ListBullet"/>
              <w:keepNext w:val="0"/>
              <w:spacing w:after="20"/>
              <w:ind w:left="238" w:hanging="193"/>
            </w:pPr>
            <w:r>
              <w:rPr>
                <w:sz w:val="19"/>
              </w:rPr>
              <w:t>SQL injection detection</w:t>
            </w:r>
          </w:p>
          <w:p>
            <w:pPr>
              <w:pStyle w:val="ListBullet"/>
              <w:keepNext w:val="0"/>
              <w:spacing w:after="20"/>
              <w:ind w:left="238" w:hanging="193"/>
            </w:pPr>
            <w:r>
              <w:rPr>
                <w:sz w:val="19"/>
              </w:rPr>
              <w:t>Cross-site scripting detection</w:t>
            </w:r>
          </w:p>
          <w:p>
            <w:pPr>
              <w:pStyle w:val="ListBullet"/>
              <w:keepNext w:val="0"/>
              <w:spacing w:after="20"/>
              <w:ind w:left="238" w:hanging="193"/>
            </w:pPr>
            <w:r>
              <w:rPr>
                <w:sz w:val="19"/>
              </w:rPr>
              <w:t>Malicious payload detection</w:t>
            </w:r>
          </w:p>
          <w:p>
            <w:pPr>
              <w:pStyle w:val="ListBullet"/>
              <w:keepNext w:val="0"/>
              <w:spacing w:after="20"/>
              <w:ind w:left="238" w:hanging="193"/>
            </w:pPr>
            <w:r>
              <w:rPr>
                <w:sz w:val="19"/>
              </w:rPr>
              <w:t>Bot protection</w:t>
            </w:r>
          </w:p>
          <w:p>
            <w:pPr>
              <w:pStyle w:val="ListBullet"/>
              <w:keepNext w:val="0"/>
              <w:spacing w:after="20"/>
              <w:ind w:left="238" w:hanging="193"/>
            </w:pPr>
            <w:r>
              <w:rPr>
                <w:sz w:val="19"/>
              </w:rPr>
              <w:t>Other application security controls</w:t>
            </w:r>
          </w:p>
        </w:tc>
      </w:tr>
      <w:tr>
        <w:trPr>
          <w:cantSplit/>
        </w:trPr>
        <w:tc>
          <w:tcPr>
            <w:tcW w:type="dxa" w:w="1814"/>
            <w:shd w:val="clear" w:color="auto" w:fill="F2F5FA"/>
          </w:tcPr>
          <w:p>
            <w:pPr>
              <w:pStyle w:val="TableText"/>
            </w:pPr>
            <w:r>
              <w:rPr>
                <w:b/>
              </w:rPr>
              <w:t>Load Balancer</w:t>
            </w:r>
          </w:p>
        </w:tc>
        <w:tc>
          <w:tcPr>
            <w:tcW w:type="dxa" w:w="3628"/>
          </w:tcPr>
          <w:p>
            <w:pPr>
              <w:pStyle w:val="ListBullet"/>
              <w:keepNext w:val="0"/>
              <w:spacing w:after="20"/>
              <w:ind w:left="238" w:hanging="193"/>
            </w:pPr>
            <w:r>
              <w:rPr>
                <w:sz w:val="19"/>
              </w:rPr>
              <w:t>Consumer to API handling</w:t>
            </w:r>
          </w:p>
          <w:p>
            <w:pPr>
              <w:pStyle w:val="ListBullet"/>
              <w:keepNext w:val="0"/>
              <w:spacing w:after="20"/>
              <w:ind w:left="238" w:hanging="193"/>
            </w:pPr>
            <w:r>
              <w:rPr>
                <w:sz w:val="19"/>
              </w:rPr>
              <w:t>Authentication and authorization</w:t>
            </w:r>
          </w:p>
          <w:p>
            <w:pPr>
              <w:pStyle w:val="ListBullet"/>
              <w:keepNext w:val="0"/>
              <w:spacing w:after="20"/>
              <w:ind w:left="238" w:hanging="193"/>
            </w:pPr>
            <w:r>
              <w:rPr>
                <w:sz w:val="19"/>
              </w:rPr>
              <w:t>Rate limiting and policy</w:t>
            </w:r>
          </w:p>
          <w:p>
            <w:pPr>
              <w:pStyle w:val="ListBullet"/>
              <w:keepNext w:val="0"/>
              <w:spacing w:after="20"/>
              <w:ind w:left="238" w:hanging="193"/>
            </w:pPr>
            <w:r>
              <w:rPr>
                <w:sz w:val="19"/>
              </w:rPr>
              <w:t>Routing and transformation</w:t>
            </w:r>
          </w:p>
          <w:p>
            <w:pPr>
              <w:pStyle w:val="ListBullet"/>
              <w:keepNext w:val="0"/>
              <w:spacing w:after="20"/>
              <w:ind w:left="238" w:hanging="193"/>
            </w:pPr>
            <w:r>
              <w:rPr>
                <w:sz w:val="19"/>
              </w:rPr>
              <w:t>Observability</w:t>
            </w:r>
          </w:p>
        </w:tc>
        <w:tc>
          <w:tcPr>
            <w:tcW w:type="dxa" w:w="3628"/>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tc>
      </w:tr>
      <w:tr>
        <w:trPr>
          <w:cantSplit/>
        </w:trPr>
        <w:tc>
          <w:tcPr>
            <w:tcW w:type="dxa" w:w="1814"/>
            <w:shd w:val="clear" w:color="auto" w:fill="F2F5FA"/>
          </w:tcPr>
          <w:p>
            <w:pPr>
              <w:pStyle w:val="TableText"/>
            </w:pPr>
            <w:r>
              <w:rPr>
                <w:b/>
              </w:rPr>
              <w:t>Identity Provider</w:t>
            </w:r>
          </w:p>
        </w:tc>
        <w:tc>
          <w:tcPr>
            <w:tcW w:type="dxa" w:w="3628"/>
          </w:tcPr>
          <w:p>
            <w:pPr>
              <w:pStyle w:val="ListBullet"/>
              <w:keepNext w:val="0"/>
              <w:spacing w:after="20"/>
              <w:ind w:left="238" w:hanging="193"/>
            </w:pPr>
            <w:r>
              <w:rPr>
                <w:sz w:val="19"/>
              </w:rPr>
              <w:t>Consuming identity</w:t>
            </w:r>
          </w:p>
          <w:p>
            <w:pPr>
              <w:pStyle w:val="ListBullet"/>
              <w:keepNext w:val="0"/>
              <w:spacing w:after="20"/>
              <w:ind w:left="238" w:hanging="193"/>
            </w:pPr>
            <w:r>
              <w:rPr>
                <w:sz w:val="19"/>
              </w:rPr>
              <w:t>Validating tokens</w:t>
            </w:r>
          </w:p>
          <w:p>
            <w:pPr>
              <w:pStyle w:val="ListBullet"/>
              <w:keepNext w:val="0"/>
              <w:spacing w:after="20"/>
              <w:ind w:left="238" w:hanging="193"/>
            </w:pPr>
            <w:r>
              <w:rPr>
                <w:sz w:val="19"/>
              </w:rPr>
              <w:t>Enforcing API authorization</w:t>
            </w:r>
          </w:p>
          <w:p>
            <w:pPr>
              <w:pStyle w:val="ListBullet"/>
              <w:keepNext w:val="0"/>
              <w:spacing w:after="20"/>
              <w:ind w:left="238" w:hanging="193"/>
            </w:pPr>
            <w:r>
              <w:rPr>
                <w:sz w:val="19"/>
              </w:rPr>
              <w:t>Passing trusted identity information downstream</w:t>
            </w:r>
          </w:p>
        </w:tc>
        <w:tc>
          <w:tcPr>
            <w:tcW w:type="dxa" w:w="3628"/>
          </w:tcPr>
          <w:p>
            <w:pPr>
              <w:pStyle w:val="ListBullet"/>
              <w:keepNext w:val="0"/>
              <w:spacing w:after="20"/>
              <w:ind w:left="238" w:hanging="193"/>
            </w:pPr>
            <w:r>
              <w:rPr>
                <w:sz w:val="19"/>
              </w:rPr>
              <w:t>User authentication</w:t>
            </w:r>
          </w:p>
          <w:p>
            <w:pPr>
              <w:pStyle w:val="ListBullet"/>
              <w:keepNext w:val="0"/>
              <w:spacing w:after="20"/>
              <w:ind w:left="238" w:hanging="193"/>
            </w:pPr>
            <w:r>
              <w:rPr>
                <w:sz w:val="19"/>
              </w:rPr>
              <w:t>Client authentication</w:t>
            </w:r>
          </w:p>
          <w:p>
            <w:pPr>
              <w:pStyle w:val="ListBullet"/>
              <w:keepNext w:val="0"/>
              <w:spacing w:after="20"/>
              <w:ind w:left="238" w:hanging="193"/>
            </w:pPr>
            <w:r>
              <w:rPr>
                <w:sz w:val="19"/>
              </w:rPr>
              <w:t>Token issuance</w:t>
            </w:r>
          </w:p>
          <w:p>
            <w:pPr>
              <w:pStyle w:val="ListBullet"/>
              <w:keepNext w:val="0"/>
              <w:spacing w:after="20"/>
              <w:ind w:left="238" w:hanging="193"/>
            </w:pPr>
            <w:r>
              <w:rPr>
                <w:sz w:val="19"/>
              </w:rPr>
              <w:t>Identity lifecycle</w:t>
            </w:r>
          </w:p>
        </w:tc>
      </w:tr>
      <w:tr>
        <w:trPr>
          <w:cantSplit/>
        </w:trPr>
        <w:tc>
          <w:tcPr>
            <w:tcW w:type="dxa" w:w="1814"/>
            <w:shd w:val="clear" w:color="auto" w:fill="F2F5FA"/>
          </w:tcPr>
          <w:p>
            <w:pPr>
              <w:pStyle w:val="TableText"/>
            </w:pPr>
            <w:r>
              <w:rPr>
                <w:b/>
              </w:rPr>
              <w:t>Application</w:t>
            </w:r>
          </w:p>
        </w:tc>
        <w:tc>
          <w:tcPr>
            <w:tcW w:type="dxa" w:w="3628"/>
          </w:tcPr>
          <w:p>
            <w:pPr>
              <w:pStyle w:val="ListBullet"/>
              <w:keepNext w:val="0"/>
              <w:spacing w:after="20"/>
              <w:ind w:left="238" w:hanging="193"/>
            </w:pPr>
            <w:r>
              <w:rPr>
                <w:sz w:val="19"/>
              </w:rPr>
              <w:t>Infrastructure-level protection</w:t>
            </w:r>
          </w:p>
        </w:tc>
        <w:tc>
          <w:tcPr>
            <w:tcW w:type="dxa" w:w="3628"/>
          </w:tcPr>
          <w:p>
            <w:pPr>
              <w:pStyle w:val="ListBullet"/>
              <w:keepNext w:val="0"/>
              <w:spacing w:after="20"/>
              <w:ind w:left="238" w:hanging="193"/>
            </w:pPr>
            <w:r>
              <w:rPr>
                <w:sz w:val="19"/>
              </w:rPr>
              <w:t>Business authorization</w:t>
            </w:r>
          </w:p>
          <w:p>
            <w:pPr>
              <w:pStyle w:val="ListBullet"/>
              <w:keepNext w:val="0"/>
              <w:spacing w:after="20"/>
              <w:ind w:left="238" w:hanging="193"/>
            </w:pPr>
            <w:r>
              <w:rPr>
                <w:sz w:val="19"/>
              </w:rPr>
              <w:t>Business validation</w:t>
            </w:r>
          </w:p>
          <w:p>
            <w:pPr>
              <w:pStyle w:val="ListBullet"/>
              <w:keepNext w:val="0"/>
              <w:spacing w:after="20"/>
              <w:ind w:left="238" w:hanging="193"/>
            </w:pPr>
            <w:r>
              <w:rPr>
                <w:sz w:val="19"/>
              </w:rPr>
              <w:t>Business logic</w:t>
            </w:r>
          </w:p>
          <w:p>
            <w:pPr>
              <w:pStyle w:val="ListBullet"/>
              <w:keepNext w:val="0"/>
              <w:spacing w:after="20"/>
              <w:ind w:left="238" w:hanging="193"/>
            </w:pPr>
            <w:r>
              <w:rPr>
                <w:sz w:val="19"/>
              </w:rPr>
              <w:t>Data access control</w:t>
            </w:r>
          </w:p>
          <w:p>
            <w:pPr>
              <w:pStyle w:val="ListBullet"/>
              <w:keepNext w:val="0"/>
              <w:spacing w:after="20"/>
              <w:ind w:left="238" w:hanging="193"/>
            </w:pPr>
            <w:r>
              <w:rPr>
                <w:sz w:val="19"/>
              </w:rPr>
              <w:t>Business-level auditing</w:t>
            </w:r>
          </w:p>
        </w:tc>
      </w:tr>
    </w:tbl>
    <w:p>
      <w:pPr>
        <w:spacing w:after="40"/>
      </w:pPr>
    </w:p>
    <w:p>
      <w:pPr>
        <w:pStyle w:val="Heading2"/>
      </w:pPr>
      <w:r>
        <w:t>12.2</w:t>
        <w:tab/>
        <w:t>Gateway and WAF</w:t>
      </w:r>
    </w:p>
    <w:p>
      <w:pPr>
        <w:pStyle w:val="Requirement"/>
        <w:keepNext w:val="0"/>
      </w:pPr>
      <w:r>
        <w:rPr>
          <w:b/>
          <w:color w:val="1F3864"/>
          <w:sz w:val="19"/>
        </w:rPr>
        <w:t>GW-BND-001</w:t>
      </w:r>
      <w:r>
        <w:tab/>
      </w:r>
      <w:r>
        <w:t xml:space="preserve">The Gateway </w:t>
      </w:r>
      <w:r>
        <w:rPr>
          <w:b/>
        </w:rPr>
        <w:t>shall not</w:t>
      </w:r>
      <w:r>
        <w:t xml:space="preserve"> attempt to become a WAF.</w:t>
      </w:r>
    </w:p>
    <w:p>
      <w:pPr>
        <w:pStyle w:val="Requirement"/>
        <w:keepNext w:val="0"/>
      </w:pPr>
      <w:r>
        <w:rPr>
          <w:b/>
          <w:color w:val="1F3864"/>
          <w:sz w:val="19"/>
        </w:rPr>
        <w:t>GW-BND-002</w:t>
      </w:r>
      <w:r>
        <w:tab/>
      </w:r>
      <w:r>
        <w:t xml:space="preserve">A WAF </w:t>
      </w:r>
      <w:r>
        <w:rPr>
          <w:b/>
        </w:rPr>
        <w:t>may</w:t>
      </w:r>
      <w:r>
        <w:t xml:space="preserve"> be placed in front of the Gateway when the security architecture requires it.</w:t>
      </w:r>
    </w:p>
    <w:p>
      <w:pPr>
        <w:pStyle w:val="Heading2"/>
      </w:pPr>
      <w:r>
        <w:t>12.3</w:t>
        <w:tab/>
        <w:t>Gateway and Load Balancer</w:t>
      </w:r>
    </w:p>
    <w:p>
      <w:pPr>
        <w:pStyle w:val="Requirement"/>
        <w:keepNext w:val="0"/>
      </w:pPr>
      <w:r>
        <w:rPr>
          <w:b/>
          <w:color w:val="1F3864"/>
          <w:sz w:val="19"/>
        </w:rPr>
        <w:t>GW-BND-003</w:t>
      </w:r>
      <w:r>
        <w:tab/>
      </w:r>
      <w:r>
        <w:t xml:space="preserve">The Gateway and the organization's Load Balancer </w:t>
      </w:r>
      <w:r>
        <w:rPr>
          <w:b/>
        </w:rPr>
        <w:t>may</w:t>
      </w:r>
      <w:r>
        <w:t xml:space="preserve"> coexist.</w:t>
      </w:r>
    </w:p>
    <w:p>
      <w:pPr>
        <w:pStyle w:val="Requirement"/>
        <w:keepNext w:val="0"/>
      </w:pPr>
      <w:r>
        <w:rPr>
          <w:b/>
          <w:color w:val="1F3864"/>
          <w:sz w:val="19"/>
        </w:rPr>
        <w:t>GW-BND-004</w:t>
      </w:r>
      <w:r>
        <w:tab/>
      </w:r>
      <w:r>
        <w:t xml:space="preserve">The boundary between the Gateway and the Load Balancer </w:t>
      </w:r>
      <w:r>
        <w:rPr>
          <w:b/>
        </w:rPr>
        <w:t>should</w:t>
      </w:r>
      <w:r>
        <w:t xml:space="preserve"> be clearly defined, as described in Section 5.3.</w:t>
      </w:r>
    </w:p>
    <w:p>
      <w:pPr>
        <w:pStyle w:val="Heading2"/>
      </w:pPr>
      <w:r>
        <w:t>12.4</w:t>
        <w:tab/>
        <w:t>Gateway and Identity Provider</w:t>
      </w:r>
    </w:p>
    <w:p>
      <w:r>
        <w:t>The Gateway does not need to be the organization's Identity Provider.</w:t>
      </w:r>
    </w:p>
    <w:p>
      <w:pPr>
        <w:pStyle w:val="Requirement"/>
        <w:keepNext w:val="0"/>
      </w:pPr>
      <w:r>
        <w:rPr>
          <w:b/>
          <w:color w:val="1F3864"/>
          <w:sz w:val="19"/>
        </w:rPr>
        <w:t>GW-BND-005</w:t>
      </w:r>
      <w:r>
        <w:tab/>
      </w:r>
      <w:r>
        <w:t xml:space="preserve">The Gateway </w:t>
      </w:r>
      <w:r>
        <w:rPr>
          <w:b/>
        </w:rPr>
        <w:t>shall</w:t>
      </w:r>
      <w:r>
        <w:t xml:space="preserve"> consume identity and validate the tokens issued by the Identity Provider.</w:t>
      </w:r>
    </w:p>
    <w:p>
      <w:pPr>
        <w:pStyle w:val="Requirement"/>
        <w:keepNext w:val="0"/>
      </w:pPr>
      <w:r>
        <w:rPr>
          <w:b/>
          <w:color w:val="1F3864"/>
          <w:sz w:val="19"/>
        </w:rPr>
        <w:t>GW-BND-006</w:t>
      </w:r>
      <w:r>
        <w:tab/>
      </w:r>
      <w:r>
        <w:t xml:space="preserve">The Identity Provider </w:t>
      </w:r>
      <w:r>
        <w:rPr>
          <w:b/>
        </w:rPr>
        <w:t>shall</w:t>
      </w:r>
      <w:r>
        <w:t xml:space="preserve"> remain responsible for user authentication, client authentication, token issuance and identity lifecycle.</w:t>
      </w:r>
    </w:p>
    <w:p>
      <w:pPr>
        <w:pStyle w:val="Heading2"/>
      </w:pPr>
      <w:r>
        <w:t>12.5</w:t>
        <w:tab/>
        <w:t>Gateway and application</w:t>
      </w:r>
    </w:p>
    <w:p>
      <w:pPr>
        <w:pStyle w:val="Requirement"/>
        <w:keepNext w:val="0"/>
      </w:pPr>
      <w:r>
        <w:rPr>
          <w:b/>
          <w:color w:val="1F3864"/>
          <w:sz w:val="19"/>
        </w:rPr>
        <w:t>GW-BND-007</w:t>
      </w:r>
      <w:r>
        <w:tab/>
      </w:r>
      <w:r>
        <w:t xml:space="preserve">The Gateway </w:t>
      </w:r>
      <w:r>
        <w:rPr>
          <w:b/>
        </w:rPr>
        <w:t>shall</w:t>
      </w:r>
      <w:r>
        <w:t xml:space="preserve"> provide infrastructure-level protection.</w:t>
      </w:r>
    </w:p>
    <w:p>
      <w:pPr>
        <w:pStyle w:val="Requirement"/>
        <w:keepNext w:val="0"/>
      </w:pPr>
      <w:r>
        <w:rPr>
          <w:b/>
          <w:color w:val="1F3864"/>
          <w:sz w:val="19"/>
        </w:rPr>
        <w:t>GW-BND-008</w:t>
      </w:r>
      <w:r>
        <w:tab/>
      </w:r>
      <w:r>
        <w:t xml:space="preserve">The application </w:t>
      </w:r>
      <w:r>
        <w:rPr>
          <w:b/>
        </w:rPr>
        <w:t>shall</w:t>
      </w:r>
      <w:r>
        <w:t xml:space="preserve"> remain responsible for business authorization, business validation, business logic, data access control and business-level auditing.</w:t>
      </w:r>
    </w:p>
    <w:p>
      <w:r>
        <w:t>The division of authorization decisions is illustrated in Table 8.</w:t>
      </w:r>
    </w:p>
    <w:p>
      <w:pPr>
        <w:pStyle w:val="Heading1"/>
        <w:spacing w:before="520"/>
      </w:pPr>
      <w:r>
        <w:t>13</w:t>
        <w:tab/>
        <w:t>Vendor Neutrality</w:t>
      </w:r>
    </w:p>
    <w:p>
      <w:pPr>
        <w:pStyle w:val="Heading2"/>
      </w:pPr>
      <w:r>
        <w:t>13.1</w:t>
        <w:tab/>
        <w:t>Principle</w:t>
      </w:r>
    </w:p>
    <w:p>
      <w:pPr>
        <w:pStyle w:val="Requirement"/>
        <w:keepNext w:val="0"/>
      </w:pPr>
      <w:r>
        <w:rPr>
          <w:b/>
          <w:color w:val="1F3864"/>
          <w:sz w:val="19"/>
        </w:rPr>
        <w:t>GW-VND-001</w:t>
      </w:r>
      <w:r>
        <w:tab/>
      </w:r>
      <w:r>
        <w:t xml:space="preserve">The Gateway architecture </w:t>
      </w:r>
      <w:r>
        <w:rPr>
          <w:b/>
        </w:rPr>
        <w:t>should</w:t>
      </w:r>
      <w:r>
        <w:t xml:space="preserve"> minimize unnecessary vendor lock-in.</w:t>
      </w:r>
    </w:p>
    <w:p>
      <w:pPr>
        <w:pStyle w:val="Requirement"/>
        <w:keepNext/>
      </w:pPr>
      <w:r>
        <w:rPr>
          <w:b/>
          <w:color w:val="1F3864"/>
          <w:sz w:val="19"/>
        </w:rPr>
        <w:t>GW-VND-002</w:t>
      </w:r>
      <w:r>
        <w:tab/>
      </w:r>
      <w:r>
        <w:t xml:space="preserve">The following </w:t>
      </w:r>
      <w:r>
        <w:rPr>
          <w:b/>
        </w:rPr>
        <w:t>should</w:t>
      </w:r>
      <w:r>
        <w:t xml:space="preserve"> remain conceptually independent of any specific product:</w:t>
      </w:r>
    </w:p>
    <w:p>
      <w:pPr>
        <w:pStyle w:val="ListBullet"/>
        <w:keepNext/>
        <w:spacing w:after="40"/>
        <w:ind w:left="1928" w:hanging="283"/>
      </w:pPr>
      <w:r>
        <w:t>API contracts</w:t>
      </w:r>
    </w:p>
    <w:p>
      <w:pPr>
        <w:pStyle w:val="ListBullet"/>
        <w:keepNext/>
        <w:spacing w:after="40"/>
        <w:ind w:left="1928" w:hanging="283"/>
      </w:pPr>
      <w:r>
        <w:t>API lifecycle</w:t>
      </w:r>
    </w:p>
    <w:p>
      <w:pPr>
        <w:pStyle w:val="ListBullet"/>
        <w:keepNext/>
        <w:spacing w:after="40"/>
        <w:ind w:left="1928" w:hanging="283"/>
      </w:pPr>
      <w:r>
        <w:t>Authentication model</w:t>
      </w:r>
    </w:p>
    <w:p>
      <w:pPr>
        <w:pStyle w:val="ListBullet"/>
        <w:keepNext/>
        <w:spacing w:after="40"/>
        <w:ind w:left="1928" w:hanging="283"/>
      </w:pPr>
      <w:r>
        <w:t>Authorization model</w:t>
      </w:r>
    </w:p>
    <w:p>
      <w:pPr>
        <w:pStyle w:val="ListBullet"/>
        <w:keepNext/>
        <w:spacing w:after="40"/>
        <w:ind w:left="1928" w:hanging="283"/>
      </w:pPr>
      <w:r>
        <w:t>GitOps workflow</w:t>
      </w:r>
    </w:p>
    <w:p>
      <w:pPr>
        <w:pStyle w:val="ListBullet"/>
        <w:keepNext/>
        <w:spacing w:after="40"/>
        <w:ind w:left="1928" w:hanging="283"/>
      </w:pPr>
      <w:r>
        <w:t>Governance model</w:t>
      </w:r>
    </w:p>
    <w:p>
      <w:pPr>
        <w:pStyle w:val="ListBullet"/>
        <w:keepNext/>
        <w:spacing w:after="40"/>
        <w:ind w:left="1928" w:hanging="283"/>
      </w:pPr>
      <w:r>
        <w:t>Observability requirements</w:t>
      </w:r>
    </w:p>
    <w:p>
      <w:pPr>
        <w:pStyle w:val="ListBullet"/>
        <w:keepNext w:val="0"/>
        <w:spacing w:after="40"/>
        <w:ind w:left="1928" w:hanging="283"/>
      </w:pPr>
      <w:r>
        <w:t>Deployment model</w:t>
      </w:r>
    </w:p>
    <w:p>
      <w:pPr>
        <w:pStyle w:val="Heading2"/>
      </w:pPr>
      <w:r>
        <w:t>13.2</w:t>
        <w:tab/>
        <w:t>Vendor-specific capabilities</w:t>
      </w:r>
    </w:p>
    <w:p>
      <w:pPr>
        <w:pStyle w:val="Requirement"/>
        <w:keepNext w:val="0"/>
      </w:pPr>
      <w:r>
        <w:rPr>
          <w:b/>
          <w:color w:val="1F3864"/>
          <w:sz w:val="19"/>
        </w:rPr>
        <w:t>GW-VND-003</w:t>
      </w:r>
      <w:r>
        <w:tab/>
      </w:r>
      <w:r>
        <w:t xml:space="preserve">Vendor-specific capabilities </w:t>
      </w:r>
      <w:r>
        <w:rPr>
          <w:b/>
        </w:rPr>
        <w:t>may</w:t>
      </w:r>
      <w:r>
        <w:t xml:space="preserve"> be used when they provide significant value.</w:t>
      </w:r>
    </w:p>
    <w:p>
      <w:pPr>
        <w:pStyle w:val="Requirement"/>
        <w:keepNext w:val="0"/>
      </w:pPr>
      <w:r>
        <w:rPr>
          <w:b/>
          <w:color w:val="1F3864"/>
          <w:sz w:val="19"/>
        </w:rPr>
        <w:t>GW-VND-004</w:t>
      </w:r>
      <w:r>
        <w:tab/>
      </w:r>
      <w:r>
        <w:t xml:space="preserve">Vendor-specific capabilities that are used </w:t>
      </w:r>
      <w:r>
        <w:rPr>
          <w:b/>
        </w:rPr>
        <w:t>should</w:t>
      </w:r>
      <w:r>
        <w:t xml:space="preserve"> be identified as implementation-specific.</w:t>
      </w:r>
    </w:p>
    <w:p>
      <w:r>
        <w:t>The goal is not to guarantee zero migration effort. The goal is to ensure that:</w:t>
      </w:r>
    </w:p>
    <w:p>
      <w:pPr>
        <w:pStyle w:val="Note"/>
      </w:pPr>
      <w:r>
        <w:rPr>
          <w:b/>
        </w:rPr>
        <w:t>The organization's API architecture and policies are not unnecessarily defined by the implementation details of a single Gateway product.</w:t>
      </w:r>
    </w:p>
    <w:p>
      <w:pPr>
        <w:pStyle w:val="Heading1"/>
        <w:pageBreakBefore/>
        <w:spacing w:before="0"/>
        <w:ind w:left="0" w:firstLine="0"/>
      </w:pPr>
      <w:r>
        <w:t>Appendix A — Capability Summary and Requirements Register</w:t>
      </w:r>
    </w:p>
    <w:p>
      <w:pPr>
        <w:pStyle w:val="Heading2"/>
        <w:ind w:left="737"/>
      </w:pPr>
      <w:r>
        <w:t>A.1</w:t>
        <w:tab/>
        <w:t>Capability summary</w:t>
      </w:r>
    </w:p>
    <w:p>
      <w:r>
        <w:t xml:space="preserve">Table 16 summarizes the status of each capability. </w:t>
      </w:r>
      <w:r>
        <w:rPr>
          <w:b/>
        </w:rPr>
        <w:t>Required</w:t>
      </w:r>
      <w:r>
        <w:t xml:space="preserve"> means the Platform shall provide the capability and apply it. </w:t>
      </w:r>
      <w:r>
        <w:rPr>
          <w:b/>
        </w:rPr>
        <w:t>Required capability</w:t>
      </w:r>
      <w:r>
        <w:t xml:space="preserve"> means the Platform shall provide the capability, and the Application Team decides whether to enable it for a given API. </w:t>
      </w:r>
      <w:r>
        <w:rPr>
          <w:b/>
        </w:rPr>
        <w:t>Preferred</w:t>
      </w:r>
      <w:r>
        <w:t xml:space="preserve"> identifies the preferred operating model. The remaining entries identify responsibilities that lie outside the Gateway.</w:t>
      </w:r>
    </w:p>
    <w:p>
      <w:pPr>
        <w:pStyle w:val="Caption"/>
        <w:keepNext/>
      </w:pPr>
      <w:r>
        <w:t xml:space="preserve">Table </w:t>
      </w:r>
      <w:r>
        <w:fldChar w:fldCharType="begin"/>
      </w:r>
      <w:r>
        <w:instrText xml:space="preserve"> SEQ Table \* ARABIC </w:instrText>
      </w:r>
      <w:r>
        <w:fldChar w:fldCharType="separate"/>
      </w:r>
      <w:r>
        <w:t>16</w:t>
      </w:r>
      <w:r>
        <w:fldChar w:fldCharType="end"/>
      </w:r>
      <w:r>
        <w:t xml:space="preserve"> — Capability summary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175"/>
        <w:gridCol w:w="3061"/>
      </w:tblGrid>
      <w:tr>
        <w:trPr>
          <w:cantSplit/>
          <w:tblHeader/>
        </w:trPr>
        <w:tc>
          <w:tcPr>
            <w:tcW w:type="dxa" w:w="2835"/>
            <w:shd w:val="clear" w:color="auto" w:fill="1F3864"/>
          </w:tcPr>
          <w:p>
            <w:pPr>
              <w:pStyle w:val="TableText"/>
            </w:pPr>
            <w:r>
              <w:rPr>
                <w:b/>
                <w:color w:val="FFFFFF"/>
              </w:rPr>
              <w:t>Capability</w:t>
            </w:r>
          </w:p>
        </w:tc>
        <w:tc>
          <w:tcPr>
            <w:tcW w:type="dxa" w:w="3175"/>
            <w:shd w:val="clear" w:color="auto" w:fill="1F3864"/>
          </w:tcPr>
          <w:p>
            <w:pPr>
              <w:pStyle w:val="TableText"/>
            </w:pPr>
            <w:r>
              <w:rPr>
                <w:b/>
                <w:color w:val="FFFFFF"/>
              </w:rPr>
              <w:t>Status</w:t>
            </w:r>
          </w:p>
        </w:tc>
        <w:tc>
          <w:tcPr>
            <w:tcW w:type="dxa" w:w="3061"/>
            <w:shd w:val="clear" w:color="auto" w:fill="1F3864"/>
          </w:tcPr>
          <w:p>
            <w:pPr>
              <w:pStyle w:val="TableText"/>
            </w:pPr>
            <w:r>
              <w:rPr>
                <w:b/>
                <w:color w:val="FFFFFF"/>
              </w:rPr>
              <w:t>Specified in</w:t>
            </w:r>
          </w:p>
        </w:tc>
      </w:tr>
      <w:tr>
        <w:trPr>
          <w:cantSplit/>
        </w:trPr>
        <w:tc>
          <w:tcPr>
            <w:tcW w:type="dxa" w:w="2835"/>
            <w:shd w:val="clear" w:color="auto" w:fill="F2F5FA"/>
          </w:tcPr>
          <w:p>
            <w:pPr>
              <w:pStyle w:val="TableText"/>
            </w:pPr>
            <w:r>
              <w:rPr>
                <w:b/>
              </w:rPr>
              <w:t>API routing</w:t>
            </w:r>
          </w:p>
        </w:tc>
        <w:tc>
          <w:tcPr>
            <w:tcW w:type="dxa" w:w="3175"/>
          </w:tcPr>
          <w:p>
            <w:pPr>
              <w:pStyle w:val="TableText"/>
            </w:pPr>
            <w:r>
              <w:t>Required</w:t>
            </w:r>
          </w:p>
        </w:tc>
        <w:tc>
          <w:tcPr>
            <w:tcW w:type="dxa" w:w="3061"/>
          </w:tcPr>
          <w:p>
            <w:pPr>
              <w:pStyle w:val="TableText"/>
            </w:pPr>
            <w:r>
              <w:t>Section 5.1</w:t>
            </w:r>
          </w:p>
        </w:tc>
      </w:tr>
      <w:tr>
        <w:trPr>
          <w:cantSplit/>
        </w:trPr>
        <w:tc>
          <w:tcPr>
            <w:tcW w:type="dxa" w:w="2835"/>
            <w:shd w:val="clear" w:color="auto" w:fill="F2F5FA"/>
          </w:tcPr>
          <w:p>
            <w:pPr>
              <w:pStyle w:val="TableText"/>
            </w:pPr>
            <w:r>
              <w:rPr>
                <w:b/>
              </w:rPr>
              <w:t>Version routing</w:t>
            </w:r>
          </w:p>
        </w:tc>
        <w:tc>
          <w:tcPr>
            <w:tcW w:type="dxa" w:w="3175"/>
          </w:tcPr>
          <w:p>
            <w:pPr>
              <w:pStyle w:val="TableText"/>
            </w:pPr>
            <w:r>
              <w:t>Required</w:t>
            </w:r>
          </w:p>
        </w:tc>
        <w:tc>
          <w:tcPr>
            <w:tcW w:type="dxa" w:w="3061"/>
          </w:tcPr>
          <w:p>
            <w:pPr>
              <w:pStyle w:val="TableText"/>
            </w:pPr>
            <w:r>
              <w:t>Section 5.2</w:t>
            </w:r>
          </w:p>
        </w:tc>
      </w:tr>
      <w:tr>
        <w:trPr>
          <w:cantSplit/>
        </w:trPr>
        <w:tc>
          <w:tcPr>
            <w:tcW w:type="dxa" w:w="2835"/>
            <w:shd w:val="clear" w:color="auto" w:fill="F2F5FA"/>
          </w:tcPr>
          <w:p>
            <w:pPr>
              <w:pStyle w:val="TableText"/>
            </w:pPr>
            <w:r>
              <w:rPr>
                <w:b/>
              </w:rPr>
              <w:t>Health checks</w:t>
            </w:r>
          </w:p>
        </w:tc>
        <w:tc>
          <w:tcPr>
            <w:tcW w:type="dxa" w:w="3175"/>
          </w:tcPr>
          <w:p>
            <w:pPr>
              <w:pStyle w:val="TableText"/>
            </w:pPr>
            <w:r>
              <w:t>Required</w:t>
            </w:r>
          </w:p>
        </w:tc>
        <w:tc>
          <w:tcPr>
            <w:tcW w:type="dxa" w:w="3061"/>
          </w:tcPr>
          <w:p>
            <w:pPr>
              <w:pStyle w:val="TableText"/>
            </w:pPr>
            <w:r>
              <w:t>Section 5.4</w:t>
            </w:r>
          </w:p>
        </w:tc>
      </w:tr>
      <w:tr>
        <w:trPr>
          <w:cantSplit/>
        </w:trPr>
        <w:tc>
          <w:tcPr>
            <w:tcW w:type="dxa" w:w="2835"/>
            <w:shd w:val="clear" w:color="auto" w:fill="F2F5FA"/>
          </w:tcPr>
          <w:p>
            <w:pPr>
              <w:pStyle w:val="TableText"/>
            </w:pPr>
            <w:r>
              <w:rPr>
                <w:b/>
              </w:rPr>
              <w:t>Timeouts</w:t>
            </w:r>
          </w:p>
        </w:tc>
        <w:tc>
          <w:tcPr>
            <w:tcW w:type="dxa" w:w="3175"/>
          </w:tcPr>
          <w:p>
            <w:pPr>
              <w:pStyle w:val="TableText"/>
            </w:pPr>
            <w:r>
              <w:t>Required</w:t>
            </w:r>
          </w:p>
        </w:tc>
        <w:tc>
          <w:tcPr>
            <w:tcW w:type="dxa" w:w="3061"/>
          </w:tcPr>
          <w:p>
            <w:pPr>
              <w:pStyle w:val="TableText"/>
            </w:pPr>
            <w:r>
              <w:t>Section 5.5</w:t>
            </w:r>
          </w:p>
        </w:tc>
      </w:tr>
      <w:tr>
        <w:trPr>
          <w:cantSplit/>
        </w:trPr>
        <w:tc>
          <w:tcPr>
            <w:tcW w:type="dxa" w:w="2835"/>
            <w:shd w:val="clear" w:color="auto" w:fill="F2F5FA"/>
          </w:tcPr>
          <w:p>
            <w:pPr>
              <w:pStyle w:val="TableText"/>
            </w:pPr>
            <w:r>
              <w:rPr>
                <w:b/>
              </w:rPr>
              <w:t>Automatic retry</w:t>
            </w:r>
          </w:p>
        </w:tc>
        <w:tc>
          <w:tcPr>
            <w:tcW w:type="dxa" w:w="3175"/>
          </w:tcPr>
          <w:p>
            <w:pPr>
              <w:pStyle w:val="TableText"/>
            </w:pPr>
            <w:r>
              <w:t>Not recommended by default</w:t>
            </w:r>
          </w:p>
        </w:tc>
        <w:tc>
          <w:tcPr>
            <w:tcW w:type="dxa" w:w="3061"/>
          </w:tcPr>
          <w:p>
            <w:pPr>
              <w:pStyle w:val="TableText"/>
            </w:pPr>
            <w:r>
              <w:t>Section 5.6</w:t>
            </w:r>
          </w:p>
        </w:tc>
      </w:tr>
      <w:tr>
        <w:trPr>
          <w:cantSplit/>
        </w:trPr>
        <w:tc>
          <w:tcPr>
            <w:tcW w:type="dxa" w:w="2835"/>
            <w:shd w:val="clear" w:color="auto" w:fill="F2F5FA"/>
          </w:tcPr>
          <w:p>
            <w:pPr>
              <w:pStyle w:val="TableText"/>
            </w:pPr>
            <w:r>
              <w:rPr>
                <w:b/>
              </w:rPr>
              <w:t>Authentication</w:t>
            </w:r>
          </w:p>
        </w:tc>
        <w:tc>
          <w:tcPr>
            <w:tcW w:type="dxa" w:w="3175"/>
          </w:tcPr>
          <w:p>
            <w:pPr>
              <w:pStyle w:val="TableText"/>
            </w:pPr>
            <w:r>
              <w:t>Required</w:t>
            </w:r>
          </w:p>
        </w:tc>
        <w:tc>
          <w:tcPr>
            <w:tcW w:type="dxa" w:w="3061"/>
          </w:tcPr>
          <w:p>
            <w:pPr>
              <w:pStyle w:val="TableText"/>
            </w:pPr>
            <w:r>
              <w:t>Section 4.1, 4.2, 4.3</w:t>
            </w:r>
          </w:p>
        </w:tc>
      </w:tr>
      <w:tr>
        <w:trPr>
          <w:cantSplit/>
        </w:trPr>
        <w:tc>
          <w:tcPr>
            <w:tcW w:type="dxa" w:w="2835"/>
            <w:shd w:val="clear" w:color="auto" w:fill="F2F5FA"/>
          </w:tcPr>
          <w:p>
            <w:pPr>
              <w:pStyle w:val="TableText"/>
            </w:pPr>
            <w:r>
              <w:rPr>
                <w:b/>
              </w:rPr>
              <w:t>Authorization</w:t>
            </w:r>
          </w:p>
        </w:tc>
        <w:tc>
          <w:tcPr>
            <w:tcW w:type="dxa" w:w="3175"/>
          </w:tcPr>
          <w:p>
            <w:pPr>
              <w:pStyle w:val="TableText"/>
            </w:pPr>
            <w:r>
              <w:t>Required</w:t>
            </w:r>
          </w:p>
        </w:tc>
        <w:tc>
          <w:tcPr>
            <w:tcW w:type="dxa" w:w="3061"/>
          </w:tcPr>
          <w:p>
            <w:pPr>
              <w:pStyle w:val="TableText"/>
            </w:pPr>
            <w:r>
              <w:t>Section 4.4</w:t>
            </w:r>
          </w:p>
        </w:tc>
      </w:tr>
      <w:tr>
        <w:trPr>
          <w:cantSplit/>
        </w:trPr>
        <w:tc>
          <w:tcPr>
            <w:tcW w:type="dxa" w:w="2835"/>
            <w:shd w:val="clear" w:color="auto" w:fill="F2F5FA"/>
          </w:tcPr>
          <w:p>
            <w:pPr>
              <w:pStyle w:val="TableText"/>
            </w:pPr>
            <w:r>
              <w:rPr>
                <w:b/>
              </w:rPr>
              <w:t>Rate limiting</w:t>
            </w:r>
          </w:p>
        </w:tc>
        <w:tc>
          <w:tcPr>
            <w:tcW w:type="dxa" w:w="3175"/>
          </w:tcPr>
          <w:p>
            <w:pPr>
              <w:pStyle w:val="TableText"/>
            </w:pPr>
            <w:r>
              <w:t>Required capability</w:t>
            </w:r>
          </w:p>
        </w:tc>
        <w:tc>
          <w:tcPr>
            <w:tcW w:type="dxa" w:w="3061"/>
          </w:tcPr>
          <w:p>
            <w:pPr>
              <w:pStyle w:val="TableText"/>
            </w:pPr>
            <w:r>
              <w:t>Section 5.7</w:t>
            </w:r>
          </w:p>
        </w:tc>
      </w:tr>
      <w:tr>
        <w:trPr>
          <w:cantSplit/>
        </w:trPr>
        <w:tc>
          <w:tcPr>
            <w:tcW w:type="dxa" w:w="2835"/>
            <w:shd w:val="clear" w:color="auto" w:fill="F2F5FA"/>
          </w:tcPr>
          <w:p>
            <w:pPr>
              <w:pStyle w:val="TableText"/>
            </w:pPr>
            <w:r>
              <w:rPr>
                <w:b/>
              </w:rPr>
              <w:t>Transformation</w:t>
            </w:r>
          </w:p>
        </w:tc>
        <w:tc>
          <w:tcPr>
            <w:tcW w:type="dxa" w:w="3175"/>
          </w:tcPr>
          <w:p>
            <w:pPr>
              <w:pStyle w:val="TableText"/>
            </w:pPr>
            <w:r>
              <w:t>Required capability</w:t>
            </w:r>
          </w:p>
        </w:tc>
        <w:tc>
          <w:tcPr>
            <w:tcW w:type="dxa" w:w="3061"/>
          </w:tcPr>
          <w:p>
            <w:pPr>
              <w:pStyle w:val="TableText"/>
            </w:pPr>
            <w:r>
              <w:t>Section 6.1</w:t>
            </w:r>
          </w:p>
        </w:tc>
      </w:tr>
      <w:tr>
        <w:trPr>
          <w:cantSplit/>
        </w:trPr>
        <w:tc>
          <w:tcPr>
            <w:tcW w:type="dxa" w:w="2835"/>
            <w:shd w:val="clear" w:color="auto" w:fill="F2F5FA"/>
          </w:tcPr>
          <w:p>
            <w:pPr>
              <w:pStyle w:val="TableText"/>
            </w:pPr>
            <w:r>
              <w:rPr>
                <w:b/>
              </w:rPr>
              <w:t>Caching</w:t>
            </w:r>
          </w:p>
        </w:tc>
        <w:tc>
          <w:tcPr>
            <w:tcW w:type="dxa" w:w="3175"/>
          </w:tcPr>
          <w:p>
            <w:pPr>
              <w:pStyle w:val="TableText"/>
            </w:pPr>
            <w:r>
              <w:t>Required capability</w:t>
            </w:r>
          </w:p>
        </w:tc>
        <w:tc>
          <w:tcPr>
            <w:tcW w:type="dxa" w:w="3061"/>
          </w:tcPr>
          <w:p>
            <w:pPr>
              <w:pStyle w:val="TableText"/>
            </w:pPr>
            <w:r>
              <w:t>Section 6.2</w:t>
            </w:r>
          </w:p>
        </w:tc>
      </w:tr>
      <w:tr>
        <w:trPr>
          <w:cantSplit/>
        </w:trPr>
        <w:tc>
          <w:tcPr>
            <w:tcW w:type="dxa" w:w="2835"/>
            <w:shd w:val="clear" w:color="auto" w:fill="F2F5FA"/>
          </w:tcPr>
          <w:p>
            <w:pPr>
              <w:pStyle w:val="TableText"/>
            </w:pPr>
            <w:r>
              <w:rPr>
                <w:b/>
              </w:rPr>
              <w:t>Schema validation</w:t>
            </w:r>
          </w:p>
        </w:tc>
        <w:tc>
          <w:tcPr>
            <w:tcW w:type="dxa" w:w="3175"/>
          </w:tcPr>
          <w:p>
            <w:pPr>
              <w:pStyle w:val="TableText"/>
            </w:pPr>
            <w:r>
              <w:t>Required capability</w:t>
            </w:r>
          </w:p>
        </w:tc>
        <w:tc>
          <w:tcPr>
            <w:tcW w:type="dxa" w:w="3061"/>
          </w:tcPr>
          <w:p>
            <w:pPr>
              <w:pStyle w:val="TableText"/>
            </w:pPr>
            <w:r>
              <w:t>Section 6.3</w:t>
            </w:r>
          </w:p>
        </w:tc>
      </w:tr>
      <w:tr>
        <w:trPr>
          <w:cantSplit/>
        </w:trPr>
        <w:tc>
          <w:tcPr>
            <w:tcW w:type="dxa" w:w="2835"/>
            <w:shd w:val="clear" w:color="auto" w:fill="F2F5FA"/>
          </w:tcPr>
          <w:p>
            <w:pPr>
              <w:pStyle w:val="TableText"/>
            </w:pPr>
            <w:r>
              <w:rPr>
                <w:b/>
              </w:rPr>
              <w:t>API documentation</w:t>
            </w:r>
          </w:p>
        </w:tc>
        <w:tc>
          <w:tcPr>
            <w:tcW w:type="dxa" w:w="3175"/>
          </w:tcPr>
          <w:p>
            <w:pPr>
              <w:pStyle w:val="TableText"/>
            </w:pPr>
            <w:r>
              <w:t>Required</w:t>
            </w:r>
          </w:p>
        </w:tc>
        <w:tc>
          <w:tcPr>
            <w:tcW w:type="dxa" w:w="3061"/>
          </w:tcPr>
          <w:p>
            <w:pPr>
              <w:pStyle w:val="TableText"/>
            </w:pPr>
            <w:r>
              <w:t>Section 7.1, 7.5</w:t>
            </w:r>
          </w:p>
        </w:tc>
      </w:tr>
      <w:tr>
        <w:trPr>
          <w:cantSplit/>
        </w:trPr>
        <w:tc>
          <w:tcPr>
            <w:tcW w:type="dxa" w:w="2835"/>
            <w:shd w:val="clear" w:color="auto" w:fill="F2F5FA"/>
          </w:tcPr>
          <w:p>
            <w:pPr>
              <w:pStyle w:val="TableText"/>
            </w:pPr>
            <w:r>
              <w:rPr>
                <w:b/>
              </w:rPr>
              <w:t>Developer Portal</w:t>
            </w:r>
          </w:p>
        </w:tc>
        <w:tc>
          <w:tcPr>
            <w:tcW w:type="dxa" w:w="3175"/>
          </w:tcPr>
          <w:p>
            <w:pPr>
              <w:pStyle w:val="TableText"/>
            </w:pPr>
            <w:r>
              <w:t>Required</w:t>
            </w:r>
          </w:p>
        </w:tc>
        <w:tc>
          <w:tcPr>
            <w:tcW w:type="dxa" w:w="3061"/>
          </w:tcPr>
          <w:p>
            <w:pPr>
              <w:pStyle w:val="TableText"/>
            </w:pPr>
            <w:r>
              <w:t>Section 7.5</w:t>
            </w:r>
          </w:p>
        </w:tc>
      </w:tr>
      <w:tr>
        <w:trPr>
          <w:cantSplit/>
        </w:trPr>
        <w:tc>
          <w:tcPr>
            <w:tcW w:type="dxa" w:w="2835"/>
            <w:shd w:val="clear" w:color="auto" w:fill="F2F5FA"/>
          </w:tcPr>
          <w:p>
            <w:pPr>
              <w:pStyle w:val="TableText"/>
            </w:pPr>
            <w:r>
              <w:rPr>
                <w:b/>
              </w:rPr>
              <w:t>Git integration</w:t>
            </w:r>
          </w:p>
        </w:tc>
        <w:tc>
          <w:tcPr>
            <w:tcW w:type="dxa" w:w="3175"/>
          </w:tcPr>
          <w:p>
            <w:pPr>
              <w:pStyle w:val="TableText"/>
            </w:pPr>
            <w:r>
              <w:t>Required</w:t>
            </w:r>
          </w:p>
        </w:tc>
        <w:tc>
          <w:tcPr>
            <w:tcW w:type="dxa" w:w="3061"/>
          </w:tcPr>
          <w:p>
            <w:pPr>
              <w:pStyle w:val="TableText"/>
            </w:pPr>
            <w:r>
              <w:t>Section 8.1</w:t>
            </w:r>
          </w:p>
        </w:tc>
      </w:tr>
      <w:tr>
        <w:trPr>
          <w:cantSplit/>
        </w:trPr>
        <w:tc>
          <w:tcPr>
            <w:tcW w:type="dxa" w:w="2835"/>
            <w:shd w:val="clear" w:color="auto" w:fill="F2F5FA"/>
          </w:tcPr>
          <w:p>
            <w:pPr>
              <w:pStyle w:val="TableText"/>
            </w:pPr>
            <w:r>
              <w:rPr>
                <w:b/>
              </w:rPr>
              <w:t>GitOps</w:t>
            </w:r>
          </w:p>
        </w:tc>
        <w:tc>
          <w:tcPr>
            <w:tcW w:type="dxa" w:w="3175"/>
          </w:tcPr>
          <w:p>
            <w:pPr>
              <w:pStyle w:val="TableText"/>
            </w:pPr>
            <w:r>
              <w:t>Preferred operating model</w:t>
            </w:r>
          </w:p>
        </w:tc>
        <w:tc>
          <w:tcPr>
            <w:tcW w:type="dxa" w:w="3061"/>
          </w:tcPr>
          <w:p>
            <w:pPr>
              <w:pStyle w:val="TableText"/>
            </w:pPr>
            <w:r>
              <w:t>Section 8.2</w:t>
            </w:r>
          </w:p>
        </w:tc>
      </w:tr>
      <w:tr>
        <w:trPr>
          <w:cantSplit/>
        </w:trPr>
        <w:tc>
          <w:tcPr>
            <w:tcW w:type="dxa" w:w="2835"/>
            <w:shd w:val="clear" w:color="auto" w:fill="F2F5FA"/>
          </w:tcPr>
          <w:p>
            <w:pPr>
              <w:pStyle w:val="TableText"/>
            </w:pPr>
            <w:r>
              <w:rPr>
                <w:b/>
              </w:rPr>
              <w:t>Audit logs</w:t>
            </w:r>
          </w:p>
        </w:tc>
        <w:tc>
          <w:tcPr>
            <w:tcW w:type="dxa" w:w="3175"/>
          </w:tcPr>
          <w:p>
            <w:pPr>
              <w:pStyle w:val="TableText"/>
            </w:pPr>
            <w:r>
              <w:t>Required</w:t>
            </w:r>
          </w:p>
        </w:tc>
        <w:tc>
          <w:tcPr>
            <w:tcW w:type="dxa" w:w="3061"/>
          </w:tcPr>
          <w:p>
            <w:pPr>
              <w:pStyle w:val="TableText"/>
            </w:pPr>
            <w:r>
              <w:t>Section 9.3</w:t>
            </w:r>
          </w:p>
        </w:tc>
      </w:tr>
      <w:tr>
        <w:trPr>
          <w:cantSplit/>
        </w:trPr>
        <w:tc>
          <w:tcPr>
            <w:tcW w:type="dxa" w:w="2835"/>
            <w:shd w:val="clear" w:color="auto" w:fill="F2F5FA"/>
          </w:tcPr>
          <w:p>
            <w:pPr>
              <w:pStyle w:val="TableText"/>
            </w:pPr>
            <w:r>
              <w:rPr>
                <w:b/>
              </w:rPr>
              <w:t>Runtime logs</w:t>
            </w:r>
          </w:p>
        </w:tc>
        <w:tc>
          <w:tcPr>
            <w:tcW w:type="dxa" w:w="3175"/>
          </w:tcPr>
          <w:p>
            <w:pPr>
              <w:pStyle w:val="TableText"/>
            </w:pPr>
            <w:r>
              <w:t>Required</w:t>
            </w:r>
          </w:p>
        </w:tc>
        <w:tc>
          <w:tcPr>
            <w:tcW w:type="dxa" w:w="3061"/>
          </w:tcPr>
          <w:p>
            <w:pPr>
              <w:pStyle w:val="TableText"/>
            </w:pPr>
            <w:r>
              <w:t>Section 9.1</w:t>
            </w:r>
          </w:p>
        </w:tc>
      </w:tr>
      <w:tr>
        <w:trPr>
          <w:cantSplit/>
        </w:trPr>
        <w:tc>
          <w:tcPr>
            <w:tcW w:type="dxa" w:w="2835"/>
            <w:shd w:val="clear" w:color="auto" w:fill="F2F5FA"/>
          </w:tcPr>
          <w:p>
            <w:pPr>
              <w:pStyle w:val="TableText"/>
            </w:pPr>
            <w:r>
              <w:rPr>
                <w:b/>
              </w:rPr>
              <w:t>Metrics</w:t>
            </w:r>
          </w:p>
        </w:tc>
        <w:tc>
          <w:tcPr>
            <w:tcW w:type="dxa" w:w="3175"/>
          </w:tcPr>
          <w:p>
            <w:pPr>
              <w:pStyle w:val="TableText"/>
            </w:pPr>
            <w:r>
              <w:t>Required</w:t>
            </w:r>
          </w:p>
        </w:tc>
        <w:tc>
          <w:tcPr>
            <w:tcW w:type="dxa" w:w="3061"/>
          </w:tcPr>
          <w:p>
            <w:pPr>
              <w:pStyle w:val="TableText"/>
            </w:pPr>
            <w:r>
              <w:t>Section 9.2</w:t>
            </w:r>
          </w:p>
        </w:tc>
      </w:tr>
      <w:tr>
        <w:trPr>
          <w:cantSplit/>
        </w:trPr>
        <w:tc>
          <w:tcPr>
            <w:tcW w:type="dxa" w:w="2835"/>
            <w:shd w:val="clear" w:color="auto" w:fill="F2F5FA"/>
          </w:tcPr>
          <w:p>
            <w:pPr>
              <w:pStyle w:val="TableText"/>
            </w:pPr>
            <w:r>
              <w:rPr>
                <w:b/>
              </w:rPr>
              <w:t>High availability</w:t>
            </w:r>
          </w:p>
        </w:tc>
        <w:tc>
          <w:tcPr>
            <w:tcW w:type="dxa" w:w="3175"/>
          </w:tcPr>
          <w:p>
            <w:pPr>
              <w:pStyle w:val="TableText"/>
            </w:pPr>
            <w:r>
              <w:t>Required</w:t>
            </w:r>
          </w:p>
        </w:tc>
        <w:tc>
          <w:tcPr>
            <w:tcW w:type="dxa" w:w="3061"/>
          </w:tcPr>
          <w:p>
            <w:pPr>
              <w:pStyle w:val="TableText"/>
            </w:pPr>
            <w:r>
              <w:t>Section 10.1</w:t>
            </w:r>
          </w:p>
        </w:tc>
      </w:tr>
      <w:tr>
        <w:trPr>
          <w:cantSplit/>
        </w:trPr>
        <w:tc>
          <w:tcPr>
            <w:tcW w:type="dxa" w:w="2835"/>
            <w:shd w:val="clear" w:color="auto" w:fill="F2F5FA"/>
          </w:tcPr>
          <w:p>
            <w:pPr>
              <w:pStyle w:val="TableText"/>
            </w:pPr>
            <w:r>
              <w:rPr>
                <w:b/>
              </w:rPr>
              <w:t>Distributed Data Plane</w:t>
            </w:r>
          </w:p>
        </w:tc>
        <w:tc>
          <w:tcPr>
            <w:tcW w:type="dxa" w:w="3175"/>
          </w:tcPr>
          <w:p>
            <w:pPr>
              <w:pStyle w:val="TableText"/>
            </w:pPr>
            <w:r>
              <w:t>Required</w:t>
            </w:r>
          </w:p>
        </w:tc>
        <w:tc>
          <w:tcPr>
            <w:tcW w:type="dxa" w:w="3061"/>
          </w:tcPr>
          <w:p>
            <w:pPr>
              <w:pStyle w:val="TableText"/>
            </w:pPr>
            <w:r>
              <w:t>Section 10.3</w:t>
            </w:r>
          </w:p>
        </w:tc>
      </w:tr>
      <w:tr>
        <w:trPr>
          <w:cantSplit/>
        </w:trPr>
        <w:tc>
          <w:tcPr>
            <w:tcW w:type="dxa" w:w="2835"/>
            <w:shd w:val="clear" w:color="auto" w:fill="F2F5FA"/>
          </w:tcPr>
          <w:p>
            <w:pPr>
              <w:pStyle w:val="TableText"/>
            </w:pPr>
            <w:r>
              <w:rPr>
                <w:b/>
              </w:rPr>
              <w:t>Centralized management</w:t>
            </w:r>
          </w:p>
        </w:tc>
        <w:tc>
          <w:tcPr>
            <w:tcW w:type="dxa" w:w="3175"/>
          </w:tcPr>
          <w:p>
            <w:pPr>
              <w:pStyle w:val="TableText"/>
            </w:pPr>
            <w:r>
              <w:t>Preferred</w:t>
            </w:r>
          </w:p>
        </w:tc>
        <w:tc>
          <w:tcPr>
            <w:tcW w:type="dxa" w:w="3061"/>
          </w:tcPr>
          <w:p>
            <w:pPr>
              <w:pStyle w:val="TableText"/>
            </w:pPr>
            <w:r>
              <w:t>Section 10.4</w:t>
            </w:r>
          </w:p>
        </w:tc>
      </w:tr>
      <w:tr>
        <w:trPr>
          <w:cantSplit/>
        </w:trPr>
        <w:tc>
          <w:tcPr>
            <w:tcW w:type="dxa" w:w="2835"/>
            <w:shd w:val="clear" w:color="auto" w:fill="F2F5FA"/>
          </w:tcPr>
          <w:p>
            <w:pPr>
              <w:pStyle w:val="TableText"/>
            </w:pPr>
            <w:r>
              <w:rPr>
                <w:b/>
              </w:rPr>
              <w:t>WAF</w:t>
            </w:r>
          </w:p>
        </w:tc>
        <w:tc>
          <w:tcPr>
            <w:tcW w:type="dxa" w:w="3175"/>
          </w:tcPr>
          <w:p>
            <w:pPr>
              <w:pStyle w:val="TableText"/>
            </w:pPr>
            <w:r>
              <w:t>Separate component</w:t>
            </w:r>
          </w:p>
        </w:tc>
        <w:tc>
          <w:tcPr>
            <w:tcW w:type="dxa" w:w="3061"/>
          </w:tcPr>
          <w:p>
            <w:pPr>
              <w:pStyle w:val="TableText"/>
            </w:pPr>
            <w:r>
              <w:t>Section 12.2</w:t>
            </w:r>
          </w:p>
        </w:tc>
      </w:tr>
      <w:tr>
        <w:trPr>
          <w:cantSplit/>
        </w:trPr>
        <w:tc>
          <w:tcPr>
            <w:tcW w:type="dxa" w:w="2835"/>
            <w:shd w:val="clear" w:color="auto" w:fill="F2F5FA"/>
          </w:tcPr>
          <w:p>
            <w:pPr>
              <w:pStyle w:val="TableText"/>
            </w:pPr>
            <w:r>
              <w:rPr>
                <w:b/>
              </w:rPr>
              <w:t>Load Balancer</w:t>
            </w:r>
          </w:p>
        </w:tc>
        <w:tc>
          <w:tcPr>
            <w:tcW w:type="dxa" w:w="3175"/>
          </w:tcPr>
          <w:p>
            <w:pPr>
              <w:pStyle w:val="TableText"/>
            </w:pPr>
            <w:r>
              <w:t>Separate responsibility</w:t>
            </w:r>
          </w:p>
        </w:tc>
        <w:tc>
          <w:tcPr>
            <w:tcW w:type="dxa" w:w="3061"/>
          </w:tcPr>
          <w:p>
            <w:pPr>
              <w:pStyle w:val="TableText"/>
            </w:pPr>
            <w:r>
              <w:t>Section 5.3, 12.3</w:t>
            </w:r>
          </w:p>
        </w:tc>
      </w:tr>
      <w:tr>
        <w:trPr>
          <w:cantSplit/>
        </w:trPr>
        <w:tc>
          <w:tcPr>
            <w:tcW w:type="dxa" w:w="2835"/>
            <w:shd w:val="clear" w:color="auto" w:fill="F2F5FA"/>
          </w:tcPr>
          <w:p>
            <w:pPr>
              <w:pStyle w:val="TableText"/>
            </w:pPr>
            <w:r>
              <w:rPr>
                <w:b/>
              </w:rPr>
              <w:t>Business logic</w:t>
            </w:r>
          </w:p>
        </w:tc>
        <w:tc>
          <w:tcPr>
            <w:tcW w:type="dxa" w:w="3175"/>
          </w:tcPr>
          <w:p>
            <w:pPr>
              <w:pStyle w:val="TableText"/>
            </w:pPr>
            <w:r>
              <w:t>Application responsibility</w:t>
            </w:r>
          </w:p>
        </w:tc>
        <w:tc>
          <w:tcPr>
            <w:tcW w:type="dxa" w:w="3061"/>
          </w:tcPr>
          <w:p>
            <w:pPr>
              <w:pStyle w:val="TableText"/>
            </w:pPr>
            <w:r>
              <w:t>Section 2.2, 12.5</w:t>
            </w:r>
          </w:p>
        </w:tc>
      </w:tr>
      <w:tr>
        <w:trPr>
          <w:cantSplit/>
        </w:trPr>
        <w:tc>
          <w:tcPr>
            <w:tcW w:type="dxa" w:w="2835"/>
            <w:shd w:val="clear" w:color="auto" w:fill="F2F5FA"/>
          </w:tcPr>
          <w:p>
            <w:pPr>
              <w:pStyle w:val="TableText"/>
            </w:pPr>
            <w:r>
              <w:rPr>
                <w:b/>
              </w:rPr>
              <w:t>Secrets storage</w:t>
            </w:r>
          </w:p>
        </w:tc>
        <w:tc>
          <w:tcPr>
            <w:tcW w:type="dxa" w:w="3175"/>
          </w:tcPr>
          <w:p>
            <w:pPr>
              <w:pStyle w:val="TableText"/>
            </w:pPr>
            <w:r>
              <w:t>Separate secure system</w:t>
            </w:r>
          </w:p>
        </w:tc>
        <w:tc>
          <w:tcPr>
            <w:tcW w:type="dxa" w:w="3061"/>
          </w:tcPr>
          <w:p>
            <w:pPr>
              <w:pStyle w:val="TableText"/>
            </w:pPr>
            <w:r>
              <w:t>Section 8.3</w:t>
            </w:r>
          </w:p>
        </w:tc>
      </w:tr>
      <w:tr>
        <w:trPr>
          <w:cantSplit/>
        </w:trPr>
        <w:tc>
          <w:tcPr>
            <w:tcW w:type="dxa" w:w="2835"/>
            <w:shd w:val="clear" w:color="auto" w:fill="F2F5FA"/>
          </w:tcPr>
          <w:p>
            <w:pPr>
              <w:pStyle w:val="TableText"/>
            </w:pPr>
            <w:r>
              <w:rPr>
                <w:b/>
              </w:rPr>
              <w:t>Vendor neutrality</w:t>
            </w:r>
          </w:p>
        </w:tc>
        <w:tc>
          <w:tcPr>
            <w:tcW w:type="dxa" w:w="3175"/>
          </w:tcPr>
          <w:p>
            <w:pPr>
              <w:pStyle w:val="TableText"/>
            </w:pPr>
            <w:r>
              <w:t>Architectural principle</w:t>
            </w:r>
          </w:p>
        </w:tc>
        <w:tc>
          <w:tcPr>
            <w:tcW w:type="dxa" w:w="3061"/>
          </w:tcPr>
          <w:p>
            <w:pPr>
              <w:pStyle w:val="TableText"/>
            </w:pPr>
            <w:r>
              <w:t>Chapter 13</w:t>
            </w:r>
          </w:p>
        </w:tc>
      </w:tr>
    </w:tbl>
    <w:p>
      <w:pPr>
        <w:spacing w:after="40"/>
      </w:pPr>
    </w:p>
    <w:p>
      <w:pPr>
        <w:pStyle w:val="Heading2"/>
        <w:ind w:left="737"/>
      </w:pPr>
      <w:r>
        <w:t>A.2</w:t>
        <w:tab/>
        <w:t>Requirements register</w:t>
      </w:r>
    </w:p>
    <w:p>
      <w:r>
        <w:t>The register lists every numbered requirement in this document. It is generated from the requirement text, so it always matches the body of the document.</w:t>
      </w:r>
    </w:p>
    <w:p>
      <w:pPr>
        <w:pStyle w:val="Caption"/>
        <w:keepNext/>
      </w:pPr>
      <w:r>
        <w:t xml:space="preserve">Table </w:t>
      </w:r>
      <w:r>
        <w:fldChar w:fldCharType="begin"/>
      </w:r>
      <w:r>
        <w:instrText xml:space="preserve"> SEQ Table \* ARABIC </w:instrText>
      </w:r>
      <w:r>
        <w:fldChar w:fldCharType="separate"/>
      </w:r>
      <w:r>
        <w:t>17</w:t>
      </w:r>
      <w:r>
        <w:fldChar w:fldCharType="end"/>
      </w:r>
      <w:r>
        <w:t xml:space="preserve"> — Requirements by chapter and level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082"/>
        <w:gridCol w:w="1247"/>
        <w:gridCol w:w="1474"/>
        <w:gridCol w:w="1134"/>
        <w:gridCol w:w="1134"/>
      </w:tblGrid>
      <w:tr>
        <w:trPr>
          <w:cantSplit/>
          <w:tblHeader/>
        </w:trPr>
        <w:tc>
          <w:tcPr>
            <w:tcW w:type="dxa" w:w="4082"/>
            <w:shd w:val="clear" w:color="auto" w:fill="1F3864"/>
          </w:tcPr>
          <w:p>
            <w:pPr>
              <w:pStyle w:val="TableText"/>
            </w:pPr>
            <w:r>
              <w:rPr>
                <w:b/>
                <w:color w:val="FFFFFF"/>
              </w:rPr>
              <w:t>Chapter</w:t>
            </w:r>
          </w:p>
        </w:tc>
        <w:tc>
          <w:tcPr>
            <w:tcW w:type="dxa" w:w="1247"/>
            <w:shd w:val="clear" w:color="auto" w:fill="1F3864"/>
          </w:tcPr>
          <w:p>
            <w:pPr>
              <w:pStyle w:val="TableText"/>
            </w:pPr>
            <w:r>
              <w:rPr>
                <w:b/>
                <w:color w:val="FFFFFF"/>
              </w:rPr>
              <w:t>Mandatory</w:t>
            </w:r>
          </w:p>
        </w:tc>
        <w:tc>
          <w:tcPr>
            <w:tcW w:type="dxa" w:w="1474"/>
            <w:shd w:val="clear" w:color="auto" w:fill="1F3864"/>
          </w:tcPr>
          <w:p>
            <w:pPr>
              <w:pStyle w:val="TableText"/>
            </w:pPr>
            <w:r>
              <w:rPr>
                <w:b/>
                <w:color w:val="FFFFFF"/>
              </w:rPr>
              <w:t>Recommended</w:t>
            </w:r>
          </w:p>
        </w:tc>
        <w:tc>
          <w:tcPr>
            <w:tcW w:type="dxa" w:w="1134"/>
            <w:shd w:val="clear" w:color="auto" w:fill="1F3864"/>
          </w:tcPr>
          <w:p>
            <w:pPr>
              <w:pStyle w:val="TableText"/>
            </w:pPr>
            <w:r>
              <w:rPr>
                <w:b/>
                <w:color w:val="FFFFFF"/>
              </w:rPr>
              <w:t>Optional</w:t>
            </w:r>
          </w:p>
        </w:tc>
        <w:tc>
          <w:tcPr>
            <w:tcW w:type="dxa" w:w="1134"/>
            <w:shd w:val="clear" w:color="auto" w:fill="1F3864"/>
          </w:tcPr>
          <w:p>
            <w:pPr>
              <w:pStyle w:val="TableText"/>
            </w:pPr>
            <w:r>
              <w:rPr>
                <w:b/>
                <w:color w:val="FFFFFF"/>
              </w:rPr>
              <w:t>Total</w:t>
            </w:r>
          </w:p>
        </w:tc>
      </w:tr>
      <w:tr>
        <w:trPr>
          <w:cantSplit/>
        </w:trPr>
        <w:tc>
          <w:tcPr>
            <w:tcW w:type="dxa" w:w="4082"/>
          </w:tcPr>
          <w:p>
            <w:pPr>
              <w:pStyle w:val="TableText"/>
            </w:pPr>
            <w:r>
              <w:t>1  Introduction</w:t>
            </w:r>
          </w:p>
        </w:tc>
        <w:tc>
          <w:tcPr>
            <w:tcW w:type="dxa" w:w="1247"/>
          </w:tcPr>
          <w:p>
            <w:pPr>
              <w:pStyle w:val="TableText"/>
            </w:pPr>
            <w:r>
              <w:t>1</w:t>
            </w:r>
          </w:p>
        </w:tc>
        <w:tc>
          <w:tcPr>
            <w:tcW w:type="dxa" w:w="1474"/>
          </w:tcPr>
          <w:p>
            <w:pPr>
              <w:pStyle w:val="TableText"/>
            </w:pPr>
            <w:r>
              <w:t>2</w:t>
            </w:r>
          </w:p>
        </w:tc>
        <w:tc>
          <w:tcPr>
            <w:tcW w:type="dxa" w:w="1134"/>
          </w:tcPr>
          <w:p>
            <w:pPr>
              <w:pStyle w:val="TableText"/>
            </w:pPr>
            <w:r>
              <w:t>0</w:t>
            </w:r>
          </w:p>
        </w:tc>
        <w:tc>
          <w:tcPr>
            <w:tcW w:type="dxa" w:w="1134"/>
          </w:tcPr>
          <w:p>
            <w:pPr>
              <w:pStyle w:val="TableText"/>
            </w:pPr>
            <w:r>
              <w:t>3</w:t>
            </w:r>
          </w:p>
        </w:tc>
      </w:tr>
      <w:tr>
        <w:trPr>
          <w:cantSplit/>
        </w:trPr>
        <w:tc>
          <w:tcPr>
            <w:tcW w:type="dxa" w:w="4082"/>
          </w:tcPr>
          <w:p>
            <w:pPr>
              <w:pStyle w:val="TableText"/>
            </w:pPr>
            <w:r>
              <w:t>2  Architectural Principles</w:t>
            </w:r>
          </w:p>
        </w:tc>
        <w:tc>
          <w:tcPr>
            <w:tcW w:type="dxa" w:w="1247"/>
          </w:tcPr>
          <w:p>
            <w:pPr>
              <w:pStyle w:val="TableText"/>
            </w:pPr>
            <w:r>
              <w:t>5</w:t>
            </w:r>
          </w:p>
        </w:tc>
        <w:tc>
          <w:tcPr>
            <w:tcW w:type="dxa" w:w="1474"/>
          </w:tcPr>
          <w:p>
            <w:pPr>
              <w:pStyle w:val="TableText"/>
            </w:pPr>
            <w:r>
              <w:t>5</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3  Roles and Responsibilities</w:t>
            </w:r>
          </w:p>
        </w:tc>
        <w:tc>
          <w:tcPr>
            <w:tcW w:type="dxa" w:w="1247"/>
          </w:tcPr>
          <w:p>
            <w:pPr>
              <w:pStyle w:val="TableText"/>
            </w:pPr>
            <w:r>
              <w:t>1</w:t>
            </w:r>
          </w:p>
        </w:tc>
        <w:tc>
          <w:tcPr>
            <w:tcW w:type="dxa" w:w="1474"/>
          </w:tcPr>
          <w:p>
            <w:pPr>
              <w:pStyle w:val="TableText"/>
            </w:pPr>
            <w:r>
              <w:t>0</w:t>
            </w:r>
          </w:p>
        </w:tc>
        <w:tc>
          <w:tcPr>
            <w:tcW w:type="dxa" w:w="1134"/>
          </w:tcPr>
          <w:p>
            <w:pPr>
              <w:pStyle w:val="TableText"/>
            </w:pPr>
            <w:r>
              <w:t>0</w:t>
            </w:r>
          </w:p>
        </w:tc>
        <w:tc>
          <w:tcPr>
            <w:tcW w:type="dxa" w:w="1134"/>
          </w:tcPr>
          <w:p>
            <w:pPr>
              <w:pStyle w:val="TableText"/>
            </w:pPr>
            <w:r>
              <w:t>1</w:t>
            </w:r>
          </w:p>
        </w:tc>
      </w:tr>
      <w:tr>
        <w:trPr>
          <w:cantSplit/>
        </w:trPr>
        <w:tc>
          <w:tcPr>
            <w:tcW w:type="dxa" w:w="4082"/>
          </w:tcPr>
          <w:p>
            <w:pPr>
              <w:pStyle w:val="TableText"/>
            </w:pPr>
            <w:r>
              <w:t>4  Identity, Authentication and Authorization</w:t>
            </w:r>
          </w:p>
        </w:tc>
        <w:tc>
          <w:tcPr>
            <w:tcW w:type="dxa" w:w="1247"/>
          </w:tcPr>
          <w:p>
            <w:pPr>
              <w:pStyle w:val="TableText"/>
            </w:pPr>
            <w:r>
              <w:t>6</w:t>
            </w:r>
          </w:p>
        </w:tc>
        <w:tc>
          <w:tcPr>
            <w:tcW w:type="dxa" w:w="1474"/>
          </w:tcPr>
          <w:p>
            <w:pPr>
              <w:pStyle w:val="TableText"/>
            </w:pPr>
            <w:r>
              <w:t>6</w:t>
            </w:r>
          </w:p>
        </w:tc>
        <w:tc>
          <w:tcPr>
            <w:tcW w:type="dxa" w:w="1134"/>
          </w:tcPr>
          <w:p>
            <w:pPr>
              <w:pStyle w:val="TableText"/>
            </w:pPr>
            <w:r>
              <w:t>2</w:t>
            </w:r>
          </w:p>
        </w:tc>
        <w:tc>
          <w:tcPr>
            <w:tcW w:type="dxa" w:w="1134"/>
          </w:tcPr>
          <w:p>
            <w:pPr>
              <w:pStyle w:val="TableText"/>
            </w:pPr>
            <w:r>
              <w:t>14</w:t>
            </w:r>
          </w:p>
        </w:tc>
      </w:tr>
      <w:tr>
        <w:trPr>
          <w:cantSplit/>
        </w:trPr>
        <w:tc>
          <w:tcPr>
            <w:tcW w:type="dxa" w:w="4082"/>
          </w:tcPr>
          <w:p>
            <w:pPr>
              <w:pStyle w:val="TableText"/>
            </w:pPr>
            <w:r>
              <w:t>5  Traffic Management</w:t>
            </w:r>
          </w:p>
        </w:tc>
        <w:tc>
          <w:tcPr>
            <w:tcW w:type="dxa" w:w="1247"/>
          </w:tcPr>
          <w:p>
            <w:pPr>
              <w:pStyle w:val="TableText"/>
            </w:pPr>
            <w:r>
              <w:t>11</w:t>
            </w:r>
          </w:p>
        </w:tc>
        <w:tc>
          <w:tcPr>
            <w:tcW w:type="dxa" w:w="1474"/>
          </w:tcPr>
          <w:p>
            <w:pPr>
              <w:pStyle w:val="TableText"/>
            </w:pPr>
            <w:r>
              <w:t>3</w:t>
            </w:r>
          </w:p>
        </w:tc>
        <w:tc>
          <w:tcPr>
            <w:tcW w:type="dxa" w:w="1134"/>
          </w:tcPr>
          <w:p>
            <w:pPr>
              <w:pStyle w:val="TableText"/>
            </w:pPr>
            <w:r>
              <w:t>4</w:t>
            </w:r>
          </w:p>
        </w:tc>
        <w:tc>
          <w:tcPr>
            <w:tcW w:type="dxa" w:w="1134"/>
          </w:tcPr>
          <w:p>
            <w:pPr>
              <w:pStyle w:val="TableText"/>
            </w:pPr>
            <w:r>
              <w:t>18</w:t>
            </w:r>
          </w:p>
        </w:tc>
      </w:tr>
      <w:tr>
        <w:trPr>
          <w:cantSplit/>
        </w:trPr>
        <w:tc>
          <w:tcPr>
            <w:tcW w:type="dxa" w:w="4082"/>
          </w:tcPr>
          <w:p>
            <w:pPr>
              <w:pStyle w:val="TableText"/>
            </w:pPr>
            <w:r>
              <w:t>6  API Policy Capabilities</w:t>
            </w:r>
          </w:p>
        </w:tc>
        <w:tc>
          <w:tcPr>
            <w:tcW w:type="dxa" w:w="1247"/>
          </w:tcPr>
          <w:p>
            <w:pPr>
              <w:pStyle w:val="TableText"/>
            </w:pPr>
            <w:r>
              <w:t>7</w:t>
            </w:r>
          </w:p>
        </w:tc>
        <w:tc>
          <w:tcPr>
            <w:tcW w:type="dxa" w:w="1474"/>
          </w:tcPr>
          <w:p>
            <w:pPr>
              <w:pStyle w:val="TableText"/>
            </w:pPr>
            <w:r>
              <w:t>4</w:t>
            </w:r>
          </w:p>
        </w:tc>
        <w:tc>
          <w:tcPr>
            <w:tcW w:type="dxa" w:w="1134"/>
          </w:tcPr>
          <w:p>
            <w:pPr>
              <w:pStyle w:val="TableText"/>
            </w:pPr>
            <w:r>
              <w:t>2</w:t>
            </w:r>
          </w:p>
        </w:tc>
        <w:tc>
          <w:tcPr>
            <w:tcW w:type="dxa" w:w="1134"/>
          </w:tcPr>
          <w:p>
            <w:pPr>
              <w:pStyle w:val="TableText"/>
            </w:pPr>
            <w:r>
              <w:t>13</w:t>
            </w:r>
          </w:p>
        </w:tc>
      </w:tr>
      <w:tr>
        <w:trPr>
          <w:cantSplit/>
        </w:trPr>
        <w:tc>
          <w:tcPr>
            <w:tcW w:type="dxa" w:w="4082"/>
          </w:tcPr>
          <w:p>
            <w:pPr>
              <w:pStyle w:val="TableText"/>
            </w:pPr>
            <w:r>
              <w:t>7  API Contract, Lifecycle and Developer Portal</w:t>
            </w:r>
          </w:p>
        </w:tc>
        <w:tc>
          <w:tcPr>
            <w:tcW w:type="dxa" w:w="1247"/>
          </w:tcPr>
          <w:p>
            <w:pPr>
              <w:pStyle w:val="TableText"/>
            </w:pPr>
            <w:r>
              <w:t>6</w:t>
            </w:r>
          </w:p>
        </w:tc>
        <w:tc>
          <w:tcPr>
            <w:tcW w:type="dxa" w:w="1474"/>
          </w:tcPr>
          <w:p>
            <w:pPr>
              <w:pStyle w:val="TableText"/>
            </w:pPr>
            <w:r>
              <w:t>5</w:t>
            </w:r>
          </w:p>
        </w:tc>
        <w:tc>
          <w:tcPr>
            <w:tcW w:type="dxa" w:w="1134"/>
          </w:tcPr>
          <w:p>
            <w:pPr>
              <w:pStyle w:val="TableText"/>
            </w:pPr>
            <w:r>
              <w:t>0</w:t>
            </w:r>
          </w:p>
        </w:tc>
        <w:tc>
          <w:tcPr>
            <w:tcW w:type="dxa" w:w="1134"/>
          </w:tcPr>
          <w:p>
            <w:pPr>
              <w:pStyle w:val="TableText"/>
            </w:pPr>
            <w:r>
              <w:t>11</w:t>
            </w:r>
          </w:p>
        </w:tc>
      </w:tr>
      <w:tr>
        <w:trPr>
          <w:cantSplit/>
        </w:trPr>
        <w:tc>
          <w:tcPr>
            <w:tcW w:type="dxa" w:w="4082"/>
          </w:tcPr>
          <w:p>
            <w:pPr>
              <w:pStyle w:val="TableText"/>
            </w:pPr>
            <w:r>
              <w:t>8  Configuration Management</w:t>
            </w:r>
          </w:p>
        </w:tc>
        <w:tc>
          <w:tcPr>
            <w:tcW w:type="dxa" w:w="1247"/>
          </w:tcPr>
          <w:p>
            <w:pPr>
              <w:pStyle w:val="TableText"/>
            </w:pPr>
            <w:r>
              <w:t>4</w:t>
            </w:r>
          </w:p>
        </w:tc>
        <w:tc>
          <w:tcPr>
            <w:tcW w:type="dxa" w:w="1474"/>
          </w:tcPr>
          <w:p>
            <w:pPr>
              <w:pStyle w:val="TableText"/>
            </w:pPr>
            <w:r>
              <w:t>5</w:t>
            </w:r>
          </w:p>
        </w:tc>
        <w:tc>
          <w:tcPr>
            <w:tcW w:type="dxa" w:w="1134"/>
          </w:tcPr>
          <w:p>
            <w:pPr>
              <w:pStyle w:val="TableText"/>
            </w:pPr>
            <w:r>
              <w:t>0</w:t>
            </w:r>
          </w:p>
        </w:tc>
        <w:tc>
          <w:tcPr>
            <w:tcW w:type="dxa" w:w="1134"/>
          </w:tcPr>
          <w:p>
            <w:pPr>
              <w:pStyle w:val="TableText"/>
            </w:pPr>
            <w:r>
              <w:t>9</w:t>
            </w:r>
          </w:p>
        </w:tc>
      </w:tr>
      <w:tr>
        <w:trPr>
          <w:cantSplit/>
        </w:trPr>
        <w:tc>
          <w:tcPr>
            <w:tcW w:type="dxa" w:w="4082"/>
          </w:tcPr>
          <w:p>
            <w:pPr>
              <w:pStyle w:val="TableText"/>
            </w:pPr>
            <w:r>
              <w:t>9  Observability and Audit</w:t>
            </w:r>
          </w:p>
        </w:tc>
        <w:tc>
          <w:tcPr>
            <w:tcW w:type="dxa" w:w="1247"/>
          </w:tcPr>
          <w:p>
            <w:pPr>
              <w:pStyle w:val="TableText"/>
            </w:pPr>
            <w:r>
              <w:t>6</w:t>
            </w:r>
          </w:p>
        </w:tc>
        <w:tc>
          <w:tcPr>
            <w:tcW w:type="dxa" w:w="1474"/>
          </w:tcPr>
          <w:p>
            <w:pPr>
              <w:pStyle w:val="TableText"/>
            </w:pPr>
            <w:r>
              <w:t>4</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10  Availability and Deployment Architecture</w:t>
            </w:r>
          </w:p>
        </w:tc>
        <w:tc>
          <w:tcPr>
            <w:tcW w:type="dxa" w:w="1247"/>
          </w:tcPr>
          <w:p>
            <w:pPr>
              <w:pStyle w:val="TableText"/>
            </w:pPr>
            <w:r>
              <w:t>9</w:t>
            </w:r>
          </w:p>
        </w:tc>
        <w:tc>
          <w:tcPr>
            <w:tcW w:type="dxa" w:w="1474"/>
          </w:tcPr>
          <w:p>
            <w:pPr>
              <w:pStyle w:val="TableText"/>
            </w:pPr>
            <w:r>
              <w:t>5</w:t>
            </w:r>
          </w:p>
        </w:tc>
        <w:tc>
          <w:tcPr>
            <w:tcW w:type="dxa" w:w="1134"/>
          </w:tcPr>
          <w:p>
            <w:pPr>
              <w:pStyle w:val="TableText"/>
            </w:pPr>
            <w:r>
              <w:t>1</w:t>
            </w:r>
          </w:p>
        </w:tc>
        <w:tc>
          <w:tcPr>
            <w:tcW w:type="dxa" w:w="1134"/>
          </w:tcPr>
          <w:p>
            <w:pPr>
              <w:pStyle w:val="TableText"/>
            </w:pPr>
            <w:r>
              <w:t>15</w:t>
            </w:r>
          </w:p>
        </w:tc>
      </w:tr>
      <w:tr>
        <w:trPr>
          <w:cantSplit/>
        </w:trPr>
        <w:tc>
          <w:tcPr>
            <w:tcW w:type="dxa" w:w="4082"/>
          </w:tcPr>
          <w:p>
            <w:pPr>
              <w:pStyle w:val="TableText"/>
            </w:pPr>
            <w:r>
              <w:t>11  Governance and Exceptions</w:t>
            </w:r>
          </w:p>
        </w:tc>
        <w:tc>
          <w:tcPr>
            <w:tcW w:type="dxa" w:w="1247"/>
          </w:tcPr>
          <w:p>
            <w:pPr>
              <w:pStyle w:val="TableText"/>
            </w:pPr>
            <w:r>
              <w:t>1</w:t>
            </w:r>
          </w:p>
        </w:tc>
        <w:tc>
          <w:tcPr>
            <w:tcW w:type="dxa" w:w="1474"/>
          </w:tcPr>
          <w:p>
            <w:pPr>
              <w:pStyle w:val="TableText"/>
            </w:pPr>
            <w:r>
              <w:t>10</w:t>
            </w:r>
          </w:p>
        </w:tc>
        <w:tc>
          <w:tcPr>
            <w:tcW w:type="dxa" w:w="1134"/>
          </w:tcPr>
          <w:p>
            <w:pPr>
              <w:pStyle w:val="TableText"/>
            </w:pPr>
            <w:r>
              <w:t>1</w:t>
            </w:r>
          </w:p>
        </w:tc>
        <w:tc>
          <w:tcPr>
            <w:tcW w:type="dxa" w:w="1134"/>
          </w:tcPr>
          <w:p>
            <w:pPr>
              <w:pStyle w:val="TableText"/>
            </w:pPr>
            <w:r>
              <w:t>12</w:t>
            </w:r>
          </w:p>
        </w:tc>
      </w:tr>
      <w:tr>
        <w:trPr>
          <w:cantSplit/>
        </w:trPr>
        <w:tc>
          <w:tcPr>
            <w:tcW w:type="dxa" w:w="4082"/>
          </w:tcPr>
          <w:p>
            <w:pPr>
              <w:pStyle w:val="TableText"/>
            </w:pPr>
            <w:r>
              <w:t>12  Platform Boundaries</w:t>
            </w:r>
          </w:p>
        </w:tc>
        <w:tc>
          <w:tcPr>
            <w:tcW w:type="dxa" w:w="1247"/>
          </w:tcPr>
          <w:p>
            <w:pPr>
              <w:pStyle w:val="TableText"/>
            </w:pPr>
            <w:r>
              <w:t>5</w:t>
            </w:r>
          </w:p>
        </w:tc>
        <w:tc>
          <w:tcPr>
            <w:tcW w:type="dxa" w:w="1474"/>
          </w:tcPr>
          <w:p>
            <w:pPr>
              <w:pStyle w:val="TableText"/>
            </w:pPr>
            <w:r>
              <w:t>1</w:t>
            </w:r>
          </w:p>
        </w:tc>
        <w:tc>
          <w:tcPr>
            <w:tcW w:type="dxa" w:w="1134"/>
          </w:tcPr>
          <w:p>
            <w:pPr>
              <w:pStyle w:val="TableText"/>
            </w:pPr>
            <w:r>
              <w:t>2</w:t>
            </w:r>
          </w:p>
        </w:tc>
        <w:tc>
          <w:tcPr>
            <w:tcW w:type="dxa" w:w="1134"/>
          </w:tcPr>
          <w:p>
            <w:pPr>
              <w:pStyle w:val="TableText"/>
            </w:pPr>
            <w:r>
              <w:t>8</w:t>
            </w:r>
          </w:p>
        </w:tc>
      </w:tr>
      <w:tr>
        <w:trPr>
          <w:cantSplit/>
        </w:trPr>
        <w:tc>
          <w:tcPr>
            <w:tcW w:type="dxa" w:w="4082"/>
          </w:tcPr>
          <w:p>
            <w:pPr>
              <w:pStyle w:val="TableText"/>
            </w:pPr>
            <w:r>
              <w:t>13  Vendor Neutrality</w:t>
            </w:r>
          </w:p>
        </w:tc>
        <w:tc>
          <w:tcPr>
            <w:tcW w:type="dxa" w:w="1247"/>
          </w:tcPr>
          <w:p>
            <w:pPr>
              <w:pStyle w:val="TableText"/>
            </w:pPr>
            <w:r>
              <w:t>0</w:t>
            </w:r>
          </w:p>
        </w:tc>
        <w:tc>
          <w:tcPr>
            <w:tcW w:type="dxa" w:w="1474"/>
          </w:tcPr>
          <w:p>
            <w:pPr>
              <w:pStyle w:val="TableText"/>
            </w:pPr>
            <w:r>
              <w:t>3</w:t>
            </w:r>
          </w:p>
        </w:tc>
        <w:tc>
          <w:tcPr>
            <w:tcW w:type="dxa" w:w="1134"/>
          </w:tcPr>
          <w:p>
            <w:pPr>
              <w:pStyle w:val="TableText"/>
            </w:pPr>
            <w:r>
              <w:t>1</w:t>
            </w:r>
          </w:p>
        </w:tc>
        <w:tc>
          <w:tcPr>
            <w:tcW w:type="dxa" w:w="1134"/>
          </w:tcPr>
          <w:p>
            <w:pPr>
              <w:pStyle w:val="TableText"/>
            </w:pPr>
            <w:r>
              <w:t>4</w:t>
            </w:r>
          </w:p>
        </w:tc>
      </w:tr>
      <w:tr>
        <w:trPr>
          <w:cantSplit/>
        </w:trPr>
        <w:tc>
          <w:tcPr>
            <w:tcW w:type="dxa" w:w="4082"/>
          </w:tcPr>
          <w:p>
            <w:pPr>
              <w:pStyle w:val="TableText"/>
            </w:pPr>
            <w:r>
              <w:rPr>
                <w:b/>
              </w:rPr>
              <w:t>Total</w:t>
            </w:r>
          </w:p>
        </w:tc>
        <w:tc>
          <w:tcPr>
            <w:tcW w:type="dxa" w:w="1247"/>
          </w:tcPr>
          <w:p>
            <w:pPr>
              <w:pStyle w:val="TableText"/>
            </w:pPr>
            <w:r>
              <w:rPr>
                <w:b/>
              </w:rPr>
              <w:t>62</w:t>
            </w:r>
          </w:p>
        </w:tc>
        <w:tc>
          <w:tcPr>
            <w:tcW w:type="dxa" w:w="1474"/>
          </w:tcPr>
          <w:p>
            <w:pPr>
              <w:pStyle w:val="TableText"/>
            </w:pPr>
            <w:r>
              <w:rPr>
                <w:b/>
              </w:rPr>
              <w:t>53</w:t>
            </w:r>
          </w:p>
        </w:tc>
        <w:tc>
          <w:tcPr>
            <w:tcW w:type="dxa" w:w="1134"/>
          </w:tcPr>
          <w:p>
            <w:pPr>
              <w:pStyle w:val="TableText"/>
            </w:pPr>
            <w:r>
              <w:rPr>
                <w:b/>
              </w:rPr>
              <w:t>13</w:t>
            </w:r>
          </w:p>
        </w:tc>
        <w:tc>
          <w:tcPr>
            <w:tcW w:type="dxa" w:w="1134"/>
          </w:tcPr>
          <w:p>
            <w:pPr>
              <w:pStyle w:val="TableText"/>
            </w:pPr>
            <w:r>
              <w:rPr>
                <w:b/>
              </w:rPr>
              <w:t>128</w:t>
            </w:r>
          </w:p>
        </w:tc>
      </w:tr>
    </w:tbl>
    <w:p/>
    <w:p>
      <w:pPr>
        <w:pStyle w:val="Caption"/>
        <w:keepNext/>
      </w:pPr>
      <w:r>
        <w:t xml:space="preserve">Table </w:t>
      </w:r>
      <w:r>
        <w:fldChar w:fldCharType="begin"/>
      </w:r>
      <w:r>
        <w:instrText xml:space="preserve"> SEQ Table \* ARABIC </w:instrText>
      </w:r>
      <w:r>
        <w:fldChar w:fldCharType="separate"/>
      </w:r>
      <w:r>
        <w:t>18</w:t>
      </w:r>
      <w:r>
        <w:fldChar w:fldCharType="end"/>
      </w:r>
      <w:r>
        <w:t xml:space="preserve"> — Requirements register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5329"/>
        <w:gridCol w:w="1927"/>
      </w:tblGrid>
      <w:tr>
        <w:trPr>
          <w:cantSplit/>
          <w:tblHeader/>
        </w:trPr>
        <w:tc>
          <w:tcPr>
            <w:tcW w:type="dxa" w:w="1814"/>
            <w:shd w:val="clear" w:color="auto" w:fill="1F3864"/>
          </w:tcPr>
          <w:p>
            <w:pPr>
              <w:pStyle w:val="TableText"/>
            </w:pPr>
            <w:r>
              <w:rPr>
                <w:b/>
                <w:color w:val="FFFFFF"/>
              </w:rPr>
              <w:t>ID</w:t>
            </w:r>
          </w:p>
        </w:tc>
        <w:tc>
          <w:tcPr>
            <w:tcW w:type="dxa" w:w="5329"/>
            <w:shd w:val="clear" w:color="auto" w:fill="1F3864"/>
          </w:tcPr>
          <w:p>
            <w:pPr>
              <w:pStyle w:val="TableText"/>
            </w:pPr>
            <w:r>
              <w:rPr>
                <w:b/>
                <w:color w:val="FFFFFF"/>
              </w:rPr>
              <w:t>Section</w:t>
            </w:r>
          </w:p>
        </w:tc>
        <w:tc>
          <w:tcPr>
            <w:tcW w:type="dxa" w:w="1928"/>
            <w:shd w:val="clear" w:color="auto" w:fill="1F3864"/>
          </w:tcPr>
          <w:p>
            <w:pPr>
              <w:pStyle w:val="TableText"/>
            </w:pPr>
            <w:r>
              <w:rPr>
                <w:b/>
                <w:color w:val="FFFFFF"/>
              </w:rPr>
              <w:t>Level</w:t>
            </w:r>
          </w:p>
        </w:tc>
      </w:tr>
      <w:tr>
        <w:trPr>
          <w:cantSplit/>
        </w:trPr>
        <w:tc>
          <w:tcPr>
            <w:tcW w:type="dxa" w:w="1814"/>
            <w:shd w:val="clear" w:color="auto" w:fill="F2F5FA"/>
          </w:tcPr>
          <w:p>
            <w:pPr>
              <w:pStyle w:val="TableText"/>
            </w:pPr>
            <w:r>
              <w:rPr>
                <w:b/>
              </w:rPr>
              <w:t>GW-INT-001</w:t>
            </w:r>
          </w:p>
        </w:tc>
        <w:tc>
          <w:tcPr>
            <w:tcW w:type="dxa" w:w="5329"/>
          </w:tcPr>
          <w:p>
            <w:pPr>
              <w:pStyle w:val="TableText"/>
            </w:pPr>
            <w:r>
              <w:t>1.2 Scope</w:t>
            </w:r>
          </w:p>
        </w:tc>
        <w:tc>
          <w:tcPr>
            <w:tcW w:type="dxa" w:w="1928"/>
          </w:tcPr>
          <w:p>
            <w:pPr>
              <w:pStyle w:val="TableText"/>
            </w:pPr>
            <w:r>
              <w:t>Mandatory</w:t>
            </w:r>
          </w:p>
        </w:tc>
      </w:tr>
      <w:tr>
        <w:trPr>
          <w:cantSplit/>
        </w:trPr>
        <w:tc>
          <w:tcPr>
            <w:tcW w:type="dxa" w:w="1814"/>
            <w:shd w:val="clear" w:color="auto" w:fill="F2F5FA"/>
          </w:tcPr>
          <w:p>
            <w:pPr>
              <w:pStyle w:val="TableText"/>
            </w:pPr>
            <w:r>
              <w:rPr>
                <w:b/>
              </w:rPr>
              <w:t>GW-INT-002</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GW-INT-003</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GW-PRN-001</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GW-PRN-002</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GW-PRN-003</w:t>
            </w:r>
          </w:p>
        </w:tc>
        <w:tc>
          <w:tcPr>
            <w:tcW w:type="dxa" w:w="5329"/>
          </w:tcPr>
          <w:p>
            <w:pPr>
              <w:pStyle w:val="TableText"/>
            </w:pPr>
            <w:r>
              <w:t>2.2 Infrastructure, not business logic</w:t>
            </w:r>
          </w:p>
        </w:tc>
        <w:tc>
          <w:tcPr>
            <w:tcW w:type="dxa" w:w="1928"/>
          </w:tcPr>
          <w:p>
            <w:pPr>
              <w:pStyle w:val="TableText"/>
            </w:pPr>
            <w:r>
              <w:t>Mandatory</w:t>
            </w:r>
          </w:p>
        </w:tc>
      </w:tr>
      <w:tr>
        <w:trPr>
          <w:cantSplit/>
        </w:trPr>
        <w:tc>
          <w:tcPr>
            <w:tcW w:type="dxa" w:w="1814"/>
            <w:shd w:val="clear" w:color="auto" w:fill="F2F5FA"/>
          </w:tcPr>
          <w:p>
            <w:pPr>
              <w:pStyle w:val="TableText"/>
            </w:pPr>
            <w:r>
              <w:rPr>
                <w:b/>
              </w:rPr>
              <w:t>GW-PRN-004</w:t>
            </w:r>
          </w:p>
        </w:tc>
        <w:tc>
          <w:tcPr>
            <w:tcW w:type="dxa" w:w="5329"/>
          </w:tcPr>
          <w:p>
            <w:pPr>
              <w:pStyle w:val="TableText"/>
            </w:pPr>
            <w:r>
              <w:t>2.2 Infrastructure, not business logic</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GW-PRN-005</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GW-PRN-006</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GW-PRN-007</w:t>
            </w:r>
          </w:p>
        </w:tc>
        <w:tc>
          <w:tcPr>
            <w:tcW w:type="dxa" w:w="5329"/>
          </w:tcPr>
          <w:p>
            <w:pPr>
              <w:pStyle w:val="TableText"/>
            </w:pPr>
            <w:r>
              <w:t>2.3 Ownership</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GW-PRN-008</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GW-PRN-009</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GW-PRN-010</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GW-ROL-001</w:t>
            </w:r>
          </w:p>
        </w:tc>
        <w:tc>
          <w:tcPr>
            <w:tcW w:type="dxa" w:w="5329"/>
          </w:tcPr>
          <w:p>
            <w:pPr>
              <w:pStyle w:val="TableText"/>
            </w:pPr>
            <w:r>
              <w:t>3.2 Responsibility matrix</w:t>
            </w:r>
          </w:p>
        </w:tc>
        <w:tc>
          <w:tcPr>
            <w:tcW w:type="dxa" w:w="1928"/>
          </w:tcPr>
          <w:p>
            <w:pPr>
              <w:pStyle w:val="TableText"/>
            </w:pPr>
            <w:r>
              <w:t>Mandatory</w:t>
            </w:r>
          </w:p>
        </w:tc>
      </w:tr>
      <w:tr>
        <w:trPr>
          <w:cantSplit/>
        </w:trPr>
        <w:tc>
          <w:tcPr>
            <w:tcW w:type="dxa" w:w="1814"/>
            <w:shd w:val="clear" w:color="auto" w:fill="F2F5FA"/>
          </w:tcPr>
          <w:p>
            <w:pPr>
              <w:pStyle w:val="TableText"/>
            </w:pPr>
            <w:r>
              <w:rPr>
                <w:b/>
              </w:rPr>
              <w:t>GW-IAM-001</w:t>
            </w:r>
          </w:p>
        </w:tc>
        <w:tc>
          <w:tcPr>
            <w:tcW w:type="dxa" w:w="5329"/>
          </w:tcPr>
          <w:p>
            <w:pPr>
              <w:pStyle w:val="TableText"/>
            </w:pPr>
            <w:r>
              <w:t>4.1 Consumer categories</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GW-IAM-002</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GW-IAM-003</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GW-IAM-004</w:t>
            </w:r>
          </w:p>
        </w:tc>
        <w:tc>
          <w:tcPr>
            <w:tcW w:type="dxa" w:w="5329"/>
          </w:tcPr>
          <w:p>
            <w:pPr>
              <w:pStyle w:val="TableText"/>
            </w:pPr>
            <w:r>
              <w:t>4.2 C2B authentication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GW-IAM-005</w:t>
            </w:r>
          </w:p>
        </w:tc>
        <w:tc>
          <w:tcPr>
            <w:tcW w:type="dxa" w:w="5329"/>
          </w:tcPr>
          <w:p>
            <w:pPr>
              <w:pStyle w:val="TableText"/>
            </w:pPr>
            <w:r>
              <w:t>4.2 C2B authentication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GW-IAM-006</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GW-IAM-007</w:t>
            </w:r>
          </w:p>
        </w:tc>
        <w:tc>
          <w:tcPr>
            <w:tcW w:type="dxa" w:w="5329"/>
          </w:tcPr>
          <w:p>
            <w:pPr>
              <w:pStyle w:val="TableText"/>
            </w:pPr>
            <w:r>
              <w:t>4.2 C2B authentication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GW-IAM-008</w:t>
            </w:r>
          </w:p>
        </w:tc>
        <w:tc>
          <w:tcPr>
            <w:tcW w:type="dxa" w:w="5329"/>
          </w:tcPr>
          <w:p>
            <w:pPr>
              <w:pStyle w:val="TableText"/>
            </w:pPr>
            <w:r>
              <w:t>4.3 B2B authentication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GW-IAM-009</w:t>
            </w:r>
          </w:p>
        </w:tc>
        <w:tc>
          <w:tcPr>
            <w:tcW w:type="dxa" w:w="5329"/>
          </w:tcPr>
          <w:p>
            <w:pPr>
              <w:pStyle w:val="TableText"/>
            </w:pPr>
            <w:r>
              <w:t>4.3 B2B authentication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GW-IAM-010</w:t>
            </w:r>
          </w:p>
        </w:tc>
        <w:tc>
          <w:tcPr>
            <w:tcW w:type="dxa" w:w="5329"/>
          </w:tcPr>
          <w:p>
            <w:pPr>
              <w:pStyle w:val="TableText"/>
            </w:pPr>
            <w:r>
              <w:t>4.3 B2B authentication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GW-IAM-011</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GW-IAM-012</w:t>
            </w:r>
          </w:p>
        </w:tc>
        <w:tc>
          <w:tcPr>
            <w:tcW w:type="dxa" w:w="5329"/>
          </w:tcPr>
          <w:p>
            <w:pPr>
              <w:pStyle w:val="TableText"/>
            </w:pPr>
            <w:r>
              <w:t>4.4 Authorization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GW-IAM-013</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GW-IAM-014</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GW-TRF-001</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GW-TRF-002</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GW-TRF-003</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GW-TRF-004</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GW-TRF-005</w:t>
            </w:r>
          </w:p>
        </w:tc>
        <w:tc>
          <w:tcPr>
            <w:tcW w:type="dxa" w:w="5329"/>
          </w:tcPr>
          <w:p>
            <w:pPr>
              <w:pStyle w:val="TableText"/>
            </w:pPr>
            <w:r>
              <w:t>5.3 Load balancing boundary</w:t>
            </w:r>
          </w:p>
        </w:tc>
        <w:tc>
          <w:tcPr>
            <w:tcW w:type="dxa" w:w="1928"/>
          </w:tcPr>
          <w:p>
            <w:pPr>
              <w:pStyle w:val="TableText"/>
            </w:pPr>
            <w:r>
              <w:t>Mandatory</w:t>
            </w:r>
          </w:p>
        </w:tc>
      </w:tr>
      <w:tr>
        <w:trPr>
          <w:cantSplit/>
        </w:trPr>
        <w:tc>
          <w:tcPr>
            <w:tcW w:type="dxa" w:w="1814"/>
            <w:shd w:val="clear" w:color="auto" w:fill="F2F5FA"/>
          </w:tcPr>
          <w:p>
            <w:pPr>
              <w:pStyle w:val="TableText"/>
            </w:pPr>
            <w:r>
              <w:rPr>
                <w:b/>
              </w:rPr>
              <w:t>GW-TRF-006</w:t>
            </w:r>
          </w:p>
        </w:tc>
        <w:tc>
          <w:tcPr>
            <w:tcW w:type="dxa" w:w="5329"/>
          </w:tcPr>
          <w:p>
            <w:pPr>
              <w:pStyle w:val="TableText"/>
            </w:pPr>
            <w:r>
              <w:t>5.3 Load balancing boundary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GW-TRF-007</w:t>
            </w:r>
          </w:p>
        </w:tc>
        <w:tc>
          <w:tcPr>
            <w:tcW w:type="dxa" w:w="5329"/>
          </w:tcPr>
          <w:p>
            <w:pPr>
              <w:pStyle w:val="TableText"/>
            </w:pPr>
            <w:r>
              <w:t>5.3 Load balancing boundary</w:t>
            </w:r>
          </w:p>
        </w:tc>
        <w:tc>
          <w:tcPr>
            <w:tcW w:type="dxa" w:w="1928"/>
          </w:tcPr>
          <w:p>
            <w:pPr>
              <w:pStyle w:val="TableText"/>
            </w:pPr>
            <w:r>
              <w:t>Optional</w:t>
            </w:r>
          </w:p>
        </w:tc>
      </w:tr>
      <w:tr>
        <w:trPr>
          <w:cantSplit/>
        </w:trPr>
        <w:tc>
          <w:tcPr>
            <w:tcW w:type="dxa" w:w="1814"/>
            <w:shd w:val="clear" w:color="auto" w:fill="F2F5FA"/>
          </w:tcPr>
          <w:p>
            <w:pPr>
              <w:pStyle w:val="TableText"/>
            </w:pPr>
            <w:r>
              <w:rPr>
                <w:b/>
              </w:rPr>
              <w:t>GW-TRF-008</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GW-TRF-009</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GW-TRF-010</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GW-TRF-011</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GW-TRF-012</w:t>
            </w:r>
          </w:p>
        </w:tc>
        <w:tc>
          <w:tcPr>
            <w:tcW w:type="dxa" w:w="5329"/>
          </w:tcPr>
          <w:p>
            <w:pPr>
              <w:pStyle w:val="TableText"/>
            </w:pPr>
            <w:r>
              <w:t>5.5 Timeouts</w:t>
            </w:r>
          </w:p>
        </w:tc>
        <w:tc>
          <w:tcPr>
            <w:tcW w:type="dxa" w:w="1928"/>
          </w:tcPr>
          <w:p>
            <w:pPr>
              <w:pStyle w:val="TableText"/>
            </w:pPr>
            <w:r>
              <w:t>Mandatory</w:t>
            </w:r>
          </w:p>
        </w:tc>
      </w:tr>
      <w:tr>
        <w:trPr>
          <w:cantSplit/>
        </w:trPr>
        <w:tc>
          <w:tcPr>
            <w:tcW w:type="dxa" w:w="1814"/>
            <w:shd w:val="clear" w:color="auto" w:fill="F2F5FA"/>
          </w:tcPr>
          <w:p>
            <w:pPr>
              <w:pStyle w:val="TableText"/>
            </w:pPr>
            <w:r>
              <w:rPr>
                <w:b/>
              </w:rPr>
              <w:t>GW-TRF-013</w:t>
            </w:r>
          </w:p>
        </w:tc>
        <w:tc>
          <w:tcPr>
            <w:tcW w:type="dxa" w:w="5329"/>
          </w:tcPr>
          <w:p>
            <w:pPr>
              <w:pStyle w:val="TableText"/>
            </w:pPr>
            <w:r>
              <w:t>5.5 Timeouts</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GW-TRF-014</w:t>
            </w:r>
          </w:p>
        </w:tc>
        <w:tc>
          <w:tcPr>
            <w:tcW w:type="dxa" w:w="5329"/>
          </w:tcPr>
          <w:p>
            <w:pPr>
              <w:pStyle w:val="TableText"/>
            </w:pPr>
            <w:r>
              <w:t>5.6 Retry policy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GW-TRF-015</w:t>
            </w:r>
          </w:p>
        </w:tc>
        <w:tc>
          <w:tcPr>
            <w:tcW w:type="dxa" w:w="5329"/>
          </w:tcPr>
          <w:p>
            <w:pPr>
              <w:pStyle w:val="TableText"/>
            </w:pPr>
            <w:r>
              <w:t>5.6 Retry policy</w:t>
            </w:r>
          </w:p>
        </w:tc>
        <w:tc>
          <w:tcPr>
            <w:tcW w:type="dxa" w:w="1928"/>
          </w:tcPr>
          <w:p>
            <w:pPr>
              <w:pStyle w:val="TableText"/>
            </w:pPr>
            <w:r>
              <w:t>Optional</w:t>
            </w:r>
          </w:p>
        </w:tc>
      </w:tr>
      <w:tr>
        <w:trPr>
          <w:cantSplit/>
        </w:trPr>
        <w:tc>
          <w:tcPr>
            <w:tcW w:type="dxa" w:w="1814"/>
            <w:shd w:val="clear" w:color="auto" w:fill="F2F5FA"/>
          </w:tcPr>
          <w:p>
            <w:pPr>
              <w:pStyle w:val="TableText"/>
            </w:pPr>
            <w:r>
              <w:rPr>
                <w:b/>
              </w:rPr>
              <w:t>GW-TRF-016</w:t>
            </w:r>
          </w:p>
        </w:tc>
        <w:tc>
          <w:tcPr>
            <w:tcW w:type="dxa" w:w="5329"/>
          </w:tcPr>
          <w:p>
            <w:pPr>
              <w:pStyle w:val="TableText"/>
            </w:pPr>
            <w:r>
              <w:t>5.7 Rate limiting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GW-TRF-017</w:t>
            </w:r>
          </w:p>
        </w:tc>
        <w:tc>
          <w:tcPr>
            <w:tcW w:type="dxa" w:w="5329"/>
          </w:tcPr>
          <w:p>
            <w:pPr>
              <w:pStyle w:val="TableText"/>
            </w:pPr>
            <w:r>
              <w:t>5.7 Rate limiting</w:t>
            </w:r>
          </w:p>
        </w:tc>
        <w:tc>
          <w:tcPr>
            <w:tcW w:type="dxa" w:w="1928"/>
          </w:tcPr>
          <w:p>
            <w:pPr>
              <w:pStyle w:val="TableText"/>
            </w:pPr>
            <w:r>
              <w:t>Optional</w:t>
            </w:r>
          </w:p>
        </w:tc>
      </w:tr>
      <w:tr>
        <w:trPr>
          <w:cantSplit/>
        </w:trPr>
        <w:tc>
          <w:tcPr>
            <w:tcW w:type="dxa" w:w="1814"/>
            <w:shd w:val="clear" w:color="auto" w:fill="F2F5FA"/>
          </w:tcPr>
          <w:p>
            <w:pPr>
              <w:pStyle w:val="TableText"/>
            </w:pPr>
            <w:r>
              <w:rPr>
                <w:b/>
              </w:rPr>
              <w:t>GW-TRF-018</w:t>
            </w:r>
          </w:p>
        </w:tc>
        <w:tc>
          <w:tcPr>
            <w:tcW w:type="dxa" w:w="5329"/>
          </w:tcPr>
          <w:p>
            <w:pPr>
              <w:pStyle w:val="TableText"/>
            </w:pPr>
            <w:r>
              <w:t>5.7 Rate limiting</w:t>
            </w:r>
          </w:p>
        </w:tc>
        <w:tc>
          <w:tcPr>
            <w:tcW w:type="dxa" w:w="1928"/>
          </w:tcPr>
          <w:p>
            <w:pPr>
              <w:pStyle w:val="TableText"/>
            </w:pPr>
            <w:r>
              <w:t>Optional</w:t>
            </w:r>
          </w:p>
        </w:tc>
      </w:tr>
      <w:tr>
        <w:trPr>
          <w:cantSplit/>
        </w:trPr>
        <w:tc>
          <w:tcPr>
            <w:tcW w:type="dxa" w:w="1814"/>
            <w:shd w:val="clear" w:color="auto" w:fill="F2F5FA"/>
          </w:tcPr>
          <w:p>
            <w:pPr>
              <w:pStyle w:val="TableText"/>
            </w:pPr>
            <w:r>
              <w:rPr>
                <w:b/>
              </w:rPr>
              <w:t>GW-POL-001</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GW-POL-002</w:t>
            </w:r>
          </w:p>
        </w:tc>
        <w:tc>
          <w:tcPr>
            <w:tcW w:type="dxa" w:w="5329"/>
          </w:tcPr>
          <w:p>
            <w:pPr>
              <w:pStyle w:val="TableText"/>
            </w:pPr>
            <w:r>
              <w:t>6.1 Transformation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GW-POL-003</w:t>
            </w:r>
          </w:p>
        </w:tc>
        <w:tc>
          <w:tcPr>
            <w:tcW w:type="dxa" w:w="5329"/>
          </w:tcPr>
          <w:p>
            <w:pPr>
              <w:pStyle w:val="TableText"/>
            </w:pPr>
            <w:r>
              <w:t>6.1 Transformation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GW-POL-004</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GW-POL-005</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GW-POL-006</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GW-POL-007</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GW-POL-008</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GW-POL-009</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GW-POL-010</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GW-POL-011</w:t>
            </w:r>
          </w:p>
        </w:tc>
        <w:tc>
          <w:tcPr>
            <w:tcW w:type="dxa" w:w="5329"/>
          </w:tcPr>
          <w:p>
            <w:pPr>
              <w:pStyle w:val="TableText"/>
            </w:pPr>
            <w:r>
              <w:t>6.3 Schema validation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GW-POL-012</w:t>
            </w:r>
          </w:p>
        </w:tc>
        <w:tc>
          <w:tcPr>
            <w:tcW w:type="dxa" w:w="5329"/>
          </w:tcPr>
          <w:p>
            <w:pPr>
              <w:pStyle w:val="TableText"/>
            </w:pPr>
            <w:r>
              <w:t>6.3 Schema validation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GW-POL-013</w:t>
            </w:r>
          </w:p>
        </w:tc>
        <w:tc>
          <w:tcPr>
            <w:tcW w:type="dxa" w:w="5329"/>
          </w:tcPr>
          <w:p>
            <w:pPr>
              <w:pStyle w:val="TableText"/>
            </w:pPr>
            <w:r>
              <w:t>6.3 Schema validation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GW-LCY-001</w:t>
            </w:r>
          </w:p>
        </w:tc>
        <w:tc>
          <w:tcPr>
            <w:tcW w:type="dxa" w:w="5329"/>
          </w:tcPr>
          <w:p>
            <w:pPr>
              <w:pStyle w:val="TableText"/>
            </w:pPr>
            <w:r>
              <w:t>7.1 API contract</w:t>
            </w:r>
          </w:p>
        </w:tc>
        <w:tc>
          <w:tcPr>
            <w:tcW w:type="dxa" w:w="1928"/>
          </w:tcPr>
          <w:p>
            <w:pPr>
              <w:pStyle w:val="TableText"/>
            </w:pPr>
            <w:r>
              <w:t>Mandatory</w:t>
            </w:r>
          </w:p>
        </w:tc>
      </w:tr>
      <w:tr>
        <w:trPr>
          <w:cantSplit/>
        </w:trPr>
        <w:tc>
          <w:tcPr>
            <w:tcW w:type="dxa" w:w="1814"/>
            <w:shd w:val="clear" w:color="auto" w:fill="F2F5FA"/>
          </w:tcPr>
          <w:p>
            <w:pPr>
              <w:pStyle w:val="TableText"/>
            </w:pPr>
            <w:r>
              <w:rPr>
                <w:b/>
              </w:rPr>
              <w:t>GW-LCY-002</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GW-LCY-003</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GW-LCY-004</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GW-LCY-005</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GW-LCY-006</w:t>
            </w:r>
          </w:p>
        </w:tc>
        <w:tc>
          <w:tcPr>
            <w:tcW w:type="dxa" w:w="5329"/>
          </w:tcPr>
          <w:p>
            <w:pPr>
              <w:pStyle w:val="TableText"/>
            </w:pPr>
            <w:r>
              <w:t>7.3 Deprecation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GW-LCY-007</w:t>
            </w:r>
          </w:p>
        </w:tc>
        <w:tc>
          <w:tcPr>
            <w:tcW w:type="dxa" w:w="5329"/>
          </w:tcPr>
          <w:p>
            <w:pPr>
              <w:pStyle w:val="TableText"/>
            </w:pPr>
            <w:r>
              <w:t>7.4 Consumer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GW-LCY-008</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GW-LCY-009</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GW-LCY-010</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GW-LCY-011</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GW-CFG-001</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GW-CFG-002</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GW-CFG-003</w:t>
            </w:r>
          </w:p>
        </w:tc>
        <w:tc>
          <w:tcPr>
            <w:tcW w:type="dxa" w:w="5329"/>
          </w:tcPr>
          <w:p>
            <w:pPr>
              <w:pStyle w:val="TableText"/>
            </w:pPr>
            <w:r>
              <w:t>8.1 Git as the source of truth</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GW-CFG-004</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GW-CFG-005</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GW-CFG-006</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GW-CFG-007</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GW-CFG-008</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GW-CFG-009</w:t>
            </w:r>
          </w:p>
        </w:tc>
        <w:tc>
          <w:tcPr>
            <w:tcW w:type="dxa" w:w="5329"/>
          </w:tcPr>
          <w:p>
            <w:pPr>
              <w:pStyle w:val="TableText"/>
            </w:pPr>
            <w:r>
              <w:t>8.3 Secrets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GW-OBS-001</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GW-OBS-002</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GW-OBS-003</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GW-OBS-004</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GW-OBS-005</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GW-OBS-006</w:t>
            </w:r>
          </w:p>
        </w:tc>
        <w:tc>
          <w:tcPr>
            <w:tcW w:type="dxa" w:w="5329"/>
          </w:tcPr>
          <w:p>
            <w:pPr>
              <w:pStyle w:val="TableText"/>
            </w:pPr>
            <w:r>
              <w:t>9.2 Metrics</w:t>
            </w:r>
          </w:p>
        </w:tc>
        <w:tc>
          <w:tcPr>
            <w:tcW w:type="dxa" w:w="1928"/>
          </w:tcPr>
          <w:p>
            <w:pPr>
              <w:pStyle w:val="TableText"/>
            </w:pPr>
            <w:r>
              <w:t>Mandatory</w:t>
            </w:r>
          </w:p>
        </w:tc>
      </w:tr>
      <w:tr>
        <w:trPr>
          <w:cantSplit/>
        </w:trPr>
        <w:tc>
          <w:tcPr>
            <w:tcW w:type="dxa" w:w="1814"/>
            <w:shd w:val="clear" w:color="auto" w:fill="F2F5FA"/>
          </w:tcPr>
          <w:p>
            <w:pPr>
              <w:pStyle w:val="TableText"/>
            </w:pPr>
            <w:r>
              <w:rPr>
                <w:b/>
              </w:rPr>
              <w:t>GW-OBS-007</w:t>
            </w:r>
          </w:p>
        </w:tc>
        <w:tc>
          <w:tcPr>
            <w:tcW w:type="dxa" w:w="5329"/>
          </w:tcPr>
          <w:p>
            <w:pPr>
              <w:pStyle w:val="TableText"/>
            </w:pPr>
            <w:r>
              <w:t>9.2 Metrics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GW-OBS-008</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GW-OBS-009</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GW-OBS-010</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GW-AVL-001</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GW-AVL-002</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GW-AVL-003</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GW-AVL-004</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GW-AVL-005</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GW-AVL-006</w:t>
            </w:r>
          </w:p>
        </w:tc>
        <w:tc>
          <w:tcPr>
            <w:tcW w:type="dxa" w:w="5329"/>
          </w:tcPr>
          <w:p>
            <w:pPr>
              <w:pStyle w:val="TableText"/>
            </w:pPr>
            <w:r>
              <w:t>10.2 Controlled reset</w:t>
            </w:r>
          </w:p>
        </w:tc>
        <w:tc>
          <w:tcPr>
            <w:tcW w:type="dxa" w:w="1928"/>
          </w:tcPr>
          <w:p>
            <w:pPr>
              <w:pStyle w:val="TableText"/>
            </w:pPr>
            <w:r>
              <w:t>Mandatory</w:t>
            </w:r>
          </w:p>
        </w:tc>
      </w:tr>
      <w:tr>
        <w:trPr>
          <w:cantSplit/>
        </w:trPr>
        <w:tc>
          <w:tcPr>
            <w:tcW w:type="dxa" w:w="1814"/>
            <w:shd w:val="clear" w:color="auto" w:fill="F2F5FA"/>
          </w:tcPr>
          <w:p>
            <w:pPr>
              <w:pStyle w:val="TableText"/>
            </w:pPr>
            <w:r>
              <w:rPr>
                <w:b/>
              </w:rPr>
              <w:t>GW-AVL-007</w:t>
            </w:r>
          </w:p>
        </w:tc>
        <w:tc>
          <w:tcPr>
            <w:tcW w:type="dxa" w:w="5329"/>
          </w:tcPr>
          <w:p>
            <w:pPr>
              <w:pStyle w:val="TableText"/>
            </w:pPr>
            <w:r>
              <w:t>10.3 Distributed deployment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GW-AVL-008</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GW-AVL-009</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GW-AVL-010</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GW-AVL-011</w:t>
            </w:r>
          </w:p>
        </w:tc>
        <w:tc>
          <w:tcPr>
            <w:tcW w:type="dxa" w:w="5329"/>
          </w:tcPr>
          <w:p>
            <w:pPr>
              <w:pStyle w:val="TableText"/>
            </w:pPr>
            <w:r>
              <w:t>10.4 Centralized management and distributed runtime</w:t>
            </w:r>
          </w:p>
        </w:tc>
        <w:tc>
          <w:tcPr>
            <w:tcW w:type="dxa" w:w="1928"/>
          </w:tcPr>
          <w:p>
            <w:pPr>
              <w:pStyle w:val="TableText"/>
            </w:pPr>
            <w:r>
              <w:t>Optional</w:t>
            </w:r>
          </w:p>
        </w:tc>
      </w:tr>
      <w:tr>
        <w:trPr>
          <w:cantSplit/>
        </w:trPr>
        <w:tc>
          <w:tcPr>
            <w:tcW w:type="dxa" w:w="1814"/>
            <w:shd w:val="clear" w:color="auto" w:fill="F2F5FA"/>
          </w:tcPr>
          <w:p>
            <w:pPr>
              <w:pStyle w:val="TableText"/>
            </w:pPr>
            <w:r>
              <w:rPr>
                <w:b/>
              </w:rPr>
              <w:t>GW-AVL-012</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GW-AVL-013</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GW-AVL-014</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GW-AVL-015</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GW-GOV-001</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GW-GOV-002</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GW-GOV-003</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GW-GOV-004</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GW-GOV-005</w:t>
            </w:r>
          </w:p>
        </w:tc>
        <w:tc>
          <w:tcPr>
            <w:tcW w:type="dxa" w:w="5329"/>
          </w:tcPr>
          <w:p>
            <w:pPr>
              <w:pStyle w:val="TableText"/>
            </w:pPr>
            <w:r>
              <w:t>11.4 Guidelines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GW-GOV-006</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GW-GOV-007</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GW-GOV-008</w:t>
            </w:r>
          </w:p>
        </w:tc>
        <w:tc>
          <w:tcPr>
            <w:tcW w:type="dxa" w:w="5329"/>
          </w:tcPr>
          <w:p>
            <w:pPr>
              <w:pStyle w:val="TableText"/>
            </w:pPr>
            <w:r>
              <w:t>11.5 Organizational governance</w:t>
            </w:r>
          </w:p>
        </w:tc>
        <w:tc>
          <w:tcPr>
            <w:tcW w:type="dxa" w:w="1928"/>
          </w:tcPr>
          <w:p>
            <w:pPr>
              <w:pStyle w:val="TableText"/>
            </w:pPr>
            <w:r>
              <w:t>Optional</w:t>
            </w:r>
          </w:p>
        </w:tc>
      </w:tr>
      <w:tr>
        <w:trPr>
          <w:cantSplit/>
        </w:trPr>
        <w:tc>
          <w:tcPr>
            <w:tcW w:type="dxa" w:w="1814"/>
            <w:shd w:val="clear" w:color="auto" w:fill="F2F5FA"/>
          </w:tcPr>
          <w:p>
            <w:pPr>
              <w:pStyle w:val="TableText"/>
            </w:pPr>
            <w:r>
              <w:rPr>
                <w:b/>
              </w:rPr>
              <w:t>GW-GOV-009</w:t>
            </w:r>
          </w:p>
        </w:tc>
        <w:tc>
          <w:tcPr>
            <w:tcW w:type="dxa" w:w="5329"/>
          </w:tcPr>
          <w:p>
            <w:pPr>
              <w:pStyle w:val="TableText"/>
            </w:pPr>
            <w:r>
              <w:t>11.5 Organizational governance</w:t>
            </w:r>
          </w:p>
        </w:tc>
        <w:tc>
          <w:tcPr>
            <w:tcW w:type="dxa" w:w="1928"/>
          </w:tcPr>
          <w:p>
            <w:pPr>
              <w:pStyle w:val="TableText"/>
            </w:pPr>
            <w:r>
              <w:t>Mandatory</w:t>
            </w:r>
          </w:p>
        </w:tc>
      </w:tr>
      <w:tr>
        <w:trPr>
          <w:cantSplit/>
        </w:trPr>
        <w:tc>
          <w:tcPr>
            <w:tcW w:type="dxa" w:w="1814"/>
            <w:shd w:val="clear" w:color="auto" w:fill="F2F5FA"/>
          </w:tcPr>
          <w:p>
            <w:pPr>
              <w:pStyle w:val="TableText"/>
            </w:pPr>
            <w:r>
              <w:rPr>
                <w:b/>
              </w:rPr>
              <w:t>GW-GOV-010</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GW-GOV-011</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GW-GOV-012</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GW-BND-001</w:t>
            </w:r>
          </w:p>
        </w:tc>
        <w:tc>
          <w:tcPr>
            <w:tcW w:type="dxa" w:w="5329"/>
          </w:tcPr>
          <w:p>
            <w:pPr>
              <w:pStyle w:val="TableText"/>
            </w:pPr>
            <w:r>
              <w:t>12.2 Gateway and WAF</w:t>
            </w:r>
          </w:p>
        </w:tc>
        <w:tc>
          <w:tcPr>
            <w:tcW w:type="dxa" w:w="1928"/>
          </w:tcPr>
          <w:p>
            <w:pPr>
              <w:pStyle w:val="TableText"/>
            </w:pPr>
            <w:r>
              <w:t>Mandatory</w:t>
            </w:r>
          </w:p>
        </w:tc>
      </w:tr>
      <w:tr>
        <w:trPr>
          <w:cantSplit/>
        </w:trPr>
        <w:tc>
          <w:tcPr>
            <w:tcW w:type="dxa" w:w="1814"/>
            <w:shd w:val="clear" w:color="auto" w:fill="F2F5FA"/>
          </w:tcPr>
          <w:p>
            <w:pPr>
              <w:pStyle w:val="TableText"/>
            </w:pPr>
            <w:r>
              <w:rPr>
                <w:b/>
              </w:rPr>
              <w:t>GW-BND-002</w:t>
            </w:r>
          </w:p>
        </w:tc>
        <w:tc>
          <w:tcPr>
            <w:tcW w:type="dxa" w:w="5329"/>
          </w:tcPr>
          <w:p>
            <w:pPr>
              <w:pStyle w:val="TableText"/>
            </w:pPr>
            <w:r>
              <w:t>12.2 Gateway and WAF</w:t>
            </w:r>
          </w:p>
        </w:tc>
        <w:tc>
          <w:tcPr>
            <w:tcW w:type="dxa" w:w="1928"/>
          </w:tcPr>
          <w:p>
            <w:pPr>
              <w:pStyle w:val="TableText"/>
            </w:pPr>
            <w:r>
              <w:t>Optional</w:t>
            </w:r>
          </w:p>
        </w:tc>
      </w:tr>
      <w:tr>
        <w:trPr>
          <w:cantSplit/>
        </w:trPr>
        <w:tc>
          <w:tcPr>
            <w:tcW w:type="dxa" w:w="1814"/>
            <w:shd w:val="clear" w:color="auto" w:fill="F2F5FA"/>
          </w:tcPr>
          <w:p>
            <w:pPr>
              <w:pStyle w:val="TableText"/>
            </w:pPr>
            <w:r>
              <w:rPr>
                <w:b/>
              </w:rPr>
              <w:t>GW-BND-003</w:t>
            </w:r>
          </w:p>
        </w:tc>
        <w:tc>
          <w:tcPr>
            <w:tcW w:type="dxa" w:w="5329"/>
          </w:tcPr>
          <w:p>
            <w:pPr>
              <w:pStyle w:val="TableText"/>
            </w:pPr>
            <w:r>
              <w:t>12.3 Gateway and Load Balancer</w:t>
            </w:r>
          </w:p>
        </w:tc>
        <w:tc>
          <w:tcPr>
            <w:tcW w:type="dxa" w:w="1928"/>
          </w:tcPr>
          <w:p>
            <w:pPr>
              <w:pStyle w:val="TableText"/>
            </w:pPr>
            <w:r>
              <w:t>Optional</w:t>
            </w:r>
          </w:p>
        </w:tc>
      </w:tr>
      <w:tr>
        <w:trPr>
          <w:cantSplit/>
        </w:trPr>
        <w:tc>
          <w:tcPr>
            <w:tcW w:type="dxa" w:w="1814"/>
            <w:shd w:val="clear" w:color="auto" w:fill="F2F5FA"/>
          </w:tcPr>
          <w:p>
            <w:pPr>
              <w:pStyle w:val="TableText"/>
            </w:pPr>
            <w:r>
              <w:rPr>
                <w:b/>
              </w:rPr>
              <w:t>GW-BND-004</w:t>
            </w:r>
          </w:p>
        </w:tc>
        <w:tc>
          <w:tcPr>
            <w:tcW w:type="dxa" w:w="5329"/>
          </w:tcPr>
          <w:p>
            <w:pPr>
              <w:pStyle w:val="TableText"/>
            </w:pPr>
            <w:r>
              <w:t>12.3 Gateway and Load Balancer</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GW-BND-005</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GW-BND-006</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GW-BND-007</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GW-BND-008</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GW-VND-001</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GW-VND-002</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GW-VND-003</w:t>
            </w:r>
          </w:p>
        </w:tc>
        <w:tc>
          <w:tcPr>
            <w:tcW w:type="dxa" w:w="5329"/>
          </w:tcPr>
          <w:p>
            <w:pPr>
              <w:pStyle w:val="TableText"/>
            </w:pPr>
            <w:r>
              <w:t>13.2 Vendor-specific capabilities</w:t>
            </w:r>
          </w:p>
        </w:tc>
        <w:tc>
          <w:tcPr>
            <w:tcW w:type="dxa" w:w="1928"/>
          </w:tcPr>
          <w:p>
            <w:pPr>
              <w:pStyle w:val="TableText"/>
            </w:pPr>
            <w:r>
              <w:t>Optional</w:t>
            </w:r>
          </w:p>
        </w:tc>
      </w:tr>
      <w:tr>
        <w:trPr>
          <w:cantSplit/>
        </w:trPr>
        <w:tc>
          <w:tcPr>
            <w:tcW w:type="dxa" w:w="1814"/>
            <w:shd w:val="clear" w:color="auto" w:fill="F2F5FA"/>
          </w:tcPr>
          <w:p>
            <w:pPr>
              <w:pStyle w:val="TableText"/>
            </w:pPr>
            <w:r>
              <w:rPr>
                <w:b/>
              </w:rPr>
              <w:t>GW-VND-004</w:t>
            </w:r>
          </w:p>
        </w:tc>
        <w:tc>
          <w:tcPr>
            <w:tcW w:type="dxa" w:w="5329"/>
          </w:tcPr>
          <w:p>
            <w:pPr>
              <w:pStyle w:val="TableText"/>
            </w:pPr>
            <w:r>
              <w:t>13.2 Vendor-specific capabilities</w:t>
            </w:r>
          </w:p>
        </w:tc>
        <w:tc>
          <w:tcPr>
            <w:tcW w:type="dxa" w:w="1928"/>
          </w:tcPr>
          <w:p>
            <w:pPr>
              <w:pStyle w:val="TableText"/>
            </w:pPr>
            <w:r>
              <w:t>Recommended</w:t>
            </w:r>
          </w:p>
        </w:tc>
      </w:tr>
    </w:tbl>
    <w:p>
      <w:pPr>
        <w:pStyle w:val="Heading1"/>
        <w:pageBreakBefore/>
        <w:spacing w:before="0"/>
        <w:ind w:left="0" w:firstLine="0"/>
      </w:pPr>
      <w:r>
        <w:t>Appendix B — Operating Model</w:t>
      </w:r>
    </w:p>
    <w:p>
      <w:r>
        <w:t>Figure 6 summarizes the operating model. Application Teams operate their APIs through the Platform by defining them in Git. The Infrastructure Team owns the Platform, which combines central management with a distributed Data Plane and enforces the capabilities described in this document. Organizational governance defines the standards that the Platform implements as guardrails.</w:t>
      </w:r>
    </w:p>
    <w:p>
      <w:pPr>
        <w:keepNext/>
        <w:spacing w:before="120" w:after="40"/>
        <w:jc w:val="center"/>
      </w:pPr>
      <w:r>
        <w:drawing>
          <wp:inline xmlns:a="http://schemas.openxmlformats.org/drawingml/2006/main" xmlns:pic="http://schemas.openxmlformats.org/drawingml/2006/picture">
            <wp:extent cx="5220000" cy="4138714"/>
            <wp:docPr id="6" name="Picture 6" descr="Diagram. The Application Team defines API definitions, consumers, authorization policy, rate limits, versioning, documentation and lifecycle as code in Git. Git and GitOps deploy the approved configuration to the API Gateway Platform, owned by the Infrastructure Team, which provides authentication, authorization, routing, health checks, timeouts, rate limiting, transformation, caching, schema validation, logging and audit through a distributed Data Plane with a Gateway per site in front of backend services. Central Management, the Management Plane, configures the platform. Organizational governance and standards are implemented as guardrails through the Management Plane." title="API Gateway operating model"/>
            <wp:cNvGraphicFramePr>
              <a:graphicFrameLocks noChangeAspect="1"/>
            </wp:cNvGraphicFramePr>
            <a:graphic>
              <a:graphicData uri="http://schemas.openxmlformats.org/drawingml/2006/picture">
                <pic:pic>
                  <pic:nvPicPr>
                    <pic:cNvPr id="0" name="fig_operating_model.png"/>
                    <pic:cNvPicPr/>
                  </pic:nvPicPr>
                  <pic:blipFill>
                    <a:blip r:embed="rId14"/>
                    <a:stretch>
                      <a:fillRect/>
                    </a:stretch>
                  </pic:blipFill>
                  <pic:spPr>
                    <a:xfrm>
                      <a:off x="0" y="0"/>
                      <a:ext cx="5220000" cy="4138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6</w:t>
      </w:r>
      <w:r>
        <w:fldChar w:fldCharType="end"/>
      </w:r>
      <w:r>
        <w:t xml:space="preserve"> — API Gateway operating model</w:t>
      </w:r>
    </w:p>
    <w:p>
      <w:pPr>
        <w:pStyle w:val="Heading1"/>
        <w:pageBreakBefore/>
        <w:spacing w:before="0"/>
        <w:ind w:left="0" w:firstLine="0"/>
      </w:pPr>
      <w:r>
        <w:t>Appendix C — Open Issues and Decisions Pending</w:t>
      </w:r>
    </w:p>
    <w:p>
      <w:r>
        <w:t>The following items are not defined in this version of the document. They are recorded here so that they are resolved deliberately rather than by default.</w:t>
      </w:r>
    </w:p>
    <w:p>
      <w:pPr>
        <w:pStyle w:val="Caption"/>
        <w:keepNext/>
      </w:pPr>
      <w:r>
        <w:t xml:space="preserve">Table </w:t>
      </w:r>
      <w:r>
        <w:fldChar w:fldCharType="begin"/>
      </w:r>
      <w:r>
        <w:instrText xml:space="preserve"> SEQ Table \* ARABIC </w:instrText>
      </w:r>
      <w:r>
        <w:fldChar w:fldCharType="separate"/>
      </w:r>
      <w:r>
        <w:t>19</w:t>
      </w:r>
      <w:r>
        <w:fldChar w:fldCharType="end"/>
      </w:r>
      <w:r>
        <w:t xml:space="preserve"> — Open issues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907"/>
        <w:gridCol w:w="1927"/>
        <w:gridCol w:w="4649"/>
        <w:gridCol w:w="1587"/>
      </w:tblGrid>
      <w:tr>
        <w:trPr>
          <w:cantSplit/>
          <w:tblHeader/>
        </w:trPr>
        <w:tc>
          <w:tcPr>
            <w:tcW w:type="dxa" w:w="907"/>
            <w:shd w:val="clear" w:color="auto" w:fill="1F3864"/>
          </w:tcPr>
          <w:p>
            <w:pPr>
              <w:pStyle w:val="TableText"/>
            </w:pPr>
            <w:r>
              <w:rPr>
                <w:b/>
                <w:color w:val="FFFFFF"/>
              </w:rPr>
              <w:t>ID</w:t>
            </w:r>
          </w:p>
        </w:tc>
        <w:tc>
          <w:tcPr>
            <w:tcW w:type="dxa" w:w="1928"/>
            <w:shd w:val="clear" w:color="auto" w:fill="1F3864"/>
          </w:tcPr>
          <w:p>
            <w:pPr>
              <w:pStyle w:val="TableText"/>
            </w:pPr>
            <w:r>
              <w:rPr>
                <w:b/>
                <w:color w:val="FFFFFF"/>
              </w:rPr>
              <w:t>Topic</w:t>
            </w:r>
          </w:p>
        </w:tc>
        <w:tc>
          <w:tcPr>
            <w:tcW w:type="dxa" w:w="4649"/>
            <w:shd w:val="clear" w:color="auto" w:fill="1F3864"/>
          </w:tcPr>
          <w:p>
            <w:pPr>
              <w:pStyle w:val="TableText"/>
            </w:pPr>
            <w:r>
              <w:rPr>
                <w:b/>
                <w:color w:val="FFFFFF"/>
              </w:rPr>
              <w:t>Decision or information required</w:t>
            </w:r>
          </w:p>
        </w:tc>
        <w:tc>
          <w:tcPr>
            <w:tcW w:type="dxa" w:w="1587"/>
            <w:shd w:val="clear" w:color="auto" w:fill="1F3864"/>
          </w:tcPr>
          <w:p>
            <w:pPr>
              <w:pStyle w:val="TableText"/>
            </w:pPr>
            <w:r>
              <w:rPr>
                <w:b/>
                <w:color w:val="FFFFFF"/>
              </w:rPr>
              <w:t>Related</w:t>
            </w:r>
          </w:p>
        </w:tc>
      </w:tr>
      <w:tr>
        <w:trPr>
          <w:cantSplit/>
        </w:trPr>
        <w:tc>
          <w:tcPr>
            <w:tcW w:type="dxa" w:w="907"/>
            <w:shd w:val="clear" w:color="auto" w:fill="F2F5FA"/>
          </w:tcPr>
          <w:p>
            <w:pPr>
              <w:pStyle w:val="TableText"/>
            </w:pPr>
            <w:r>
              <w:rPr>
                <w:b/>
              </w:rPr>
              <w:t>OI-01</w:t>
            </w:r>
          </w:p>
        </w:tc>
        <w:tc>
          <w:tcPr>
            <w:tcW w:type="dxa" w:w="1928"/>
          </w:tcPr>
          <w:p>
            <w:pPr>
              <w:pStyle w:val="TableText"/>
            </w:pPr>
            <w:r>
              <w:t>Capability enablement</w:t>
            </w:r>
          </w:p>
        </w:tc>
        <w:tc>
          <w:tcPr>
            <w:tcW w:type="dxa" w:w="4649"/>
          </w:tcPr>
          <w:p>
            <w:pPr>
              <w:pStyle w:val="TableText"/>
            </w:pPr>
            <w:r>
              <w:t>Confirm which capabilities are optional per API and which are mandatory guardrails for every API (for example rate limiting, caching and schema validation).</w:t>
            </w:r>
          </w:p>
        </w:tc>
        <w:tc>
          <w:tcPr>
            <w:tcW w:type="dxa" w:w="1587"/>
          </w:tcPr>
          <w:p>
            <w:pPr>
              <w:pStyle w:val="TableText"/>
            </w:pPr>
            <w:r>
              <w:t>Section 1.4</w:t>
            </w:r>
          </w:p>
        </w:tc>
      </w:tr>
      <w:tr>
        <w:trPr>
          <w:cantSplit/>
        </w:trPr>
        <w:tc>
          <w:tcPr>
            <w:tcW w:type="dxa" w:w="907"/>
            <w:shd w:val="clear" w:color="auto" w:fill="F2F5FA"/>
          </w:tcPr>
          <w:p>
            <w:pPr>
              <w:pStyle w:val="TableText"/>
            </w:pPr>
            <w:r>
              <w:rPr>
                <w:b/>
              </w:rPr>
              <w:t>OI-02</w:t>
            </w:r>
          </w:p>
        </w:tc>
        <w:tc>
          <w:tcPr>
            <w:tcW w:type="dxa" w:w="1928"/>
          </w:tcPr>
          <w:p>
            <w:pPr>
              <w:pStyle w:val="TableText"/>
            </w:pPr>
            <w:r>
              <w:t>Requirement levels</w:t>
            </w:r>
          </w:p>
        </w:tc>
        <w:tc>
          <w:tcPr>
            <w:tcW w:type="dxa" w:w="4649"/>
          </w:tcPr>
          <w:p>
            <w:pPr>
              <w:pStyle w:val="TableText"/>
            </w:pPr>
            <w:r>
              <w:t>Review the requirements expressed as 'should', for example token-based B2B access, GitOps and the default retry position, to decide whether any should become 'shall'.</w:t>
            </w:r>
          </w:p>
        </w:tc>
        <w:tc>
          <w:tcPr>
            <w:tcW w:type="dxa" w:w="1587"/>
          </w:tcPr>
          <w:p>
            <w:pPr>
              <w:pStyle w:val="TableText"/>
            </w:pPr>
            <w:r>
              <w:t>Section 1.4</w:t>
            </w:r>
          </w:p>
        </w:tc>
      </w:tr>
      <w:tr>
        <w:trPr>
          <w:cantSplit/>
        </w:trPr>
        <w:tc>
          <w:tcPr>
            <w:tcW w:type="dxa" w:w="907"/>
            <w:shd w:val="clear" w:color="auto" w:fill="F2F5FA"/>
          </w:tcPr>
          <w:p>
            <w:pPr>
              <w:pStyle w:val="TableText"/>
            </w:pPr>
            <w:r>
              <w:rPr>
                <w:b/>
              </w:rPr>
              <w:t>OI-03</w:t>
            </w:r>
          </w:p>
        </w:tc>
        <w:tc>
          <w:tcPr>
            <w:tcW w:type="dxa" w:w="1928"/>
          </w:tcPr>
          <w:p>
            <w:pPr>
              <w:pStyle w:val="TableText"/>
            </w:pPr>
            <w:r>
              <w:t>Consumer configuration in Git</w:t>
            </w:r>
          </w:p>
        </w:tc>
        <w:tc>
          <w:tcPr>
            <w:tcW w:type="dxa" w:w="4649"/>
          </w:tcPr>
          <w:p>
            <w:pPr>
              <w:pStyle w:val="TableText"/>
            </w:pPr>
            <w:r>
              <w:t>Define which consumer configuration is held in Git and which is managed at runtime.</w:t>
            </w:r>
          </w:p>
        </w:tc>
        <w:tc>
          <w:tcPr>
            <w:tcW w:type="dxa" w:w="1587"/>
          </w:tcPr>
          <w:p>
            <w:pPr>
              <w:pStyle w:val="TableText"/>
            </w:pPr>
            <w:r>
              <w:t>Section 8.1</w:t>
            </w:r>
          </w:p>
        </w:tc>
      </w:tr>
      <w:tr>
        <w:trPr>
          <w:cantSplit/>
        </w:trPr>
        <w:tc>
          <w:tcPr>
            <w:tcW w:type="dxa" w:w="907"/>
            <w:shd w:val="clear" w:color="auto" w:fill="F2F5FA"/>
          </w:tcPr>
          <w:p>
            <w:pPr>
              <w:pStyle w:val="TableText"/>
            </w:pPr>
            <w:r>
              <w:rPr>
                <w:b/>
              </w:rPr>
              <w:t>OI-04</w:t>
            </w:r>
          </w:p>
        </w:tc>
        <w:tc>
          <w:tcPr>
            <w:tcW w:type="dxa" w:w="1928"/>
          </w:tcPr>
          <w:p>
            <w:pPr>
              <w:pStyle w:val="TableText"/>
            </w:pPr>
            <w:r>
              <w:t>Governance body</w:t>
            </w:r>
          </w:p>
        </w:tc>
        <w:tc>
          <w:tcPr>
            <w:tcW w:type="dxa" w:w="4649"/>
          </w:tcPr>
          <w:p>
            <w:pPr>
              <w:pStyle w:val="TableText"/>
            </w:pPr>
            <w:r>
              <w:t>Define the organizational governance body, including its owner and mandate. Until then the Infrastructure Team provides interim governance for the Platform.</w:t>
            </w:r>
          </w:p>
        </w:tc>
        <w:tc>
          <w:tcPr>
            <w:tcW w:type="dxa" w:w="1587"/>
          </w:tcPr>
          <w:p>
            <w:pPr>
              <w:pStyle w:val="TableText"/>
            </w:pPr>
            <w:r>
              <w:t>Section 11.5</w:t>
            </w:r>
          </w:p>
        </w:tc>
      </w:tr>
    </w:tbl>
    <w:p>
      <w:pPr>
        <w:spacing w:after="40"/>
      </w:pPr>
    </w:p>
    <w:sectPr w:rsidR="00FC693F" w:rsidRPr="0006063C" w:rsidSect="00034616">
      <w:footerReference w:type="default" r:id="rId17"/>
      <w:pgSz w:w="11906" w:h="16838"/>
      <w:pgMar w:top="1417" w:right="1417" w:bottom="130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1.0 — Draft</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1.0 — Draft</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t>API Gateway Enterprise Architecture Standard</w:t>
    </w:r>
    <w:r>
      <w:tab/>
    </w:r>
    <w:r>
      <w:rPr>
        <w:highlight w:val="yellow"/>
      </w:rPr>
      <w:t>[Classification]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sz w:val="21"/>
      <w:lang w:val="en-GB" w:eastAsia="en-GB"/>
    </w:rPr>
  </w:style>
  <w:style w:type="paragraph" w:styleId="Header">
    <w:name w:val="header"/>
    <w:basedOn w:val="Normal"/>
    <w:link w:val="Head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3" w:color="2F5496"/>
      </w:pBdr>
      <w:tabs>
        <w:tab w:pos="737" w:val="left"/>
      </w:tabs>
      <w:spacing w:before="520" w:after="200"/>
      <w:ind w:left="737" w:hanging="737"/>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pos="737" w:val="left"/>
      </w:tabs>
      <w:spacing w:before="320" w:after="120"/>
      <w:ind w:left="737" w:hanging="737"/>
      <w:outlineLvl w:val="1"/>
    </w:pPr>
    <w:rPr>
      <w:rFonts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Calibri" w:hAnsi="Calibri" w:eastAsia="Calibri" w:cs="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tabs>
        <w:tab w:pos="1587" w:val="left"/>
      </w:tabs>
      <w:spacing w:after="100"/>
      <w:ind w:left="1587" w:hanging="1587"/>
    </w:pPr>
  </w:style>
  <w:style w:type="paragraph" w:customStyle="1" w:styleId="Rationale">
    <w:name w:val="Rationale"/>
    <w:basedOn w:val="Normal"/>
    <w:pPr>
      <w:spacing w:after="120"/>
      <w:ind w:left="1587"/>
    </w:pPr>
    <w:rPr>
      <w:rFonts w:ascii="Calibri" w:hAnsi="Calibri" w:eastAsia="Calibri" w:cs="Calibri"/>
      <w:color w:val="404040"/>
      <w:sz w:val="20"/>
    </w:rPr>
  </w:style>
  <w:style w:type="paragraph" w:customStyle="1" w:styleId="Note">
    <w:name w:val="Note"/>
    <w:basedOn w:val="Normal"/>
    <w:pPr>
      <w:keepLines/>
      <w:pBdr>
        <w:lef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rFonts w:ascii="Calibri" w:hAnsi="Calibri" w:eastAsia="Calibri" w:cs="Calibri"/>
      <w:sz w:val="19"/>
    </w:rPr>
  </w:style>
  <w:style w:type="paragraph" w:customStyle="1" w:styleId="FrontHeading">
    <w:name w:val="Front Heading"/>
    <w:basedOn w:val="Normal"/>
    <w:pPr>
      <w:keepNext/>
      <w:pBdr>
        <w:bottom w:val="single" w:sz="8" w:space="3" w:color="2F5496"/>
      </w:pBdr>
      <w:spacing w:before="80" w:after="200"/>
    </w:pPr>
    <w:rPr>
      <w:rFonts w:ascii="Calibri" w:hAnsi="Calibri" w:eastAsia="Calibri" w:cs="Calibri"/>
      <w:b/>
      <w:color w:val="1F3864"/>
      <w:sz w:val="34"/>
    </w:rPr>
  </w:style>
  <w:style w:type="paragraph" w:customStyle="1" w:styleId="FrontSubheading">
    <w:name w:val="Front Subheading"/>
    <w:basedOn w:val="Normal"/>
    <w:pPr>
      <w:keepNext/>
      <w:spacing w:before="280" w:after="80"/>
    </w:pPr>
    <w:rPr>
      <w:rFonts w:ascii="Calibri" w:hAnsi="Calibri" w:eastAsia="Calibri" w:cs="Calibri"/>
      <w:b/>
      <w:color w:val="2F5496"/>
      <w:sz w:val="24"/>
    </w:rPr>
  </w:style>
  <w:style w:type="paragraph" w:customStyle="1" w:styleId="toc1">
    <w:name w:val="toc 1"/>
    <w:basedOn w:val="Normal"/>
    <w:pPr>
      <w:tabs>
        <w:tab w:pos="737" w:val="left"/>
        <w:tab w:pos="9071" w:val="right" w:leader="dot"/>
      </w:tabs>
      <w:spacing w:after="80" w:before="120"/>
      <w:ind w:left="0"/>
    </w:pPr>
    <w:rPr>
      <w:rFonts w:ascii="Calibri" w:hAnsi="Calibri" w:eastAsia="Calibri" w:cs="Calibri"/>
      <w:b/>
      <w:sz w:val="21"/>
    </w:rPr>
  </w:style>
  <w:style w:type="paragraph" w:customStyle="1" w:styleId="toc2">
    <w:name w:val="toc 2"/>
    <w:basedOn w:val="Normal"/>
    <w:pPr>
      <w:tabs>
        <w:tab w:pos="1077" w:val="left"/>
        <w:tab w:pos="9071" w:val="right" w:leader="dot"/>
      </w:tabs>
      <w:spacing w:after="60" w:before="0"/>
      <w:ind w:left="340"/>
    </w:pPr>
    <w:rPr>
      <w:rFonts w:ascii="Calibri" w:hAnsi="Calibri" w:eastAsia="Calibri" w:cs="Calibri"/>
      <w:b w:val="0"/>
      <w:sz w:val="20"/>
    </w:rPr>
  </w:style>
  <w:style w:type="paragraph" w:customStyle="1" w:styleId="tableoffigures">
    <w:name w:val="table of figures"/>
    <w:basedOn w:val="Normal"/>
    <w:pPr>
      <w:tabs>
        <w:tab w:pos="9071" w:val="right" w:leader="dot"/>
      </w:tabs>
      <w:spacing w:after="60" w:before="0"/>
      <w:ind w:left="0"/>
    </w:pPr>
    <w:rPr>
      <w:rFonts w:ascii="Calibri" w:hAnsi="Calibri" w:eastAsia="Calibri" w:cs="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Gateway Enterprise Architecture Standard</dc:title>
  <dc:subject>Architecture and Operating Model</dc:subject>
  <dc:creator/>
  <cp:keywords>API Gateway; architecture; operating model; standard</cp:keywords>
  <dc:description>Draft. Converted from README.md.</dc:description>
  <cp:lastModifiedBy/>
  <cp:revision>1</cp:revision>
  <dcterms:created xsi:type="dcterms:W3CDTF">2026-09-21T12:00:00Z</dcterms:created>
  <dcterms:modified xsi:type="dcterms:W3CDTF">2026-09-21T12:00:00Z</dcterms:modified>
  <cp:category/>
</cp:coreProperties>
</file>