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目前的跨链技术</w:t>
      </w:r>
    </w:p>
    <w:p>
      <w:pPr>
        <w:rPr>
          <w:rFonts w:hint="eastAsia"/>
          <w:lang w:val="en-US" w:eastAsia="zh-CN"/>
        </w:rPr>
      </w:pPr>
    </w:p>
    <w:p>
      <w:pPr>
        <w:numPr>
          <w:ilvl w:val="0"/>
          <w:numId w:val="1"/>
        </w:numPr>
        <w:rPr>
          <w:rFonts w:hint="eastAsia"/>
          <w:lang w:val="en-US" w:eastAsia="zh-CN"/>
        </w:rPr>
      </w:pPr>
      <w:r>
        <w:rPr>
          <w:rFonts w:hint="eastAsia"/>
          <w:lang w:val="en-US" w:eastAsia="zh-CN"/>
        </w:rPr>
        <w:t>状态通道</w:t>
      </w:r>
    </w:p>
    <w:p>
      <w:pPr>
        <w:numPr>
          <w:numId w:val="0"/>
        </w:numPr>
        <w:rPr>
          <w:rFonts w:hint="eastAsia"/>
          <w:lang w:val="en-US" w:eastAsia="zh-CN"/>
        </w:rPr>
      </w:pPr>
      <w:r>
        <w:rPr>
          <w:rFonts w:hint="eastAsia"/>
          <w:lang w:val="en-US" w:eastAsia="zh-CN"/>
        </w:rPr>
        <w:t>以太坊是一个全球化的基于交易的状态机，在链上的每一个交易都会产生新的状态，不同的是，状态通道在链外进行状态维护，在完成后参与多方签名确认后，才将最终结果上链。链上只进行结算处理，状态通道将部分流程移出到链外来提高区块链的效率，同时不会增加参与者的风险，目前状态通道的应用仍然是纯粹的支付通道，如闪电网络，旨在解决小额交易昂贵的手续费和极低的效率问题。</w:t>
      </w:r>
    </w:p>
    <w:p>
      <w:pPr>
        <w:numPr>
          <w:numId w:val="0"/>
        </w:numPr>
        <w:rPr>
          <w:rFonts w:hint="eastAsia"/>
          <w:lang w:val="en-US" w:eastAsia="zh-CN"/>
        </w:rPr>
      </w:pPr>
      <w:r>
        <w:rPr>
          <w:rFonts w:hint="eastAsia"/>
          <w:lang w:val="en-US" w:eastAsia="zh-CN"/>
        </w:rPr>
        <w:t>状态通道有许多优点，如提高并发、降低交易成本、原子事务操作。</w:t>
      </w:r>
    </w:p>
    <w:p>
      <w:pPr>
        <w:numPr>
          <w:numId w:val="0"/>
        </w:numPr>
        <w:rPr>
          <w:rFonts w:hint="eastAsia"/>
          <w:lang w:val="en-US" w:eastAsia="zh-CN"/>
        </w:rPr>
      </w:pPr>
      <w:r>
        <w:rPr>
          <w:rFonts w:hint="eastAsia"/>
          <w:lang w:val="en-US" w:eastAsia="zh-CN"/>
        </w:rPr>
        <w:t>但状态通道也存在较多的问题，如状态通道的维护成本高、链下状态维护，数据的不可靠和不安全性使得状态数据结算变得异常复杂。</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Interledger协议</w:t>
      </w:r>
    </w:p>
    <w:p>
      <w:pPr>
        <w:numPr>
          <w:numId w:val="0"/>
        </w:numPr>
        <w:ind w:leftChars="0"/>
        <w:rPr>
          <w:rFonts w:hint="eastAsia"/>
          <w:lang w:val="en-US" w:eastAsia="zh-CN"/>
        </w:rPr>
      </w:pPr>
      <w:r>
        <w:rPr>
          <w:rFonts w:hint="eastAsia"/>
          <w:lang w:val="en-US" w:eastAsia="zh-CN"/>
        </w:rPr>
        <w:t>2012年，ripple实验室提出Interledger协议，旨在连接不同账本并实现他们之间的协同。Interledger协议适用于所有记账系统、能包容各记账系统的差异性。</w:t>
      </w:r>
    </w:p>
    <w:p>
      <w:pPr>
        <w:numPr>
          <w:numId w:val="0"/>
        </w:numPr>
        <w:ind w:leftChars="0"/>
        <w:rPr>
          <w:rFonts w:hint="eastAsia"/>
          <w:lang w:val="en-US" w:eastAsia="zh-CN"/>
        </w:rPr>
      </w:pPr>
      <w:r>
        <w:rPr>
          <w:rFonts w:hint="eastAsia"/>
          <w:lang w:val="en-US" w:eastAsia="zh-CN"/>
        </w:rPr>
        <w:t>Interledger协议使用第三方连接器或者验证器在不同记账系统之间自由的传输货币，但记账系统无需信任第三方，因为该协议采用密码算法在连接器为这两个记账系统创建资金托管，当所有参与方对交易达成共识时，便可交易。</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侧链技术</w:t>
      </w:r>
    </w:p>
    <w:p>
      <w:pPr>
        <w:numPr>
          <w:numId w:val="0"/>
        </w:numPr>
        <w:ind w:leftChars="0"/>
        <w:rPr>
          <w:rFonts w:hint="eastAsia"/>
          <w:lang w:val="en-US" w:eastAsia="zh-CN"/>
        </w:rPr>
      </w:pPr>
      <w:r>
        <w:rPr>
          <w:rFonts w:hint="eastAsia"/>
          <w:lang w:val="en-US" w:eastAsia="zh-CN"/>
        </w:rPr>
        <w:t>侧链是以锚定某种源链上的货币为基础的区块链，侧链连接各种源链，源链是完全独立存在的。侧链机制允许用户发送交易到其他区块链。</w:t>
      </w:r>
    </w:p>
    <w:p>
      <w:pPr>
        <w:numPr>
          <w:numId w:val="0"/>
        </w:numPr>
        <w:ind w:leftChars="0"/>
        <w:rPr>
          <w:rFonts w:hint="eastAsia"/>
          <w:lang w:val="en-US" w:eastAsia="zh-CN"/>
        </w:rPr>
      </w:pPr>
      <w:r>
        <w:rPr>
          <w:rFonts w:hint="eastAsia"/>
          <w:lang w:val="en-US" w:eastAsia="zh-CN"/>
        </w:rPr>
        <w:t>BTC Relay侧链主要原理是BTC Relay把以太坊网络和比特币网络以一种安全去中心化的方式连接起来，通过使用以太坊智能合约功能可以允许用户在以太坊区块链上验证比特币交易。这种侧链很难做到跨链智能合约，所以很难实现各种金融功能，这正是现有区块链在股票、债券、衍生品等领域尚未取得进展的原因，同时也只能进行支付验证，并不能向主链发送交易，依附主链进行，并不能解决当前区块链主要的性能问题，相反还增加了区块链交易拥堵问题。</w:t>
      </w:r>
    </w:p>
    <w:p>
      <w:pPr>
        <w:numPr>
          <w:numId w:val="0"/>
        </w:numPr>
        <w:ind w:leftChars="0"/>
        <w:rPr>
          <w:rFonts w:hint="eastAsia"/>
          <w:lang w:val="en-US" w:eastAsia="zh-CN"/>
        </w:rPr>
      </w:pPr>
      <w:r>
        <w:rPr>
          <w:rFonts w:hint="eastAsia"/>
          <w:lang w:val="en-US" w:eastAsia="zh-CN"/>
        </w:rPr>
        <w:drawing>
          <wp:inline distT="0" distB="0" distL="114300" distR="114300">
            <wp:extent cx="5270500" cy="2376805"/>
            <wp:effectExtent l="0" t="0" r="6350" b="4445"/>
            <wp:docPr id="1" name="图片 1" descr="btc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tc relay"/>
                    <pic:cNvPicPr>
                      <a:picLocks noChangeAspect="1"/>
                    </pic:cNvPicPr>
                  </pic:nvPicPr>
                  <pic:blipFill>
                    <a:blip r:embed="rId4"/>
                    <a:stretch>
                      <a:fillRect/>
                    </a:stretch>
                  </pic:blipFill>
                  <pic:spPr>
                    <a:xfrm>
                      <a:off x="0" y="0"/>
                      <a:ext cx="5270500" cy="2376805"/>
                    </a:xfrm>
                    <a:prstGeom prst="rect">
                      <a:avLst/>
                    </a:prstGeom>
                  </pic:spPr>
                </pic:pic>
              </a:graphicData>
            </a:graphic>
          </wp:inline>
        </w:drawing>
      </w:r>
    </w:p>
    <w:p>
      <w:pPr>
        <w:numPr>
          <w:numId w:val="0"/>
        </w:numPr>
        <w:ind w:leftChars="0"/>
        <w:rPr>
          <w:rFonts w:hint="eastAsia"/>
          <w:lang w:val="en-US" w:eastAsia="zh-CN"/>
        </w:rPr>
      </w:pPr>
      <w:r>
        <w:rPr>
          <w:rFonts w:hint="eastAsia"/>
          <w:lang w:val="en-US" w:eastAsia="zh-CN"/>
        </w:rPr>
        <w:t>双向锚定侧链</w:t>
      </w:r>
    </w:p>
    <w:p>
      <w:pPr>
        <w:numPr>
          <w:numId w:val="0"/>
        </w:numPr>
        <w:ind w:leftChars="0"/>
        <w:rPr>
          <w:rFonts w:hint="eastAsia"/>
          <w:lang w:val="en-US" w:eastAsia="zh-CN"/>
        </w:rPr>
      </w:pPr>
      <w:r>
        <w:rPr>
          <w:rFonts w:hint="eastAsia"/>
          <w:lang w:val="en-US" w:eastAsia="zh-CN"/>
        </w:rPr>
        <w:t>双向锚定技术经常被认为是一种将BTC转移到SBTC（智能比特币，这里我们可以理解为就是现在的侧链）的方法，反之亦然。实际上，当BTC被交换成SBTC，区块链之间并没有货币被“转移”。没有任何一笔交易实施了这个动作。 这是因为比特币不能验证另一条区块链上的余额属性。当用户打算把BTC转换成SBTC， 将锁定部分比特币在比特币区块链上，同时在RSK上释放等量的SBTC。当SBTC需要换回比特币时，再次在RSK上锁定SBTC，同时在比特币区块链上释放等量的比特币。通过安全协议保证相同的比特币不会在两条区块链上同时释放。</w:t>
      </w:r>
    </w:p>
    <w:p>
      <w:pPr>
        <w:numPr>
          <w:numId w:val="0"/>
        </w:numPr>
        <w:ind w:leftChars="0"/>
        <w:rPr>
          <w:rFonts w:hint="eastAsia"/>
          <w:lang w:val="en-US" w:eastAsia="zh-CN"/>
        </w:rPr>
      </w:pPr>
      <w:r>
        <w:rPr>
          <w:rFonts w:hint="eastAsia"/>
          <w:lang w:val="en-US" w:eastAsia="zh-CN"/>
        </w:rPr>
        <w:t>当比特币用户想要使用双向锚定时，他发送一笔交易到由联盟保护资金的多重签名钱包上。RSK区块链使用这笔交易中比特币相关的公钥来存储智能比特币（SBTC）。这意味着比特币区块链上控制比特币的私钥可以用来控制RSK链上的账户。</w:t>
      </w:r>
    </w:p>
    <w:p>
      <w:pPr>
        <w:numPr>
          <w:numId w:val="0"/>
        </w:numPr>
        <w:ind w:leftChars="0"/>
        <w:rPr>
          <w:rFonts w:hint="eastAsia"/>
          <w:lang w:val="en-US" w:eastAsia="zh-CN"/>
        </w:rPr>
      </w:pPr>
      <w:r>
        <w:rPr>
          <w:rFonts w:hint="eastAsia"/>
          <w:lang w:val="en-US" w:eastAsia="zh-CN"/>
        </w:rPr>
        <w:drawing>
          <wp:inline distT="0" distB="0" distL="114300" distR="114300">
            <wp:extent cx="5270500" cy="4892675"/>
            <wp:effectExtent l="0" t="0" r="6350" b="3175"/>
            <wp:docPr id="2" name="图片 2" descr="r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sk"/>
                    <pic:cNvPicPr>
                      <a:picLocks noChangeAspect="1"/>
                    </pic:cNvPicPr>
                  </pic:nvPicPr>
                  <pic:blipFill>
                    <a:blip r:embed="rId5"/>
                    <a:stretch>
                      <a:fillRect/>
                    </a:stretch>
                  </pic:blipFill>
                  <pic:spPr>
                    <a:xfrm>
                      <a:off x="0" y="0"/>
                      <a:ext cx="5270500" cy="4892675"/>
                    </a:xfrm>
                    <a:prstGeom prst="rect">
                      <a:avLst/>
                    </a:prstGeom>
                  </pic:spPr>
                </pic:pic>
              </a:graphicData>
            </a:graphic>
          </wp:inline>
        </w:drawing>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中继技术</w:t>
      </w:r>
    </w:p>
    <w:p>
      <w:pPr>
        <w:numPr>
          <w:numId w:val="0"/>
        </w:numPr>
        <w:ind w:leftChars="0"/>
        <w:rPr>
          <w:rFonts w:hint="eastAsia"/>
          <w:lang w:val="en-US" w:eastAsia="zh-CN"/>
        </w:rPr>
      </w:pPr>
      <w:r>
        <w:rPr>
          <w:rFonts w:hint="eastAsia"/>
          <w:lang w:val="en-US" w:eastAsia="zh-CN"/>
        </w:rPr>
        <w:t>Polkadot将私有链和联盟链融入到公有链的共识网络中，同时保护私有链和联盟链原有数据的隐私和许可使用特性。</w:t>
      </w:r>
    </w:p>
    <w:p>
      <w:pPr>
        <w:numPr>
          <w:numId w:val="0"/>
        </w:numPr>
        <w:ind w:leftChars="0"/>
        <w:rPr>
          <w:rFonts w:hint="eastAsia"/>
          <w:lang w:val="en-US" w:eastAsia="zh-CN"/>
        </w:rPr>
      </w:pPr>
      <w:r>
        <w:rPr>
          <w:rFonts w:hint="eastAsia"/>
          <w:lang w:val="en-US" w:eastAsia="zh-CN"/>
        </w:rPr>
        <w:t>Cosmos是一个支持跨链交互的异构网络，cosmos上第一个空间叫hub，hub是一种多资产权益证明加密货币网络。Hub和各个zone可以通过区块链间通信（IBC）协议进行沟通，代币可完全快速地从一个空间传递到另一个空间，两者之间无需提现汇兑流动性，相反，空间内部所有代币的转移都会通过cosmos中心，它会记录每个空间所持有的代币总量。</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分布式私钥控制技术</w:t>
      </w:r>
    </w:p>
    <w:p>
      <w:pPr>
        <w:numPr>
          <w:numId w:val="0"/>
        </w:numPr>
        <w:ind w:leftChars="0"/>
        <w:rPr>
          <w:rFonts w:hint="eastAsia"/>
          <w:lang w:val="en-US" w:eastAsia="zh-CN"/>
        </w:rPr>
      </w:pPr>
      <w:r>
        <w:rPr>
          <w:rFonts w:hint="eastAsia"/>
          <w:lang w:val="en-US" w:eastAsia="zh-CN"/>
        </w:rPr>
        <w:t>WanChain万维链也支持主流公有链间的跨链交易，但首先需要完成在万维链上的注册，确保万维链能够对该链进行唯一识别。对于跨链交易，万维链利用多方计算和门限密钥共享方案。当一种未注册资产由原有链转移到万维链上时,万维链节点会使用一个基于协议的内置资产模板,根据跨链交易信息部署新的智能合约创建新的资产。当一种已注册资产由原有链转移到万维链上时,万维链节点会为用户在已有合约中发放相应等值代币,确保了原有链资产在万维链上仍然可以相互交易流通。</w:t>
      </w:r>
    </w:p>
    <w:p>
      <w:pPr>
        <w:numPr>
          <w:numId w:val="0"/>
        </w:numPr>
        <w:ind w:leftChars="0"/>
        <w:rPr>
          <w:rFonts w:hint="eastAsia"/>
          <w:lang w:val="en-US" w:eastAsia="zh-CN"/>
        </w:rPr>
      </w:pPr>
      <w:r>
        <w:rPr>
          <w:rFonts w:hint="eastAsia"/>
          <w:lang w:val="en-US" w:eastAsia="zh-CN"/>
        </w:rPr>
        <w:t>万维链通过分布式的方式完成不同区块链账本的连接及价值交换。它采用通用的跨链协议以及记录跨链交易、链内交易的分布式账本，公有链、私有链还是联盟链，均能接入万维链，实现不同区块链账本的连接及资产的跨账本转移。</w:t>
      </w:r>
    </w:p>
    <w:p>
      <w:pPr>
        <w:numPr>
          <w:numId w:val="0"/>
        </w:numPr>
        <w:ind w:leftChars="0"/>
        <w:rPr>
          <w:rFonts w:hint="eastAsia"/>
          <w:lang w:val="en-US" w:eastAsia="zh-CN"/>
        </w:rPr>
      </w:pPr>
      <w:r>
        <w:rPr>
          <w:rFonts w:hint="eastAsia"/>
          <w:lang w:val="en-US" w:eastAsia="zh-CN"/>
        </w:rPr>
        <w:t>但是，实现各种链映射到一条链上只是完成了第一步，如果上面的智能合约还是像现在的仅为交易触发，智能合约没办法实现分布式运算和多触发机制，那多币种智能合约能实现仍然是相当有限的功能。</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三种跨链方式：</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p>
        </w:tc>
        <w:tc>
          <w:tcPr>
            <w:tcW w:w="2130" w:type="dxa"/>
          </w:tcPr>
          <w:p>
            <w:pPr>
              <w:numPr>
                <w:numId w:val="0"/>
              </w:numPr>
              <w:rPr>
                <w:rFonts w:hint="eastAsia"/>
                <w:vertAlign w:val="baseline"/>
                <w:lang w:val="en-US" w:eastAsia="zh-CN"/>
              </w:rPr>
            </w:pPr>
            <w:r>
              <w:rPr>
                <w:rFonts w:hint="eastAsia"/>
                <w:vertAlign w:val="baseline"/>
                <w:lang w:val="en-US" w:eastAsia="zh-CN"/>
              </w:rPr>
              <w:t>notaries</w:t>
            </w:r>
          </w:p>
        </w:tc>
        <w:tc>
          <w:tcPr>
            <w:tcW w:w="2131" w:type="dxa"/>
          </w:tcPr>
          <w:p>
            <w:pPr>
              <w:numPr>
                <w:numId w:val="0"/>
              </w:numPr>
              <w:rPr>
                <w:rFonts w:hint="eastAsia"/>
                <w:vertAlign w:val="baseline"/>
                <w:lang w:val="en-US" w:eastAsia="zh-CN"/>
              </w:rPr>
            </w:pPr>
            <w:r>
              <w:rPr>
                <w:rFonts w:hint="eastAsia"/>
                <w:vertAlign w:val="baseline"/>
                <w:lang w:val="en-US" w:eastAsia="zh-CN"/>
              </w:rPr>
              <w:t>relays</w:t>
            </w:r>
          </w:p>
        </w:tc>
        <w:tc>
          <w:tcPr>
            <w:tcW w:w="2131" w:type="dxa"/>
          </w:tcPr>
          <w:p>
            <w:pPr>
              <w:numPr>
                <w:numId w:val="0"/>
              </w:numPr>
              <w:rPr>
                <w:rFonts w:hint="eastAsia"/>
                <w:vertAlign w:val="baseline"/>
                <w:lang w:val="en-US" w:eastAsia="zh-CN"/>
              </w:rPr>
            </w:pPr>
            <w:r>
              <w:rPr>
                <w:rFonts w:hint="eastAsia"/>
                <w:vertAlign w:val="baseline"/>
                <w:lang w:val="en-US" w:eastAsia="zh-CN"/>
              </w:rPr>
              <w:t>Hash-locking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Interoperability types</w:t>
            </w:r>
          </w:p>
        </w:tc>
        <w:tc>
          <w:tcPr>
            <w:tcW w:w="2130" w:type="dxa"/>
          </w:tcPr>
          <w:p>
            <w:pPr>
              <w:numPr>
                <w:numId w:val="0"/>
              </w:numPr>
              <w:rPr>
                <w:rFonts w:hint="eastAsia"/>
                <w:vertAlign w:val="baseline"/>
                <w:lang w:val="en-US" w:eastAsia="zh-CN"/>
              </w:rPr>
            </w:pPr>
            <w:r>
              <w:rPr>
                <w:rFonts w:hint="eastAsia"/>
                <w:vertAlign w:val="baseline"/>
                <w:lang w:val="en-US" w:eastAsia="zh-CN"/>
              </w:rPr>
              <w:t>All</w:t>
            </w:r>
          </w:p>
        </w:tc>
        <w:tc>
          <w:tcPr>
            <w:tcW w:w="2131" w:type="dxa"/>
          </w:tcPr>
          <w:p>
            <w:pPr>
              <w:numPr>
                <w:numId w:val="0"/>
              </w:numPr>
              <w:rPr>
                <w:rFonts w:hint="eastAsia"/>
                <w:vertAlign w:val="baseline"/>
                <w:lang w:val="en-US" w:eastAsia="zh-CN"/>
              </w:rPr>
            </w:pPr>
            <w:r>
              <w:rPr>
                <w:rFonts w:hint="eastAsia"/>
                <w:vertAlign w:val="baseline"/>
                <w:lang w:val="en-US" w:eastAsia="zh-CN"/>
              </w:rPr>
              <w:t>All(if relays exist on both chains;otherwise one-way causality only)</w:t>
            </w:r>
          </w:p>
        </w:tc>
        <w:tc>
          <w:tcPr>
            <w:tcW w:w="2131" w:type="dxa"/>
          </w:tcPr>
          <w:p>
            <w:pPr>
              <w:numPr>
                <w:numId w:val="0"/>
              </w:numPr>
              <w:rPr>
                <w:rFonts w:hint="eastAsia"/>
                <w:vertAlign w:val="baseline"/>
                <w:lang w:val="en-US" w:eastAsia="zh-CN"/>
              </w:rPr>
            </w:pPr>
            <w:r>
              <w:rPr>
                <w:rFonts w:hint="eastAsia"/>
                <w:vertAlign w:val="baseline"/>
                <w:lang w:val="en-US" w:eastAsia="zh-CN"/>
              </w:rPr>
              <w:t>Crosss-dependency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Trust model</w:t>
            </w:r>
          </w:p>
        </w:tc>
        <w:tc>
          <w:tcPr>
            <w:tcW w:w="2130" w:type="dxa"/>
          </w:tcPr>
          <w:p>
            <w:pPr>
              <w:numPr>
                <w:numId w:val="0"/>
              </w:numPr>
              <w:rPr>
                <w:rFonts w:hint="eastAsia"/>
                <w:vertAlign w:val="baseline"/>
                <w:lang w:val="en-US" w:eastAsia="zh-CN"/>
              </w:rPr>
            </w:pPr>
            <w:r>
              <w:rPr>
                <w:rFonts w:hint="eastAsia"/>
                <w:vertAlign w:val="baseline"/>
                <w:lang w:val="en-US" w:eastAsia="zh-CN"/>
              </w:rPr>
              <w:t>Majority of notaries honest</w:t>
            </w:r>
          </w:p>
        </w:tc>
        <w:tc>
          <w:tcPr>
            <w:tcW w:w="2131" w:type="dxa"/>
          </w:tcPr>
          <w:p>
            <w:pPr>
              <w:numPr>
                <w:numId w:val="0"/>
              </w:numPr>
              <w:rPr>
                <w:rFonts w:hint="eastAsia"/>
                <w:vertAlign w:val="baseline"/>
                <w:lang w:val="en-US" w:eastAsia="zh-CN"/>
              </w:rPr>
            </w:pPr>
            <w:r>
              <w:rPr>
                <w:rFonts w:hint="eastAsia"/>
                <w:vertAlign w:val="baseline"/>
                <w:lang w:val="en-US" w:eastAsia="zh-CN"/>
              </w:rPr>
              <w:t>Chains do not fail or get 51% attached</w:t>
            </w:r>
          </w:p>
        </w:tc>
        <w:tc>
          <w:tcPr>
            <w:tcW w:w="2131" w:type="dxa"/>
          </w:tcPr>
          <w:p>
            <w:pPr>
              <w:numPr>
                <w:numId w:val="0"/>
              </w:numPr>
              <w:rPr>
                <w:rFonts w:hint="eastAsia"/>
                <w:vertAlign w:val="baseline"/>
                <w:lang w:val="en-US" w:eastAsia="zh-CN"/>
              </w:rPr>
            </w:pPr>
            <w:r>
              <w:rPr>
                <w:rFonts w:hint="eastAsia"/>
                <w:vertAlign w:val="baseline"/>
                <w:lang w:val="en-US" w:eastAsia="zh-CN"/>
              </w:rPr>
              <w:t>Chains do not fail or get 51% attached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Usable for cross-chain exchange</w:t>
            </w:r>
          </w:p>
        </w:tc>
        <w:tc>
          <w:tcPr>
            <w:tcW w:w="2130" w:type="dxa"/>
          </w:tcPr>
          <w:p>
            <w:pPr>
              <w:numPr>
                <w:numId w:val="0"/>
              </w:numPr>
              <w:rPr>
                <w:rFonts w:hint="eastAsia"/>
                <w:vertAlign w:val="baseline"/>
                <w:lang w:val="en-US" w:eastAsia="zh-CN"/>
              </w:rPr>
            </w:pPr>
            <w:r>
              <w:rPr>
                <w:rFonts w:hint="eastAsia"/>
                <w:vertAlign w:val="baseline"/>
                <w:lang w:val="en-US" w:eastAsia="zh-CN"/>
              </w:rPr>
              <w:t>Yes</w:t>
            </w:r>
          </w:p>
        </w:tc>
        <w:tc>
          <w:tcPr>
            <w:tcW w:w="2131" w:type="dxa"/>
          </w:tcPr>
          <w:p>
            <w:pPr>
              <w:numPr>
                <w:numId w:val="0"/>
              </w:numPr>
              <w:rPr>
                <w:rFonts w:hint="eastAsia"/>
                <w:vertAlign w:val="baseline"/>
                <w:lang w:val="en-US" w:eastAsia="zh-CN"/>
              </w:rPr>
            </w:pPr>
            <w:r>
              <w:rPr>
                <w:rFonts w:hint="eastAsia"/>
                <w:vertAlign w:val="baseline"/>
                <w:lang w:val="en-US" w:eastAsia="zh-CN"/>
              </w:rPr>
              <w:t>Yes</w:t>
            </w:r>
          </w:p>
        </w:tc>
        <w:tc>
          <w:tcPr>
            <w:tcW w:w="2131" w:type="dxa"/>
          </w:tcPr>
          <w:p>
            <w:pPr>
              <w:numPr>
                <w:numId w:val="0"/>
              </w:numPr>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Usable for cross-chain asset protability</w:t>
            </w:r>
          </w:p>
        </w:tc>
        <w:tc>
          <w:tcPr>
            <w:tcW w:w="2130" w:type="dxa"/>
          </w:tcPr>
          <w:p>
            <w:pPr>
              <w:numPr>
                <w:numId w:val="0"/>
              </w:numPr>
              <w:rPr>
                <w:rFonts w:hint="eastAsia"/>
                <w:vertAlign w:val="baseline"/>
                <w:lang w:val="en-US" w:eastAsia="zh-CN"/>
              </w:rPr>
            </w:pPr>
            <w:r>
              <w:rPr>
                <w:rFonts w:hint="eastAsia"/>
                <w:vertAlign w:val="baseline"/>
                <w:lang w:val="en-US" w:eastAsia="zh-CN"/>
              </w:rPr>
              <w:t>Yes(but requires universal long-term notary trust)</w:t>
            </w:r>
          </w:p>
        </w:tc>
        <w:tc>
          <w:tcPr>
            <w:tcW w:w="2131" w:type="dxa"/>
          </w:tcPr>
          <w:p>
            <w:pPr>
              <w:numPr>
                <w:numId w:val="0"/>
              </w:numPr>
              <w:rPr>
                <w:rFonts w:hint="eastAsia"/>
                <w:vertAlign w:val="baseline"/>
                <w:lang w:val="en-US" w:eastAsia="zh-CN"/>
              </w:rPr>
            </w:pPr>
            <w:r>
              <w:rPr>
                <w:rFonts w:hint="eastAsia"/>
                <w:vertAlign w:val="baseline"/>
                <w:lang w:val="en-US" w:eastAsia="zh-CN"/>
              </w:rPr>
              <w:t>Yes</w:t>
            </w:r>
          </w:p>
        </w:tc>
        <w:tc>
          <w:tcPr>
            <w:tcW w:w="2131" w:type="dxa"/>
          </w:tcPr>
          <w:p>
            <w:pPr>
              <w:numPr>
                <w:numId w:val="0"/>
              </w:numPr>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Usable for cross-chain oracles</w:t>
            </w:r>
          </w:p>
        </w:tc>
        <w:tc>
          <w:tcPr>
            <w:tcW w:w="2130" w:type="dxa"/>
          </w:tcPr>
          <w:p>
            <w:pPr>
              <w:numPr>
                <w:numId w:val="0"/>
              </w:numPr>
              <w:rPr>
                <w:rFonts w:hint="eastAsia"/>
                <w:vertAlign w:val="baseline"/>
                <w:lang w:val="en-US" w:eastAsia="zh-CN"/>
              </w:rPr>
            </w:pPr>
            <w:r>
              <w:rPr>
                <w:rFonts w:hint="eastAsia"/>
                <w:vertAlign w:val="baseline"/>
                <w:lang w:val="en-US" w:eastAsia="zh-CN"/>
              </w:rPr>
              <w:t>Yes</w:t>
            </w:r>
          </w:p>
        </w:tc>
        <w:tc>
          <w:tcPr>
            <w:tcW w:w="2131" w:type="dxa"/>
          </w:tcPr>
          <w:p>
            <w:pPr>
              <w:numPr>
                <w:numId w:val="0"/>
              </w:numPr>
              <w:rPr>
                <w:rFonts w:hint="eastAsia"/>
                <w:vertAlign w:val="baseline"/>
                <w:lang w:val="en-US" w:eastAsia="zh-CN"/>
              </w:rPr>
            </w:pPr>
            <w:r>
              <w:rPr>
                <w:rFonts w:hint="eastAsia"/>
                <w:vertAlign w:val="baseline"/>
                <w:lang w:val="en-US" w:eastAsia="zh-CN"/>
              </w:rPr>
              <w:t>Yes</w:t>
            </w:r>
          </w:p>
        </w:tc>
        <w:tc>
          <w:tcPr>
            <w:tcW w:w="2131" w:type="dxa"/>
          </w:tcPr>
          <w:p>
            <w:pPr>
              <w:numPr>
                <w:numId w:val="0"/>
              </w:numPr>
              <w:rPr>
                <w:rFonts w:hint="eastAsia"/>
                <w:vertAlign w:val="baseline"/>
                <w:lang w:val="en-US" w:eastAsia="zh-CN"/>
              </w:rPr>
            </w:pPr>
            <w:r>
              <w:rPr>
                <w:rFonts w:hint="eastAsia"/>
                <w:vertAlign w:val="baseline"/>
                <w:lang w:val="en-US" w:eastAsia="zh-CN"/>
              </w:rPr>
              <w:t>Not directly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rPr>
                <w:rFonts w:hint="eastAsia"/>
                <w:vertAlign w:val="baseline"/>
                <w:lang w:val="en-US" w:eastAsia="zh-CN"/>
              </w:rPr>
            </w:pPr>
            <w:r>
              <w:rPr>
                <w:rFonts w:hint="eastAsia"/>
                <w:vertAlign w:val="baseline"/>
                <w:lang w:val="en-US" w:eastAsia="zh-CN"/>
              </w:rPr>
              <w:t>Usable for cross-chain asset encumbrance</w:t>
            </w:r>
          </w:p>
        </w:tc>
        <w:tc>
          <w:tcPr>
            <w:tcW w:w="2130" w:type="dxa"/>
          </w:tcPr>
          <w:p>
            <w:pPr>
              <w:numPr>
                <w:numId w:val="0"/>
              </w:numPr>
              <w:rPr>
                <w:rFonts w:hint="eastAsia"/>
                <w:vertAlign w:val="baseline"/>
                <w:lang w:val="en-US" w:eastAsia="zh-CN"/>
              </w:rPr>
            </w:pPr>
            <w:r>
              <w:rPr>
                <w:rFonts w:hint="eastAsia"/>
                <w:vertAlign w:val="baseline"/>
                <w:lang w:val="en-US" w:eastAsia="zh-CN"/>
              </w:rPr>
              <w:t>Yes(but requires long-term notary trust)</w:t>
            </w:r>
          </w:p>
        </w:tc>
        <w:tc>
          <w:tcPr>
            <w:tcW w:w="2131" w:type="dxa"/>
          </w:tcPr>
          <w:p>
            <w:pPr>
              <w:numPr>
                <w:numId w:val="0"/>
              </w:numPr>
              <w:rPr>
                <w:rFonts w:hint="eastAsia"/>
                <w:vertAlign w:val="baseline"/>
                <w:lang w:val="en-US" w:eastAsia="zh-CN"/>
              </w:rPr>
            </w:pPr>
            <w:r>
              <w:rPr>
                <w:rFonts w:hint="eastAsia"/>
                <w:vertAlign w:val="baseline"/>
                <w:lang w:val="en-US" w:eastAsia="zh-CN"/>
              </w:rPr>
              <w:t>Yes</w:t>
            </w:r>
          </w:p>
        </w:tc>
        <w:tc>
          <w:tcPr>
            <w:tcW w:w="2131" w:type="dxa"/>
          </w:tcPr>
          <w:p>
            <w:pPr>
              <w:numPr>
                <w:numId w:val="0"/>
              </w:numPr>
              <w:rPr>
                <w:rFonts w:hint="eastAsia"/>
                <w:vertAlign w:val="baseline"/>
                <w:lang w:val="en-US" w:eastAsia="zh-CN"/>
              </w:rPr>
            </w:pPr>
            <w:r>
              <w:rPr>
                <w:rFonts w:hint="eastAsia"/>
                <w:vertAlign w:val="baseline"/>
                <w:lang w:val="en-US" w:eastAsia="zh-CN"/>
              </w:rPr>
              <w:t>In many cases, but with difficulty</w:t>
            </w:r>
          </w:p>
        </w:tc>
      </w:tr>
    </w:tbl>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几种跨链项目特性对比</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eastAsia"/>
                <w:vertAlign w:val="baseline"/>
                <w:lang w:val="en-US" w:eastAsia="zh-CN"/>
              </w:rPr>
            </w:pPr>
          </w:p>
        </w:tc>
        <w:tc>
          <w:tcPr>
            <w:tcW w:w="1217" w:type="dxa"/>
          </w:tcPr>
          <w:p>
            <w:pPr>
              <w:numPr>
                <w:numId w:val="0"/>
              </w:numPr>
              <w:rPr>
                <w:rFonts w:hint="eastAsia"/>
                <w:vertAlign w:val="baseline"/>
                <w:lang w:val="en-US" w:eastAsia="zh-CN"/>
              </w:rPr>
            </w:pPr>
            <w:r>
              <w:rPr>
                <w:rFonts w:hint="eastAsia"/>
                <w:vertAlign w:val="baseline"/>
                <w:lang w:val="en-US" w:eastAsia="zh-CN"/>
              </w:rPr>
              <w:t>事务类别</w:t>
            </w:r>
          </w:p>
        </w:tc>
        <w:tc>
          <w:tcPr>
            <w:tcW w:w="1217" w:type="dxa"/>
          </w:tcPr>
          <w:p>
            <w:pPr>
              <w:numPr>
                <w:numId w:val="0"/>
              </w:numPr>
              <w:rPr>
                <w:rFonts w:hint="eastAsia"/>
                <w:vertAlign w:val="baseline"/>
                <w:lang w:val="en-US" w:eastAsia="zh-CN"/>
              </w:rPr>
            </w:pPr>
            <w:r>
              <w:rPr>
                <w:rFonts w:hint="eastAsia"/>
                <w:vertAlign w:val="baseline"/>
                <w:lang w:val="en-US" w:eastAsia="zh-CN"/>
              </w:rPr>
              <w:t>跨异构链</w:t>
            </w:r>
          </w:p>
        </w:tc>
        <w:tc>
          <w:tcPr>
            <w:tcW w:w="1217" w:type="dxa"/>
          </w:tcPr>
          <w:p>
            <w:pPr>
              <w:numPr>
                <w:numId w:val="0"/>
              </w:numPr>
              <w:rPr>
                <w:rFonts w:hint="eastAsia"/>
                <w:vertAlign w:val="baseline"/>
                <w:lang w:val="en-US" w:eastAsia="zh-CN"/>
              </w:rPr>
            </w:pPr>
            <w:r>
              <w:rPr>
                <w:rFonts w:hint="eastAsia"/>
                <w:vertAlign w:val="baseline"/>
                <w:lang w:val="en-US" w:eastAsia="zh-CN"/>
              </w:rPr>
              <w:t>通信手段</w:t>
            </w:r>
          </w:p>
        </w:tc>
        <w:tc>
          <w:tcPr>
            <w:tcW w:w="1218" w:type="dxa"/>
          </w:tcPr>
          <w:p>
            <w:pPr>
              <w:numPr>
                <w:numId w:val="0"/>
              </w:numPr>
              <w:rPr>
                <w:rFonts w:hint="eastAsia"/>
                <w:vertAlign w:val="baseline"/>
                <w:lang w:val="en-US" w:eastAsia="zh-CN"/>
              </w:rPr>
            </w:pPr>
            <w:r>
              <w:rPr>
                <w:rFonts w:hint="eastAsia"/>
                <w:vertAlign w:val="baseline"/>
                <w:lang w:val="en-US" w:eastAsia="zh-CN"/>
              </w:rPr>
              <w:t>并行</w:t>
            </w:r>
          </w:p>
        </w:tc>
        <w:tc>
          <w:tcPr>
            <w:tcW w:w="1218" w:type="dxa"/>
          </w:tcPr>
          <w:p>
            <w:pPr>
              <w:numPr>
                <w:numId w:val="0"/>
              </w:numPr>
              <w:rPr>
                <w:rFonts w:hint="eastAsia"/>
                <w:vertAlign w:val="baseline"/>
                <w:lang w:val="en-US" w:eastAsia="zh-CN"/>
              </w:rPr>
            </w:pPr>
            <w:r>
              <w:rPr>
                <w:rFonts w:hint="eastAsia"/>
                <w:vertAlign w:val="baseline"/>
                <w:lang w:val="en-US" w:eastAsia="zh-CN"/>
              </w:rPr>
              <w:t>共识</w:t>
            </w:r>
          </w:p>
        </w:tc>
        <w:tc>
          <w:tcPr>
            <w:tcW w:w="1218" w:type="dxa"/>
          </w:tcPr>
          <w:p>
            <w:pPr>
              <w:numPr>
                <w:numId w:val="0"/>
              </w:numPr>
              <w:rPr>
                <w:rFonts w:hint="eastAsia"/>
                <w:vertAlign w:val="baseline"/>
                <w:lang w:val="en-US" w:eastAsia="zh-CN"/>
              </w:rPr>
            </w:pPr>
            <w:r>
              <w:rPr>
                <w:rFonts w:hint="eastAsia"/>
                <w:vertAlign w:val="baseline"/>
                <w:lang w:val="en-US" w:eastAsia="zh-CN"/>
              </w:rPr>
              <w:t>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eastAsia"/>
                <w:vertAlign w:val="baseline"/>
                <w:lang w:val="en-US" w:eastAsia="zh-CN"/>
              </w:rPr>
            </w:pPr>
            <w:r>
              <w:rPr>
                <w:rFonts w:hint="eastAsia"/>
                <w:vertAlign w:val="baseline"/>
                <w:lang w:val="en-US" w:eastAsia="zh-CN"/>
              </w:rPr>
              <w:t>Polkadot</w:t>
            </w:r>
          </w:p>
        </w:tc>
        <w:tc>
          <w:tcPr>
            <w:tcW w:w="1217" w:type="dxa"/>
          </w:tcPr>
          <w:p>
            <w:pPr>
              <w:numPr>
                <w:numId w:val="0"/>
              </w:numPr>
              <w:rPr>
                <w:rFonts w:hint="eastAsia"/>
                <w:vertAlign w:val="baseline"/>
                <w:lang w:val="en-US" w:eastAsia="zh-CN"/>
              </w:rPr>
            </w:pPr>
            <w:r>
              <w:rPr>
                <w:rFonts w:hint="eastAsia"/>
                <w:vertAlign w:val="baseline"/>
                <w:lang w:val="en-US" w:eastAsia="zh-CN"/>
              </w:rPr>
              <w:t>状态转移</w:t>
            </w:r>
          </w:p>
        </w:tc>
        <w:tc>
          <w:tcPr>
            <w:tcW w:w="1217" w:type="dxa"/>
          </w:tcPr>
          <w:p>
            <w:pPr>
              <w:numPr>
                <w:numId w:val="0"/>
              </w:numPr>
              <w:rPr>
                <w:rFonts w:hint="eastAsia"/>
                <w:vertAlign w:val="baseline"/>
                <w:lang w:val="en-US" w:eastAsia="zh-CN"/>
              </w:rPr>
            </w:pPr>
            <w:r>
              <w:rPr>
                <w:rFonts w:hint="eastAsia"/>
                <w:vertAlign w:val="baseline"/>
                <w:lang w:val="en-US" w:eastAsia="zh-CN"/>
              </w:rPr>
              <w:t>是</w:t>
            </w:r>
          </w:p>
        </w:tc>
        <w:tc>
          <w:tcPr>
            <w:tcW w:w="1217" w:type="dxa"/>
          </w:tcPr>
          <w:p>
            <w:pPr>
              <w:numPr>
                <w:numId w:val="0"/>
              </w:numPr>
              <w:rPr>
                <w:rFonts w:hint="eastAsia"/>
                <w:vertAlign w:val="baseline"/>
                <w:lang w:val="en-US" w:eastAsia="zh-CN"/>
              </w:rPr>
            </w:pPr>
            <w:r>
              <w:rPr>
                <w:rFonts w:hint="eastAsia"/>
                <w:vertAlign w:val="baseline"/>
                <w:lang w:val="en-US" w:eastAsia="zh-CN"/>
              </w:rPr>
              <w:t>区块链</w:t>
            </w:r>
          </w:p>
        </w:tc>
        <w:tc>
          <w:tcPr>
            <w:tcW w:w="1218" w:type="dxa"/>
          </w:tcPr>
          <w:p>
            <w:pPr>
              <w:numPr>
                <w:numId w:val="0"/>
              </w:numPr>
              <w:rPr>
                <w:rFonts w:hint="eastAsia"/>
                <w:vertAlign w:val="baseline"/>
                <w:lang w:val="en-US" w:eastAsia="zh-CN"/>
              </w:rPr>
            </w:pPr>
            <w:r>
              <w:rPr>
                <w:rFonts w:hint="eastAsia"/>
                <w:vertAlign w:val="baseline"/>
                <w:lang w:val="en-US" w:eastAsia="zh-CN"/>
              </w:rPr>
              <w:t>否</w:t>
            </w:r>
          </w:p>
        </w:tc>
        <w:tc>
          <w:tcPr>
            <w:tcW w:w="1218" w:type="dxa"/>
          </w:tcPr>
          <w:p>
            <w:pPr>
              <w:numPr>
                <w:numId w:val="0"/>
              </w:numPr>
              <w:rPr>
                <w:rFonts w:hint="eastAsia"/>
                <w:vertAlign w:val="baseline"/>
                <w:lang w:val="en-US" w:eastAsia="zh-CN"/>
              </w:rPr>
            </w:pPr>
            <w:r>
              <w:rPr>
                <w:rFonts w:hint="eastAsia"/>
                <w:vertAlign w:val="baseline"/>
                <w:lang w:val="en-US" w:eastAsia="zh-CN"/>
              </w:rPr>
              <w:t>Pos+bft</w:t>
            </w:r>
          </w:p>
        </w:tc>
        <w:tc>
          <w:tcPr>
            <w:tcW w:w="1218" w:type="dxa"/>
          </w:tcPr>
          <w:p>
            <w:pPr>
              <w:numPr>
                <w:numId w:val="0"/>
              </w:numPr>
              <w:rPr>
                <w:rFonts w:hint="eastAsia"/>
                <w:vertAlign w:val="baseline"/>
                <w:lang w:val="en-US" w:eastAsia="zh-CN"/>
              </w:rPr>
            </w:pPr>
            <w:r>
              <w:rPr>
                <w:rFonts w:hint="eastAsia"/>
                <w:vertAlign w:val="baseline"/>
                <w:lang w:val="en-US" w:eastAsia="zh-CN"/>
              </w:rPr>
              <w:t>角色分工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eastAsia"/>
                <w:vertAlign w:val="baseline"/>
                <w:lang w:val="en-US" w:eastAsia="zh-CN"/>
              </w:rPr>
            </w:pPr>
            <w:r>
              <w:rPr>
                <w:rFonts w:hint="eastAsia"/>
                <w:vertAlign w:val="baseline"/>
                <w:lang w:val="en-US" w:eastAsia="zh-CN"/>
              </w:rPr>
              <w:t>Aeternity</w:t>
            </w:r>
          </w:p>
        </w:tc>
        <w:tc>
          <w:tcPr>
            <w:tcW w:w="1217" w:type="dxa"/>
          </w:tcPr>
          <w:p>
            <w:pPr>
              <w:numPr>
                <w:numId w:val="0"/>
              </w:numPr>
              <w:rPr>
                <w:rFonts w:hint="eastAsia"/>
                <w:vertAlign w:val="baseline"/>
                <w:lang w:val="en-US" w:eastAsia="zh-CN"/>
              </w:rPr>
            </w:pPr>
            <w:r>
              <w:rPr>
                <w:rFonts w:hint="eastAsia"/>
                <w:vertAlign w:val="baseline"/>
                <w:lang w:val="en-US" w:eastAsia="zh-CN"/>
              </w:rPr>
              <w:t>状态转移</w:t>
            </w:r>
          </w:p>
        </w:tc>
        <w:tc>
          <w:tcPr>
            <w:tcW w:w="1217" w:type="dxa"/>
          </w:tcPr>
          <w:p>
            <w:pPr>
              <w:numPr>
                <w:numId w:val="0"/>
              </w:numPr>
              <w:rPr>
                <w:rFonts w:hint="eastAsia"/>
                <w:vertAlign w:val="baseline"/>
                <w:lang w:val="en-US" w:eastAsia="zh-CN"/>
              </w:rPr>
            </w:pPr>
            <w:r>
              <w:rPr>
                <w:rFonts w:hint="eastAsia"/>
                <w:vertAlign w:val="baseline"/>
                <w:lang w:val="en-US" w:eastAsia="zh-CN"/>
              </w:rPr>
              <w:t>否</w:t>
            </w:r>
          </w:p>
        </w:tc>
        <w:tc>
          <w:tcPr>
            <w:tcW w:w="1217" w:type="dxa"/>
          </w:tcPr>
          <w:p>
            <w:pPr>
              <w:numPr>
                <w:numId w:val="0"/>
              </w:numPr>
              <w:rPr>
                <w:rFonts w:hint="eastAsia"/>
                <w:vertAlign w:val="baseline"/>
                <w:lang w:val="en-US" w:eastAsia="zh-CN"/>
              </w:rPr>
            </w:pPr>
            <w:r>
              <w:rPr>
                <w:rFonts w:hint="eastAsia"/>
                <w:vertAlign w:val="baseline"/>
                <w:lang w:val="en-US" w:eastAsia="zh-CN"/>
              </w:rPr>
              <w:t>状态通道</w:t>
            </w:r>
          </w:p>
        </w:tc>
        <w:tc>
          <w:tcPr>
            <w:tcW w:w="1218" w:type="dxa"/>
          </w:tcPr>
          <w:p>
            <w:pPr>
              <w:numPr>
                <w:numId w:val="0"/>
              </w:numPr>
              <w:rPr>
                <w:rFonts w:hint="eastAsia"/>
                <w:vertAlign w:val="baseline"/>
                <w:lang w:val="en-US" w:eastAsia="zh-CN"/>
              </w:rPr>
            </w:pPr>
            <w:r>
              <w:rPr>
                <w:rFonts w:hint="eastAsia"/>
                <w:vertAlign w:val="baseline"/>
                <w:lang w:val="en-US" w:eastAsia="zh-CN"/>
              </w:rPr>
              <w:t>是</w:t>
            </w:r>
          </w:p>
        </w:tc>
        <w:tc>
          <w:tcPr>
            <w:tcW w:w="1218" w:type="dxa"/>
          </w:tcPr>
          <w:p>
            <w:pPr>
              <w:numPr>
                <w:numId w:val="0"/>
              </w:numPr>
              <w:rPr>
                <w:rFonts w:hint="eastAsia"/>
                <w:vertAlign w:val="baseline"/>
                <w:lang w:val="en-US" w:eastAsia="zh-CN"/>
              </w:rPr>
            </w:pPr>
            <w:r>
              <w:rPr>
                <w:rFonts w:hint="eastAsia"/>
                <w:vertAlign w:val="baseline"/>
                <w:lang w:val="en-US" w:eastAsia="zh-CN"/>
              </w:rPr>
              <w:t>Pos+pow</w:t>
            </w:r>
          </w:p>
        </w:tc>
        <w:tc>
          <w:tcPr>
            <w:tcW w:w="1218" w:type="dxa"/>
          </w:tcPr>
          <w:p>
            <w:pPr>
              <w:numPr>
                <w:numId w:val="0"/>
              </w:numPr>
              <w:rPr>
                <w:rFonts w:hint="eastAsia"/>
                <w:vertAlign w:val="baseline"/>
                <w:lang w:val="en-US" w:eastAsia="zh-CN"/>
              </w:rPr>
            </w:pPr>
            <w:r>
              <w:rPr>
                <w:rFonts w:hint="eastAsia"/>
                <w:vertAlign w:val="baseline"/>
                <w:lang w:val="en-US" w:eastAsia="zh-CN"/>
              </w:rPr>
              <w:t>状态通道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eastAsia"/>
                <w:vertAlign w:val="baseline"/>
                <w:lang w:val="en-US" w:eastAsia="zh-CN"/>
              </w:rPr>
            </w:pPr>
            <w:r>
              <w:rPr>
                <w:rFonts w:hint="eastAsia"/>
                <w:vertAlign w:val="baseline"/>
                <w:lang w:val="en-US" w:eastAsia="zh-CN"/>
              </w:rPr>
              <w:t>Anlink</w:t>
            </w:r>
          </w:p>
        </w:tc>
        <w:tc>
          <w:tcPr>
            <w:tcW w:w="1217" w:type="dxa"/>
          </w:tcPr>
          <w:p>
            <w:pPr>
              <w:numPr>
                <w:numId w:val="0"/>
              </w:numPr>
              <w:rPr>
                <w:rFonts w:hint="eastAsia"/>
                <w:vertAlign w:val="baseline"/>
                <w:lang w:val="en-US" w:eastAsia="zh-CN"/>
              </w:rPr>
            </w:pPr>
            <w:r>
              <w:rPr>
                <w:rFonts w:hint="eastAsia"/>
                <w:vertAlign w:val="baseline"/>
                <w:lang w:val="en-US" w:eastAsia="zh-CN"/>
              </w:rPr>
              <w:t>状态转移</w:t>
            </w:r>
          </w:p>
        </w:tc>
        <w:tc>
          <w:tcPr>
            <w:tcW w:w="1217" w:type="dxa"/>
          </w:tcPr>
          <w:p>
            <w:pPr>
              <w:numPr>
                <w:numId w:val="0"/>
              </w:numPr>
              <w:rPr>
                <w:rFonts w:hint="eastAsia"/>
                <w:vertAlign w:val="baseline"/>
                <w:lang w:val="en-US" w:eastAsia="zh-CN"/>
              </w:rPr>
            </w:pPr>
            <w:r>
              <w:rPr>
                <w:rFonts w:hint="eastAsia"/>
                <w:vertAlign w:val="baseline"/>
                <w:lang w:val="en-US" w:eastAsia="zh-CN"/>
              </w:rPr>
              <w:t>是</w:t>
            </w:r>
          </w:p>
        </w:tc>
        <w:tc>
          <w:tcPr>
            <w:tcW w:w="1217" w:type="dxa"/>
          </w:tcPr>
          <w:p>
            <w:pPr>
              <w:numPr>
                <w:numId w:val="0"/>
              </w:numPr>
              <w:rPr>
                <w:rFonts w:hint="eastAsia"/>
                <w:vertAlign w:val="baseline"/>
                <w:lang w:val="en-US" w:eastAsia="zh-CN"/>
              </w:rPr>
            </w:pPr>
            <w:r>
              <w:rPr>
                <w:rFonts w:hint="eastAsia"/>
                <w:vertAlign w:val="baseline"/>
                <w:lang w:val="en-US" w:eastAsia="zh-CN"/>
              </w:rPr>
              <w:t>区块链</w:t>
            </w:r>
          </w:p>
        </w:tc>
        <w:tc>
          <w:tcPr>
            <w:tcW w:w="1218" w:type="dxa"/>
          </w:tcPr>
          <w:p>
            <w:pPr>
              <w:numPr>
                <w:numId w:val="0"/>
              </w:numPr>
              <w:rPr>
                <w:rFonts w:hint="eastAsia"/>
                <w:vertAlign w:val="baseline"/>
                <w:lang w:val="en-US" w:eastAsia="zh-CN"/>
              </w:rPr>
            </w:pPr>
            <w:r>
              <w:rPr>
                <w:rFonts w:hint="eastAsia"/>
                <w:vertAlign w:val="baseline"/>
                <w:lang w:val="en-US" w:eastAsia="zh-CN"/>
              </w:rPr>
              <w:t>否</w:t>
            </w:r>
          </w:p>
        </w:tc>
        <w:tc>
          <w:tcPr>
            <w:tcW w:w="1218" w:type="dxa"/>
          </w:tcPr>
          <w:p>
            <w:pPr>
              <w:numPr>
                <w:numId w:val="0"/>
              </w:numPr>
              <w:rPr>
                <w:rFonts w:hint="eastAsia"/>
                <w:vertAlign w:val="baseline"/>
                <w:lang w:val="en-US" w:eastAsia="zh-CN"/>
              </w:rPr>
            </w:pPr>
            <w:r>
              <w:rPr>
                <w:rFonts w:hint="eastAsia"/>
                <w:vertAlign w:val="baseline"/>
                <w:lang w:val="en-US" w:eastAsia="zh-CN"/>
              </w:rPr>
              <w:t>Ds+pbft</w:t>
            </w:r>
          </w:p>
        </w:tc>
        <w:tc>
          <w:tcPr>
            <w:tcW w:w="1218" w:type="dxa"/>
          </w:tcPr>
          <w:p>
            <w:pPr>
              <w:numPr>
                <w:numId w:val="0"/>
              </w:numPr>
              <w:rPr>
                <w:rFonts w:hint="eastAsia"/>
                <w:vertAlign w:val="baseline"/>
                <w:lang w:val="en-US" w:eastAsia="zh-CN"/>
              </w:rPr>
            </w:pPr>
            <w:r>
              <w:rPr>
                <w:rFonts w:hint="eastAsia"/>
                <w:vertAlign w:val="baseline"/>
                <w:lang w:val="en-US" w:eastAsia="zh-CN"/>
              </w:rPr>
              <w:t>链网络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eastAsia"/>
                <w:vertAlign w:val="baseline"/>
                <w:lang w:val="en-US" w:eastAsia="zh-CN"/>
              </w:rPr>
            </w:pPr>
            <w:r>
              <w:rPr>
                <w:rFonts w:hint="eastAsia"/>
                <w:vertAlign w:val="baseline"/>
                <w:lang w:val="en-US" w:eastAsia="zh-CN"/>
              </w:rPr>
              <w:t>Interledger</w:t>
            </w:r>
          </w:p>
        </w:tc>
        <w:tc>
          <w:tcPr>
            <w:tcW w:w="1217" w:type="dxa"/>
          </w:tcPr>
          <w:p>
            <w:pPr>
              <w:numPr>
                <w:numId w:val="0"/>
              </w:numPr>
              <w:rPr>
                <w:rFonts w:hint="eastAsia"/>
                <w:vertAlign w:val="baseline"/>
                <w:lang w:val="en-US" w:eastAsia="zh-CN"/>
              </w:rPr>
            </w:pPr>
            <w:r>
              <w:rPr>
                <w:rFonts w:hint="eastAsia"/>
                <w:vertAlign w:val="baseline"/>
                <w:lang w:val="en-US" w:eastAsia="zh-CN"/>
              </w:rPr>
              <w:t>资产转移</w:t>
            </w:r>
          </w:p>
        </w:tc>
        <w:tc>
          <w:tcPr>
            <w:tcW w:w="1217" w:type="dxa"/>
          </w:tcPr>
          <w:p>
            <w:pPr>
              <w:numPr>
                <w:numId w:val="0"/>
              </w:numPr>
              <w:rPr>
                <w:rFonts w:hint="eastAsia"/>
                <w:vertAlign w:val="baseline"/>
                <w:lang w:val="en-US" w:eastAsia="zh-CN"/>
              </w:rPr>
            </w:pPr>
            <w:r>
              <w:rPr>
                <w:rFonts w:hint="eastAsia"/>
                <w:vertAlign w:val="baseline"/>
                <w:lang w:val="en-US" w:eastAsia="zh-CN"/>
              </w:rPr>
              <w:t>是</w:t>
            </w:r>
          </w:p>
        </w:tc>
        <w:tc>
          <w:tcPr>
            <w:tcW w:w="1217" w:type="dxa"/>
          </w:tcPr>
          <w:p>
            <w:pPr>
              <w:numPr>
                <w:numId w:val="0"/>
              </w:numPr>
              <w:rPr>
                <w:rFonts w:hint="eastAsia"/>
                <w:vertAlign w:val="baseline"/>
                <w:lang w:val="en-US" w:eastAsia="zh-CN"/>
              </w:rPr>
            </w:pPr>
            <w:r>
              <w:rPr>
                <w:rFonts w:hint="eastAsia"/>
                <w:vertAlign w:val="baseline"/>
                <w:lang w:val="en-US" w:eastAsia="zh-CN"/>
              </w:rPr>
              <w:t>中间人</w:t>
            </w:r>
          </w:p>
        </w:tc>
        <w:tc>
          <w:tcPr>
            <w:tcW w:w="1218" w:type="dxa"/>
          </w:tcPr>
          <w:p>
            <w:pPr>
              <w:numPr>
                <w:numId w:val="0"/>
              </w:numPr>
              <w:rPr>
                <w:rFonts w:hint="eastAsia"/>
                <w:vertAlign w:val="baseline"/>
                <w:lang w:val="en-US" w:eastAsia="zh-CN"/>
              </w:rPr>
            </w:pPr>
            <w:r>
              <w:rPr>
                <w:rFonts w:hint="eastAsia"/>
                <w:vertAlign w:val="baseline"/>
                <w:lang w:val="en-US" w:eastAsia="zh-CN"/>
              </w:rPr>
              <w:t>否</w:t>
            </w:r>
          </w:p>
        </w:tc>
        <w:tc>
          <w:tcPr>
            <w:tcW w:w="1218" w:type="dxa"/>
          </w:tcPr>
          <w:p>
            <w:pPr>
              <w:numPr>
                <w:numId w:val="0"/>
              </w:numPr>
              <w:rPr>
                <w:rFonts w:hint="eastAsia"/>
                <w:vertAlign w:val="baseline"/>
                <w:lang w:val="en-US" w:eastAsia="zh-CN"/>
              </w:rPr>
            </w:pPr>
            <w:r>
              <w:rPr>
                <w:rFonts w:hint="eastAsia"/>
                <w:vertAlign w:val="baseline"/>
                <w:lang w:val="en-US" w:eastAsia="zh-CN"/>
              </w:rPr>
              <w:t>哈希锁/中间人</w:t>
            </w:r>
          </w:p>
        </w:tc>
        <w:tc>
          <w:tcPr>
            <w:tcW w:w="1218" w:type="dxa"/>
          </w:tcPr>
          <w:p>
            <w:pPr>
              <w:numPr>
                <w:numId w:val="0"/>
              </w:numPr>
              <w:rPr>
                <w:rFonts w:hint="eastAsia"/>
                <w:vertAlign w:val="baseline"/>
                <w:lang w:val="en-US" w:eastAsia="zh-CN"/>
              </w:rPr>
            </w:pPr>
            <w:r>
              <w:rPr>
                <w:rFonts w:hint="eastAsia"/>
                <w:vertAlign w:val="baseline"/>
                <w:lang w:val="en-US" w:eastAsia="zh-CN"/>
              </w:rPr>
              <w:t>信任的传递</w:t>
            </w:r>
            <w:bookmarkStart w:id="0" w:name="_GoBack"/>
            <w:bookmarkEnd w:id="0"/>
          </w:p>
        </w:tc>
      </w:tr>
    </w:tbl>
    <w:p>
      <w:pPr>
        <w:numPr>
          <w:numId w:val="0"/>
        </w:numPr>
        <w:ind w:leftChars="0"/>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请求代理通信</w:t>
      </w:r>
    </w:p>
    <w:p>
      <w:pPr>
        <w:widowControl w:val="0"/>
        <w:numPr>
          <w:numId w:val="0"/>
        </w:numPr>
        <w:ind w:leftChars="0"/>
        <w:jc w:val="both"/>
        <w:rPr>
          <w:rFonts w:hint="eastAsia"/>
          <w:lang w:val="en-US" w:eastAsia="zh-CN"/>
        </w:rPr>
      </w:pPr>
      <w:r>
        <w:rPr>
          <w:rFonts w:hint="eastAsia"/>
          <w:lang w:val="en-US" w:eastAsia="zh-CN"/>
        </w:rPr>
        <w:t>其中唯一的问题是付款人和收款人能实际使用之间存在轻微的时间差。</w:t>
      </w:r>
    </w:p>
    <w:p>
      <w:pPr>
        <w:widowControl w:val="0"/>
        <w:numPr>
          <w:numId w:val="0"/>
        </w:numPr>
        <w:ind w:leftChars="0"/>
        <w:jc w:val="both"/>
        <w:rPr>
          <w:rFonts w:hint="eastAsia"/>
          <w:lang w:val="en-US" w:eastAsia="zh-CN"/>
        </w:rPr>
      </w:pPr>
      <w:r>
        <w:rPr>
          <w:rFonts w:hint="eastAsia"/>
          <w:lang w:val="en-US" w:eastAsia="zh-CN"/>
        </w:rPr>
        <w:t>多链上双方(或多方)智能合约和数字资产并没有明显的区别，存在同类的权限限制。</w:t>
      </w:r>
    </w:p>
    <w:p>
      <w:pPr>
        <w:widowControl w:val="0"/>
        <w:numPr>
          <w:numId w:val="0"/>
        </w:numPr>
        <w:ind w:leftChars="0"/>
        <w:jc w:val="both"/>
        <w:rPr>
          <w:rFonts w:hint="eastAsia"/>
          <w:lang w:val="en-US" w:eastAsia="zh-CN"/>
        </w:rPr>
      </w:pPr>
      <w:r>
        <w:rPr>
          <w:rFonts w:hint="eastAsia"/>
          <w:lang w:val="en-US" w:eastAsia="zh-CN"/>
        </w:rPr>
        <w:t>诸如金融领域的身份验证这类应用程序可能会涉及数字资产转账系统和身份管理系统之间的互操作过程，在这里进行异步处理并没有太大的问题。</w:t>
      </w:r>
    </w:p>
    <w:p>
      <w:pPr>
        <w:widowControl w:val="0"/>
        <w:numPr>
          <w:numId w:val="0"/>
        </w:numPr>
        <w:ind w:leftChars="0"/>
        <w:jc w:val="both"/>
        <w:rPr>
          <w:rFonts w:hint="eastAsia"/>
          <w:lang w:val="en-US" w:eastAsia="zh-CN"/>
        </w:rPr>
      </w:pPr>
      <w:r>
        <w:rPr>
          <w:rFonts w:hint="eastAsia"/>
          <w:lang w:val="en-US" w:eastAsia="zh-CN"/>
        </w:rPr>
        <w:t>原子化交易实施方案将需要处理一些特殊的案例，即双方尝试同时参与一笔交易，锁定机制和由合约生成的退款交易机制是处理这个问题最显然的策略了。</w:t>
      </w:r>
    </w:p>
    <w:p>
      <w:pPr>
        <w:widowControl w:val="0"/>
        <w:numPr>
          <w:numId w:val="0"/>
        </w:numPr>
        <w:ind w:leftChars="0"/>
        <w:jc w:val="both"/>
        <w:rPr>
          <w:rFonts w:hint="eastAsia"/>
          <w:lang w:val="en-US" w:eastAsia="zh-CN"/>
        </w:rPr>
      </w:pPr>
      <w:r>
        <w:rPr>
          <w:rFonts w:hint="eastAsia"/>
          <w:lang w:val="en-US" w:eastAsia="zh-CN"/>
        </w:rPr>
        <w:t>但基于区块链技术并实时处理交易的系统看上去是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C4288"/>
    <w:multiLevelType w:val="singleLevel"/>
    <w:tmpl w:val="4D5C42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F7255"/>
    <w:rsid w:val="14A434B5"/>
    <w:rsid w:val="1BF71A78"/>
    <w:rsid w:val="20AD5C93"/>
    <w:rsid w:val="27FE195D"/>
    <w:rsid w:val="2E382240"/>
    <w:rsid w:val="2F5A13DB"/>
    <w:rsid w:val="31C46BAB"/>
    <w:rsid w:val="3FA52955"/>
    <w:rsid w:val="401A2E13"/>
    <w:rsid w:val="406453D5"/>
    <w:rsid w:val="443266C1"/>
    <w:rsid w:val="495810A7"/>
    <w:rsid w:val="4B915A79"/>
    <w:rsid w:val="4EAD132C"/>
    <w:rsid w:val="531C21A8"/>
    <w:rsid w:val="55905166"/>
    <w:rsid w:val="5A87394A"/>
    <w:rsid w:val="5B27212D"/>
    <w:rsid w:val="5BE74053"/>
    <w:rsid w:val="68524A89"/>
    <w:rsid w:val="6C130E99"/>
    <w:rsid w:val="799445BA"/>
    <w:rsid w:val="7CC40999"/>
    <w:rsid w:val="7E622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tangy1</dc:creator>
  <cp:lastModifiedBy>高原</cp:lastModifiedBy>
  <dcterms:modified xsi:type="dcterms:W3CDTF">2018-05-25T06:45:49Z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