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Arial" w:cs="Arial" w:eastAsia="Arial" w:hAnsi="Arial"/>
          <w:sz w:val="40"/>
          <w:szCs w:val="40"/>
        </w:rPr>
      </w:pPr>
      <w:bookmarkStart w:colFirst="0" w:colLast="0" w:name="_c40bjinrqlg4" w:id="0"/>
      <w:bookmarkEnd w:id="0"/>
      <w:r w:rsidDel="00000000" w:rsidR="00000000" w:rsidRPr="00000000">
        <w:rPr>
          <w:rFonts w:ascii="Arial" w:cs="Arial" w:eastAsia="Arial" w:hAnsi="Arial"/>
          <w:color w:val="000000"/>
          <w:sz w:val="36"/>
          <w:szCs w:val="36"/>
          <w:rtl w:val="0"/>
        </w:rPr>
        <w:t>Project Requirements Document: Cyclistic Fleet Intelligence</w:t>
      </w:r>
      <w:r w:rsidDel="00000000" w:rsidR="00000000" w:rsidRPr="00000000">
        <w:rPr>
          <w:rFonts w:ascii="Arial" w:cs="Arial" w:eastAsia="Arial" w:hAnsi="Arial"/>
          <w:color w:val="000000"/>
          <w:sz w:val="36"/>
          <w:szCs w:val="36"/>
          <w:rtl w:val="0"/>
        </w:rPr>
      </w:r>
      <w:r w:rsidDel="00000000" w:rsidR="00000000" w:rsidRPr="00000000">
        <w:rPr>
          <w:rtl w:val="0"/>
        </w:rPr>
      </w:r>
    </w:p>
    <w:p w:rsidR="00000000" w:rsidDel="00000000" w:rsidP="00000000" w:rsidRDefault="00000000" w:rsidRPr="00000000" w14:paraId="00000002">
      <w:pPr>
        <w:spacing w:after="200" w:line="276"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3">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Arial" w:cs="Arial" w:eastAsia="Arial" w:hAnsi="Arial"/>
          <w:b w:val="1"/>
          <w:color w:val="4285f4"/>
          <w:sz w:val="22"/>
          <w:szCs w:val="22"/>
          <w:rtl w:val="0"/>
        </w:rPr>
        <w:t>BI Analyst: Chris Hainlen</w:t>
      </w:r>
      <w:r w:rsidDel="00000000" w:rsidR="00000000" w:rsidRPr="00000000">
        <w:rPr>
          <w:rFonts w:ascii="Arial" w:cs="Arial" w:eastAsia="Arial" w:hAnsi="Arial"/>
          <w:color w:val="4285f4"/>
          <w:sz w:val="22"/>
          <w:szCs w:val="22"/>
          <w:rtl w:val="0"/>
        </w:rPr>
      </w:r>
      <w:r w:rsidDel="00000000" w:rsidR="00000000" w:rsidRPr="00000000">
        <w:rPr>
          <w:rFonts w:ascii="Arial" w:cs="Arial" w:eastAsia="Arial" w:hAnsi="Arial"/>
          <w:color w:val="3c4043"/>
          <w:sz w:val="22"/>
          <w:szCs w:val="22"/>
          <w:rtl w:val="0"/>
        </w:rPr>
      </w:r>
    </w:p>
    <w:p w:rsidR="00000000" w:rsidDel="00000000" w:rsidP="00000000" w:rsidRDefault="00000000" w:rsidRPr="00000000" w14:paraId="00000004">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Arial" w:cs="Arial" w:eastAsia="Arial" w:hAnsi="Arial"/>
          <w:b w:val="1"/>
          <w:color w:val="4285f4"/>
          <w:sz w:val="22"/>
          <w:szCs w:val="22"/>
          <w:rtl w:val="0"/>
        </w:rPr>
        <w:t>Client/Sponsor: Sara Romero, VP Marketing; Cyclistic Customer Growth Team</w:t>
      </w:r>
      <w:r w:rsidDel="00000000" w:rsidR="00000000" w:rsidRPr="00000000">
        <w:rPr>
          <w:rFonts w:ascii="Arial" w:cs="Arial" w:eastAsia="Arial" w:hAnsi="Arial"/>
          <w:color w:val="4285f4"/>
          <w:sz w:val="22"/>
          <w:szCs w:val="22"/>
          <w:rtl w:val="0"/>
        </w:rPr>
      </w:r>
      <w:r w:rsidDel="00000000" w:rsidR="00000000" w:rsidRPr="00000000">
        <w:rPr>
          <w:rFonts w:ascii="Arial" w:cs="Arial" w:eastAsia="Arial" w:hAnsi="Arial"/>
          <w:color w:val="000000"/>
          <w:sz w:val="22"/>
          <w:szCs w:val="22"/>
          <w:rtl w:val="0"/>
        </w:rPr>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Purpose:</w:t>
      </w:r>
      <w:r w:rsidDel="00000000" w:rsidR="00000000" w:rsidRPr="00000000">
        <w:rPr>
          <w:rFonts w:ascii="Arial" w:cs="Arial" w:eastAsia="Arial" w:hAnsi="Arial"/>
          <w:color w:val="000000"/>
          <w:sz w:val="22"/>
          <w:szCs w:val="22"/>
          <w:rtl w:val="0"/>
        </w:rPr>
        <w:t xml:space="preserve"> (Briefly describe why the project is happening and why the company should invest resources in it.)</w:t>
      </w:r>
    </w:p>
    <w:p>
      <w:r>
        <w:rPr>
          <w:b w:val="0"/>
        </w:rPr>
        <w:t>Cyclistic's Customer Growth Team is building next year's business plan and needs data-driven visibility into rider demand at station locations to decide where to add stations, how to size the fleet, and how to grow subscriber adoption. Today, station demand is uneven and bikes get misallocated, with no visibility into where supply gaps suppress ridership. A dashboard that turns 2013–2015 trip data into demand intelligence will let leadership invest fleet and station capital where the data shows real, latent, and growing demand — instead of guessing from internal observation.</w:t>
      </w:r>
    </w:p>
    <w:p w:rsidR="00000000" w:rsidDel="00000000" w:rsidP="00000000" w:rsidRDefault="00000000" w:rsidRPr="00000000" w14:paraId="00000006">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Key dependencies:</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(Detail the major elements of this project. Include the team, primary contacts, and expected deliverables.)</w:t>
      </w:r>
    </w:p>
    <w:p>
      <w:r>
        <w:rPr>
          <w:b w:val="0"/>
        </w:rPr>
        <w:t>- BI Analyst: Chris Hainlen.</w:t>
      </w:r>
    </w:p>
    <w:p>
      <w:r>
        <w:rPr>
          <w:b w:val="0"/>
        </w:rPr>
        <w:t>- Sponsor: Sara Romero, VP Marketing.</w:t>
      </w:r>
    </w:p>
    <w:p>
      <w:r>
        <w:rPr>
          <w:b w:val="0"/>
        </w:rPr>
        <w:t>- Approvals: Jamal Harris (Director Customer Data) for user-data access; product-data owners for trip duration and BikeID fields.</w:t>
      </w:r>
    </w:p>
    <w:p>
      <w:r>
        <w:rPr>
          <w:b w:val="0"/>
        </w:rPr>
        <w:t>- Primary technical contacts: Adhira Patel (API Strategist), Megan Pirato (Data Warehousing), Rick Andersson (Data Governance), Tessa Blackwell (Data Analyst).</w:t>
      </w:r>
    </w:p>
    <w:p>
      <w:r>
        <w:rPr>
          <w:b w:val="0"/>
        </w:rPr>
        <w:t>- Project Manager: Shareefah Hakimi.</w:t>
      </w:r>
    </w:p>
    <w:p>
      <w:r>
        <w:rPr>
          <w:b w:val="0"/>
        </w:rPr>
        <w:t>- IT: Brianne Sand, Director IT.</w:t>
      </w:r>
    </w:p>
    <w:p>
      <w:r>
        <w:rPr>
          <w:b w:val="0"/>
        </w:rPr>
        <w:t>- Procurement: Nina Locklear, Director Procurement (consumer of fleet-sizing output).</w:t>
      </w:r>
    </w:p>
    <w:p>
      <w:r>
        <w:rPr>
          <w:b w:val="0"/>
        </w:rPr>
        <w:t>- Datasets: NYC Citi Bike Trips 2013–2015 (primary); US Census Bureau boundaries and ACS (secondary).</w:t>
      </w:r>
    </w:p>
    <w:p>
      <w:r>
        <w:rPr>
          <w:b w:val="0"/>
        </w:rPr>
        <w:t>- Expected deliverables: SQL pipeline (9 queries drafted, see README), interactive dashboard (map + table + buffer slider + seasonal trend + population overlay), one-page executive summary.</w:t>
      </w:r>
    </w:p>
    <w:p w:rsidR="00000000" w:rsidDel="00000000" w:rsidP="00000000" w:rsidRDefault="00000000" w:rsidRPr="00000000" w14:paraId="00000007">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Stakeholder requirements:</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(List the established stakeholder requirements, based on the Stakeholder Requirements Document. Prioritize the requirements as: R - required, D - desired, or N - nice to have.)</w:t>
      </w:r>
    </w:p>
    <w:p>
      <w:r>
        <w:rPr>
          <w:b w:val="0"/>
        </w:rPr>
        <w:t>Required (R):</w:t>
      </w:r>
    </w:p>
    <w:p>
      <w:r>
        <w:rPr>
          <w:b w:val="0"/>
        </w:rPr>
        <w:t>- Map of trip volume by start/end station with activity-tier filter (33rd / 66th percentile reference lines).</w:t>
      </w:r>
    </w:p>
    <w:p>
      <w:r>
        <w:rPr>
          <w:b w:val="0"/>
        </w:rPr>
        <w:t>- Subscriber vs casual rider breakdown.</w:t>
      </w:r>
    </w:p>
    <w:p>
      <w:r>
        <w:rPr>
          <w:b w:val="0"/>
        </w:rPr>
        <w:t>- Year-over-year trip growth, 2013–2015.</w:t>
      </w:r>
    </w:p>
    <w:p>
      <w:r>
        <w:rPr>
          <w:b w:val="0"/>
        </w:rPr>
        <w:t>- Summer 2015 trend view.</w:t>
      </w:r>
    </w:p>
    <w:p>
      <w:r>
        <w:rPr>
          <w:b w:val="0"/>
        </w:rPr>
        <w:t>- Per-station send/return balance (congestion).</w:t>
      </w:r>
    </w:p>
    <w:p>
      <w:r>
        <w:rPr>
          <w:b w:val="0"/>
        </w:rPr>
        <w:t>- Adjustable buffer slider for fleet sizing.</w:t>
      </w:r>
    </w:p>
    <w:p>
      <w:r>
        <w:rPr>
          <w:b w:val="0"/>
        </w:rPr>
        <w:t>- Accessibility: large print, TTS alternatives, WCAG AA contrast.</w:t>
      </w:r>
    </w:p>
    <w:p>
      <w:r>
        <w:rPr>
          <w:b w:val="0"/>
        </w:rPr>
        <w:t>- Privacy: no PII.</w:t>
      </w:r>
    </w:p>
    <w:p>
      <w:r>
        <w:rPr>
          <w:b w:val="0"/>
        </w:rPr>
        <w:t>Desired (D):</w:t>
      </w:r>
    </w:p>
    <w:p>
      <w:r>
        <w:rPr>
          <w:b w:val="0"/>
        </w:rPr>
        <w:t>- Destination popularity by total trip minutes, peak-month focus.</w:t>
      </w:r>
    </w:p>
    <w:p>
      <w:r>
        <w:rPr>
          <w:b w:val="0"/>
        </w:rPr>
        <w:t>- Population overlay (latent demand).</w:t>
      </w:r>
    </w:p>
    <w:p>
      <w:r>
        <w:rPr>
          <w:b w:val="0"/>
        </w:rPr>
        <w:t>- Maintenance pool toggle (+5%) on top of buffer.</w:t>
      </w:r>
    </w:p>
    <w:p>
      <w:r>
        <w:rPr>
          <w:b w:val="0"/>
        </w:rPr>
        <w:t>Nice-to-have (N):</w:t>
      </w:r>
    </w:p>
    <w:p>
      <w:r>
        <w:rPr>
          <w:b w:val="0"/>
        </w:rPr>
        <w:t>- Weather-impact layer.</w:t>
      </w:r>
    </w:p>
    <w:p>
      <w:r>
        <w:rPr>
          <w:b w:val="0"/>
        </w:rPr>
        <w:t>- Borough / neighborhood labels alongside census tracts.</w:t>
      </w:r>
    </w:p>
    <w:p w:rsidR="00000000" w:rsidDel="00000000" w:rsidP="00000000" w:rsidRDefault="00000000" w:rsidRPr="00000000" w14:paraId="00000008">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Success criteria:</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(Clarify what success looks like for this project. Include explicit statements about how to measure success. Use SMART criteria.) </w:t>
      </w:r>
    </w:p>
    <w:p>
      <w:r>
        <w:rPr>
          <w:b w:val="0"/>
        </w:rPr>
        <w:t>- Specific: a dashboard answering all four A3 analysis questions — activity tiers, send/return balance, seasonal &amp; rider-type variation, and future demand from population shifts.</w:t>
      </w:r>
    </w:p>
    <w:p>
      <w:r>
        <w:rPr>
          <w:b w:val="0"/>
        </w:rPr>
        <w:t>- Measurable: SQL pipeline outputs load into the dashboard; buffer slider produces correct per-station allocations live; all 10 named viewers can open and use the dashboard without engineering support.</w:t>
      </w:r>
    </w:p>
    <w:p>
      <w:r>
        <w:rPr>
          <w:b w:val="0"/>
        </w:rPr>
        <w:t>- Achievable: 9 of the planned SQL views are already drafted (see README deliverables); UX requirements documented; remaining work is integration, not novel analysis.</w:t>
      </w:r>
    </w:p>
    <w:p>
      <w:r>
        <w:rPr>
          <w:b w:val="0"/>
        </w:rPr>
        <w:t>- Relevant: outputs feed the Customer Growth Team's next-year business plan and Procurement's fleet purchase decision.</w:t>
      </w:r>
    </w:p>
    <w:p>
      <w:r>
        <w:rPr>
          <w:b w:val="0"/>
        </w:rPr>
        <w:t>- Time-bound: six-week timeline (see Roll-out plan).</w:t>
      </w:r>
    </w:p>
    <w:p w:rsidR="00000000" w:rsidDel="00000000" w:rsidP="00000000" w:rsidRDefault="00000000" w:rsidRPr="00000000" w14:paraId="00000009">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User journeys:</w:t>
      </w:r>
      <w:r w:rsidDel="00000000" w:rsidR="00000000" w:rsidRPr="00000000">
        <w:rPr>
          <w:rFonts w:ascii="Arial" w:cs="Arial" w:eastAsia="Arial" w:hAnsi="Arial"/>
          <w:color w:val="000000"/>
          <w:sz w:val="22"/>
          <w:szCs w:val="22"/>
          <w:rtl w:val="0"/>
        </w:rPr>
        <w:t xml:space="preserve"> (Document the current user experience and the ideal future experience.)</w:t>
      </w:r>
    </w:p>
    <w:p>
      <w:r>
        <w:rPr>
          <w:b w:val="0"/>
        </w:rPr>
        <w:t>Today (current):</w:t>
      </w:r>
    </w:p>
    <w:p>
      <w:r>
        <w:rPr>
          <w:b w:val="0"/>
        </w:rPr>
        <w:t>Customer Growth Team relies on raw monthly extracts and internal observation to plan station investments. There is no consolidated view of demand vs supply gap; subscriber/casual differences are inferred. Procurement decides fleet size based on prior-year totals plus a flat buffer.</w:t>
      </w:r>
    </w:p>
    <w:p>
      <w:r>
        <w:rPr>
          <w:b w:val="0"/>
        </w:rPr>
        <w:t>Future (ideal):</w:t>
      </w:r>
    </w:p>
    <w:p>
      <w:r>
        <w:rPr>
          <w:b w:val="0"/>
        </w:rPr>
        <w:t>Sara Romero opens the dashboard, sees the headline 'Bikes Needed vs Current Fleet' at the default 30% buffer, and decides whether the gap is acceptable. She filters the map to low-activity stations near high population density to flag latent-demand candidates for next year's expansion. Nina Locklear nudges the buffer slider between 25% and 40% to model fleet-purchase scenarios. The team hands the executive summary to leadership without further data work.</w:t>
      </w:r>
    </w:p>
    <w:p w:rsidR="00000000" w:rsidDel="00000000" w:rsidP="00000000" w:rsidRDefault="00000000" w:rsidRPr="00000000" w14:paraId="0000000A">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Assumptions:</w:t>
      </w:r>
      <w:r w:rsidDel="00000000" w:rsidR="00000000" w:rsidRPr="00000000">
        <w:rPr>
          <w:rFonts w:ascii="Arial" w:cs="Arial" w:eastAsia="Arial" w:hAnsi="Arial"/>
          <w:color w:val="000000"/>
          <w:sz w:val="22"/>
          <w:szCs w:val="22"/>
          <w:rtl w:val="0"/>
        </w:rPr>
        <w:t xml:space="preserve"> (Explicitly and clearly state any assumptions you are making.)</w:t>
      </w:r>
    </w:p>
    <w:p>
      <w:r>
        <w:rPr>
          <w:b w:val="0"/>
        </w:rPr>
        <w:t>- Trip data fairly represents demand only at stations that have bikes — under-supplied stations show suppressed demand. The activity-tier classifier reads ranks; pairing with the 1-mile population overlay is what surfaces latent demand.</w:t>
      </w:r>
    </w:p>
    <w:p>
      <w:r>
        <w:rPr>
          <w:b w:val="0"/>
        </w:rPr>
        <w:t>- 1-mile catchment radius around station coordinates is a directional assumption labeled in the UI, not a hard claim about rider behavior.</w:t>
      </w:r>
    </w:p>
    <w:p>
      <w:r>
        <w:rPr>
          <w:b w:val="0"/>
        </w:rPr>
        <w:t>- Maintenance bikes are invisible in trip data; the +5% maintenance pool toggle is a heuristic.</w:t>
      </w:r>
    </w:p>
    <w:p>
      <w:r>
        <w:rPr>
          <w:b w:val="0"/>
        </w:rPr>
        <w:t>- Any precipitation on a trip day is assumed to potentially have impacted demand (no hour-of-day weather granularity).</w:t>
      </w:r>
    </w:p>
    <w:p>
      <w:r>
        <w:rPr>
          <w:b w:val="0"/>
        </w:rPr>
        <w:t>- Census tract boundaries from the secondary dataset are stable across the 2013–2015 trip period.</w:t>
      </w:r>
    </w:p>
    <w:p w:rsidR="00000000" w:rsidDel="00000000" w:rsidP="00000000" w:rsidRDefault="00000000" w:rsidRPr="00000000" w14:paraId="0000000B">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Compliance and privacy:</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(Include compliance, privacy, or legal dimensions to consider.)</w:t>
      </w:r>
    </w:p>
    <w:p>
      <w:r>
        <w:rPr>
          <w:b w:val="0"/>
        </w:rPr>
        <w:t>- No PII (name, email, phone, address) in any deliverable.</w:t>
      </w:r>
    </w:p>
    <w:p>
      <w:r>
        <w:rPr>
          <w:b w:val="0"/>
        </w:rPr>
        <w:t>- Customer-data access requires Jamal Harris approval before query execution.</w:t>
      </w:r>
    </w:p>
    <w:p>
      <w:r>
        <w:rPr>
          <w:b w:val="0"/>
        </w:rPr>
        <w:t>- BikeID and user-ID fields anonymized if propagated into exports.</w:t>
      </w:r>
    </w:p>
    <w:p>
      <w:r>
        <w:rPr>
          <w:b w:val="0"/>
        </w:rPr>
        <w:t>- Dashboard access restricted to the named viewer list (see Roll-out plan).</w:t>
      </w:r>
    </w:p>
    <w:p w:rsidR="00000000" w:rsidDel="00000000" w:rsidP="00000000" w:rsidRDefault="00000000" w:rsidRPr="00000000" w14:paraId="0000000C">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Accessibility:</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(List key considerations for creating accessible reports for all users.)</w:t>
      </w:r>
      <w:r w:rsidDel="00000000" w:rsidR="00000000" w:rsidRPr="00000000">
        <w:rPr>
          <w:rtl w:val="0"/>
        </w:rPr>
      </w:r>
    </w:p>
    <w:p>
      <w:r>
        <w:rPr>
          <w:b w:val="0"/>
        </w:rPr>
        <w:t>- Minimum font sizes: 16px body, 24px labels, 36px hero numbers.</w:t>
      </w:r>
    </w:p>
    <w:p>
      <w:r>
        <w:rPr>
          <w:b w:val="0"/>
        </w:rPr>
        <w:t>- WCAG AA contrast ratio for all colors.</w:t>
      </w:r>
    </w:p>
    <w:p>
      <w:r>
        <w:rPr>
          <w:b w:val="0"/>
        </w:rPr>
        <w:t>- Tier categories distinguishable without color (shape + color, not color alone).</w:t>
      </w:r>
    </w:p>
    <w:p>
      <w:r>
        <w:rPr>
          <w:b w:val="0"/>
        </w:rPr>
        <w:t>- All charts have text alternatives (aria-label on SVG elements).</w:t>
      </w:r>
    </w:p>
    <w:p>
      <w:r>
        <w:rPr>
          <w:b w:val="0"/>
        </w:rPr>
        <w:t>- Slider and all interactive controls keyboard-navigable.</w:t>
      </w:r>
    </w:p>
    <w:p>
      <w:r>
        <w:rPr>
          <w:b w:val="0"/>
        </w:rPr>
        <w:t>- Text-to-speech alternatives provided.</w:t>
      </w:r>
    </w:p>
    <w:p w:rsidR="00000000" w:rsidDel="00000000" w:rsidP="00000000" w:rsidRDefault="00000000" w:rsidRPr="00000000" w14:paraId="0000000D">
      <w:pPr>
        <w:pageBreakBefore w:val="0"/>
        <w:widowControl w:val="0"/>
        <w:spacing w:after="0" w:line="36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Roll-out plan:</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(Detail the expected scope, priorities and timeline.)</w:t>
        <w:br w:type="textWrapping"/>
      </w:r>
      <w:r w:rsidDel="00000000" w:rsidR="00000000" w:rsidRPr="00000000">
        <w:rPr>
          <w:rtl w:val="0"/>
        </w:rPr>
      </w:r>
    </w:p>
    <w:p>
      <w:r>
        <w:rPr>
          <w:b w:val="0"/>
        </w:rPr>
        <w:t>Six-week timeline:</w:t>
      </w:r>
    </w:p>
    <w:p>
      <w:r>
        <w:rPr>
          <w:b w:val="0"/>
        </w:rPr>
        <w:t>- Week 1: dataset assignment; field and BikeID design validated against requirements.</w:t>
      </w:r>
    </w:p>
    <w:p>
      <w:r>
        <w:rPr>
          <w:b w:val="0"/>
        </w:rPr>
        <w:t>- Weeks 2–3: SQL and ETL development.</w:t>
      </w:r>
    </w:p>
    <w:p>
      <w:r>
        <w:rPr>
          <w:b w:val="0"/>
        </w:rPr>
        <w:t>- Weeks 3–4: SQL finalized; dashboard design; first draft peer review.</w:t>
      </w:r>
    </w:p>
    <w:p>
      <w:r>
        <w:rPr>
          <w:b w:val="0"/>
        </w:rPr>
        <w:t>- Weeks 5–6: dashboard development and testing.</w:t>
      </w:r>
    </w:p>
    <w:p>
      <w:r>
        <w:rPr>
          <w:b w:val="0"/>
        </w:rPr>
        <w:t>Dashboard viewers: Adhira, Brianne, Ernest, Jamal, Megan, Nina, Rick, Shareefah, Sara, Tessa.</w:t>
      </w:r>
    </w:p>
    <w:p>
      <w:r>
        <w:rPr>
          <w:b w:val="0"/>
        </w:rPr>
        <w:t>[NEEDS INFO: hosting / distribution decision — local HTML opened from a shared drive, vs a hosted dashboard tool such as Looker Studio or Tableau Public.]</w:t>
      </w:r>
    </w:p>
    <w:p w:rsidR="00000000" w:rsidDel="00000000" w:rsidP="00000000" w:rsidRDefault="00000000" w:rsidRPr="00000000" w14:paraId="0000000E">
      <w:pPr>
        <w:pageBreakBefore w:val="0"/>
        <w:widowControl w:val="0"/>
        <w:spacing w:line="36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F">
      <w:pPr>
        <w:pageBreakBefore w:val="0"/>
        <w:ind w:left="0" w:firstLine="0"/>
        <w:jc w:val="left"/>
        <w:rPr>
          <w:rFonts w:ascii="Arial" w:cs="Arial" w:eastAsia="Arial" w:hAnsi="Arial"/>
          <w:sz w:val="21"/>
          <w:szCs w:val="2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pageBreakBefore w:val="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Condensed" w:cs="Roboto Condensed" w:eastAsia="Roboto Condensed" w:hAnsi="Roboto Condensed"/>
        <w:color w:val="666666"/>
        <w:sz w:val="24"/>
        <w:szCs w:val="24"/>
        <w:lang w:val="e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ind w:left="810" w:hanging="540"/>
    </w:pPr>
    <w:rPr>
      <w:b w:val="1"/>
      <w:color w:val="1c4587"/>
      <w:sz w:val="40"/>
      <w:szCs w:val="40"/>
    </w:rPr>
  </w:style>
  <w:style w:type="paragraph" w:styleId="Heading2">
    <w:name w:val="heading 2"/>
    <w:basedOn w:val="Normal"/>
    <w:next w:val="Normal"/>
    <w:pPr>
      <w:keepNext w:val="1"/>
      <w:keepLines w:val="1"/>
      <w:spacing w:after="120" w:before="100" w:line="342.85714285714283" w:lineRule="auto"/>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jc w:val="center"/>
    </w:pPr>
    <w:rPr>
      <w:b w:val="1"/>
      <w:color w:val="1c4587"/>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