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b w:val="1"/>
          <w:color w:val="666666"/>
          <w:sz w:val="36"/>
          <w:szCs w:val="36"/>
        </w:rPr>
      </w:pPr>
      <w:bookmarkStart w:colFirst="0" w:colLast="0" w:name="_pkgbtz7b6bsp" w:id="0"/>
      <w:bookmarkEnd w:id="0"/>
      <w:r w:rsidDel="00000000" w:rsidR="00000000" w:rsidRPr="00000000">
        <w:rPr>
          <w:b w:val="1"/>
          <w:sz w:val="36"/>
          <w:szCs w:val="36"/>
          <w:rtl w:val="0"/>
        </w:rPr>
        <w:t>Stakeholder Requirements Document: Cyclistic Fleet Intelligence</w:t>
      </w:r>
      <w:r w:rsidDel="00000000" w:rsidR="00000000" w:rsidRPr="00000000">
        <w:rPr>
          <w:b w:val="1"/>
          <w:sz w:val="36"/>
          <w:szCs w:val="36"/>
          <w:rtl w:val="0"/>
        </w:rPr>
      </w:r>
      <w:r w:rsidDel="00000000" w:rsidR="00000000" w:rsidRPr="00000000">
        <w:rPr>
          <w:b w:val="1"/>
          <w:sz w:val="36"/>
          <w:szCs w:val="36"/>
          <w:rtl w:val="0"/>
        </w:rPr>
      </w:r>
      <w:r w:rsidDel="00000000" w:rsidR="00000000" w:rsidRPr="00000000">
        <w:rPr>
          <w:rtl w:val="0"/>
        </w:rPr>
      </w:r>
    </w:p>
    <w:p w:rsidR="00000000" w:rsidDel="00000000" w:rsidP="00000000" w:rsidRDefault="00000000" w:rsidRPr="00000000" w14:paraId="00000002">
      <w:pPr>
        <w:spacing w:after="200" w:line="276" w:lineRule="auto"/>
        <w:rPr/>
      </w:pPr>
      <w:r w:rsidDel="00000000" w:rsidR="00000000" w:rsidRPr="00000000">
        <w:rPr>
          <w:rtl w:val="0"/>
        </w:rPr>
        <w:t xml:space="preserve">                                                                                        </w:t>
      </w:r>
    </w:p>
    <w:p w:rsidR="00000000" w:rsidDel="00000000" w:rsidP="00000000" w:rsidRDefault="00000000" w:rsidRPr="00000000" w14:paraId="00000003">
      <w:pPr>
        <w:pStyle w:val="Heading2"/>
        <w:widowControl w:val="0"/>
        <w:spacing w:after="200" w:before="200" w:line="360" w:lineRule="auto"/>
        <w:rPr>
          <w:sz w:val="22"/>
          <w:szCs w:val="22"/>
        </w:rPr>
      </w:pPr>
      <w:r w:rsidDel="00000000" w:rsidR="00000000" w:rsidRPr="00000000">
        <w:rPr>
          <w:b w:val="1"/>
          <w:color w:val="4285f4"/>
          <w:sz w:val="22"/>
          <w:szCs w:val="22"/>
          <w:rtl w:val="0"/>
        </w:rPr>
        <w:t>BI Professional: Chris Hainlen</w:t>
      </w:r>
      <w:r w:rsidDel="00000000" w:rsidR="00000000" w:rsidRPr="00000000">
        <w:rPr>
          <w:color w:val="4285f4"/>
          <w:sz w:val="22"/>
          <w:szCs w:val="22"/>
          <w:rtl w:val="0"/>
        </w:rPr>
      </w:r>
      <w:r w:rsidDel="00000000" w:rsidR="00000000" w:rsidRPr="00000000">
        <w:rPr>
          <w:sz w:val="22"/>
          <w:szCs w:val="22"/>
          <w:rtl w:val="0"/>
        </w:rPr>
      </w:r>
    </w:p>
    <w:p w:rsidR="00000000" w:rsidDel="00000000" w:rsidP="00000000" w:rsidRDefault="00000000" w:rsidRPr="00000000" w14:paraId="00000004">
      <w:pPr>
        <w:pStyle w:val="Heading2"/>
        <w:widowControl w:val="0"/>
        <w:spacing w:after="200" w:before="200" w:line="360" w:lineRule="auto"/>
        <w:rPr/>
      </w:pPr>
      <w:r w:rsidDel="00000000" w:rsidR="00000000" w:rsidRPr="00000000">
        <w:rPr>
          <w:b w:val="1"/>
          <w:color w:val="4285f4"/>
          <w:sz w:val="22"/>
          <w:szCs w:val="22"/>
          <w:rtl w:val="0"/>
        </w:rPr>
        <w:t>Client/Sponsor: Sara Romero, VP Marketing (driving requirements); Cyclistic Customer Growth Team</w:t>
      </w:r>
      <w:r w:rsidDel="00000000" w:rsidR="00000000" w:rsidRPr="00000000">
        <w:rPr>
          <w:sz w:val="22"/>
          <w:szCs w:val="22"/>
          <w:rtl w:val="0"/>
        </w:rPr>
      </w:r>
      <w:r w:rsidDel="00000000" w:rsidR="00000000" w:rsidRPr="00000000">
        <w:rPr>
          <w:rtl w:val="0"/>
        </w:rPr>
      </w:r>
    </w:p>
    <w:p w:rsidR="00000000" w:rsidDel="00000000" w:rsidP="00000000" w:rsidRDefault="00000000" w:rsidRPr="00000000" w14:paraId="00000005">
      <w:pPr>
        <w:pStyle w:val="Heading2"/>
        <w:widowControl w:val="0"/>
        <w:spacing w:after="200" w:before="200" w:line="360" w:lineRule="auto"/>
        <w:rPr>
          <w:sz w:val="22"/>
          <w:szCs w:val="22"/>
        </w:rPr>
      </w:pPr>
      <w:r w:rsidDel="00000000" w:rsidR="00000000" w:rsidRPr="00000000">
        <w:rPr>
          <w:b w:val="1"/>
          <w:color w:val="4285f4"/>
          <w:sz w:val="22"/>
          <w:szCs w:val="22"/>
          <w:rtl w:val="0"/>
        </w:rPr>
        <w:t xml:space="preserve">Business problem:</w:t>
      </w:r>
      <w:r w:rsidDel="00000000" w:rsidR="00000000" w:rsidRPr="00000000">
        <w:rPr>
          <w:color w:val="4285f4"/>
          <w:sz w:val="22"/>
          <w:szCs w:val="22"/>
          <w:rtl w:val="0"/>
        </w:rPr>
        <w:t xml:space="preserve"> </w:t>
      </w:r>
      <w:r w:rsidDel="00000000" w:rsidR="00000000" w:rsidRPr="00000000">
        <w:rPr>
          <w:sz w:val="22"/>
          <w:szCs w:val="22"/>
          <w:rtl w:val="0"/>
        </w:rPr>
        <w:t xml:space="preserve">(What is the primary question to be answered or problem to be solved?)</w:t>
      </w:r>
      <w:r w:rsidDel="00000000" w:rsidR="00000000" w:rsidRPr="00000000">
        <w:rPr>
          <w:rtl w:val="0"/>
        </w:rPr>
      </w:r>
    </w:p>
    <w:p>
      <w:r>
        <w:rPr>
          <w:b w:val="0"/>
        </w:rPr>
        <w:t>Does Cyclistic have enough bikes at the right station locations to meet rider demand across NYC? A station with low trip counts isn't necessarily low-demand — it may simply be under-supplied. The Customer Growth Team needs visibility into where genuine demand exists, where supply gaps suppress ridership, and how subscribers vs casual riders use the system, in order to inform fleet sizing and station-growth decisions for next year's business plan.</w:t>
      </w:r>
    </w:p>
    <w:p w:rsidR="00000000" w:rsidDel="00000000" w:rsidP="00000000" w:rsidRDefault="00000000" w:rsidRPr="00000000" w14:paraId="00000006">
      <w:pPr>
        <w:widowControl w:val="0"/>
        <w:spacing w:after="200" w:before="100" w:line="360" w:lineRule="auto"/>
        <w:rPr/>
      </w:pPr>
      <w:r w:rsidDel="00000000" w:rsidR="00000000" w:rsidRPr="00000000">
        <w:rPr>
          <w:b w:val="1"/>
          <w:color w:val="4285f4"/>
          <w:rtl w:val="0"/>
        </w:rPr>
        <w:t xml:space="preserve">S</w:t>
      </w:r>
      <w:r w:rsidDel="00000000" w:rsidR="00000000" w:rsidRPr="00000000">
        <w:rPr>
          <w:b w:val="1"/>
          <w:color w:val="4285f4"/>
          <w:rtl w:val="0"/>
        </w:rPr>
        <w:t xml:space="preserve">takeholders:</w:t>
      </w:r>
      <w:r w:rsidDel="00000000" w:rsidR="00000000" w:rsidRPr="00000000">
        <w:rPr>
          <w:color w:val="4285f4"/>
          <w:rtl w:val="0"/>
        </w:rPr>
        <w:t xml:space="preserve"> </w:t>
      </w:r>
      <w:r w:rsidDel="00000000" w:rsidR="00000000" w:rsidRPr="00000000">
        <w:rPr>
          <w:rtl w:val="0"/>
        </w:rPr>
        <w:t xml:space="preserve">(Who are the major stakeholders of this project, and what are their job titles?)</w:t>
      </w:r>
      <w:r w:rsidDel="00000000" w:rsidR="00000000" w:rsidRPr="00000000">
        <w:rPr>
          <w:rtl w:val="0"/>
        </w:rPr>
      </w:r>
    </w:p>
    <w:p>
      <w:r>
        <w:rPr>
          <w:b w:val="0"/>
        </w:rPr>
        <w:t>- Sara Romero, VP Marketing — primary requirements driver, accessibility advocate.</w:t>
      </w:r>
    </w:p>
    <w:p>
      <w:r>
        <w:rPr>
          <w:b w:val="0"/>
        </w:rPr>
        <w:t>- Ernest Cox, VP Product Development.</w:t>
      </w:r>
    </w:p>
    <w:p>
      <w:r>
        <w:rPr>
          <w:b w:val="0"/>
        </w:rPr>
        <w:t>- Jamal Harris, Director Customer Data — must approve customer (user) data usage.</w:t>
      </w:r>
    </w:p>
    <w:p>
      <w:r>
        <w:rPr>
          <w:b w:val="0"/>
        </w:rPr>
        <w:t>- Nina Locklear, Director Procurement — fleet-sizing decisions.</w:t>
      </w:r>
    </w:p>
    <w:p>
      <w:r>
        <w:rPr>
          <w:b w:val="0"/>
        </w:rPr>
        <w:t>- Adhira Patel, API Strategist (primary technical contact).</w:t>
      </w:r>
    </w:p>
    <w:p>
      <w:r>
        <w:rPr>
          <w:b w:val="0"/>
        </w:rPr>
        <w:t>- Megan Pirato, Data Warehousing Specialist (primary technical contact).</w:t>
      </w:r>
    </w:p>
    <w:p>
      <w:r>
        <w:rPr>
          <w:b w:val="0"/>
        </w:rPr>
        <w:t>- Rick Andersson, Manager Data Governance (primary technical contact).</w:t>
      </w:r>
    </w:p>
    <w:p>
      <w:r>
        <w:rPr>
          <w:b w:val="0"/>
        </w:rPr>
        <w:t>- Tessa Blackwell, Data Analyst (primary technical contact).</w:t>
      </w:r>
    </w:p>
    <w:p>
      <w:r>
        <w:rPr>
          <w:b w:val="0"/>
        </w:rPr>
        <w:t>- Brianne Sand, Director IT.</w:t>
      </w:r>
    </w:p>
    <w:p>
      <w:r>
        <w:rPr>
          <w:b w:val="0"/>
        </w:rPr>
        <w:t>- Shareefah Hakimi, Project Manager.</w:t>
      </w:r>
    </w:p>
    <w:p w:rsidR="00000000" w:rsidDel="00000000" w:rsidP="00000000" w:rsidRDefault="00000000" w:rsidRPr="00000000" w14:paraId="00000007">
      <w:pPr>
        <w:pStyle w:val="Heading2"/>
        <w:widowControl w:val="0"/>
        <w:spacing w:after="200" w:before="100" w:line="360" w:lineRule="auto"/>
        <w:rPr>
          <w:sz w:val="22"/>
          <w:szCs w:val="22"/>
        </w:rPr>
      </w:pPr>
      <w:bookmarkStart w:colFirst="0" w:colLast="0" w:name="_60ywe9qv0mz8" w:id="1"/>
      <w:bookmarkEnd w:id="1"/>
      <w:r w:rsidDel="00000000" w:rsidR="00000000" w:rsidRPr="00000000">
        <w:rPr>
          <w:b w:val="1"/>
          <w:color w:val="4285f4"/>
          <w:sz w:val="22"/>
          <w:szCs w:val="22"/>
          <w:rtl w:val="0"/>
        </w:rPr>
        <w:t xml:space="preserve">Stakeholder usage details:</w:t>
      </w:r>
      <w:r w:rsidDel="00000000" w:rsidR="00000000" w:rsidRPr="00000000">
        <w:rPr>
          <w:sz w:val="22"/>
          <w:szCs w:val="22"/>
          <w:rtl w:val="0"/>
        </w:rPr>
        <w:t xml:space="preserve"> </w:t>
      </w:r>
      <w:r w:rsidDel="00000000" w:rsidR="00000000" w:rsidRPr="00000000">
        <w:rPr>
          <w:sz w:val="22"/>
          <w:szCs w:val="22"/>
          <w:rtl w:val="0"/>
        </w:rPr>
        <w:t xml:space="preserve">(How will the stakeholders use the BI tool?)</w:t>
      </w:r>
      <w:r w:rsidDel="00000000" w:rsidR="00000000" w:rsidRPr="00000000">
        <w:rPr>
          <w:rtl w:val="0"/>
        </w:rPr>
      </w:r>
    </w:p>
    <w:p>
      <w:r>
        <w:rPr>
          <w:b w:val="0"/>
        </w:rPr>
        <w:t>The Customer Growth Team will use the dashboard to inform next year's business plan: which stations are over- vs under-supplied, where new stations could relieve demand pressure, and how seasonal and rider-type effects should drive fleet sizing. Procurement will adjust the buffer slider to model fleet-purchase scenarios. Marketing will use the rider-type breakdown to plan subscriber-acquisition campaigns. The dashboard is strategic / planning, not a real-time rebalancing tool.</w:t>
      </w:r>
    </w:p>
    <w:p w:rsidR="00000000" w:rsidDel="00000000" w:rsidP="00000000" w:rsidRDefault="00000000" w:rsidRPr="00000000" w14:paraId="00000008">
      <w:pPr>
        <w:widowControl w:val="0"/>
        <w:spacing w:after="0" w:before="100" w:line="360" w:lineRule="auto"/>
        <w:rPr/>
      </w:pPr>
      <w:r w:rsidDel="00000000" w:rsidR="00000000" w:rsidRPr="00000000">
        <w:rPr>
          <w:b w:val="1"/>
          <w:color w:val="4285f4"/>
          <w:rtl w:val="0"/>
        </w:rPr>
        <w:t xml:space="preserve">Primary requirements:</w:t>
      </w:r>
      <w:r w:rsidDel="00000000" w:rsidR="00000000" w:rsidRPr="00000000">
        <w:rPr>
          <w:color w:val="4285f4"/>
          <w:rtl w:val="0"/>
        </w:rPr>
        <w:t xml:space="preserve"> </w:t>
      </w:r>
      <w:r w:rsidDel="00000000" w:rsidR="00000000" w:rsidRPr="00000000">
        <w:rPr>
          <w:rtl w:val="0"/>
        </w:rPr>
        <w:t xml:space="preserve">(</w:t>
      </w:r>
      <w:r w:rsidDel="00000000" w:rsidR="00000000" w:rsidRPr="00000000">
        <w:rPr>
          <w:rtl w:val="0"/>
        </w:rPr>
        <w:t xml:space="preserve">What requirements must be met by this BI tool in order for this project to be successful?)</w:t>
      </w:r>
    </w:p>
    <w:p>
      <w:r>
        <w:rPr>
          <w:b w:val="0"/>
        </w:rPr>
        <w:t>- (R) Map showing trip volume at start and end station locations with activity-tier filter (high / medium / low) using 33rd &amp; 66th percentile reference lines, not hard buckets.</w:t>
      </w:r>
    </w:p>
    <w:p>
      <w:r>
        <w:rPr>
          <w:b w:val="0"/>
        </w:rPr>
        <w:t>- (R) Destination popularity by total trip minutes, with focus on peak months.</w:t>
      </w:r>
    </w:p>
    <w:p>
      <w:r>
        <w:rPr>
          <w:b w:val="0"/>
        </w:rPr>
        <w:t>- (R) Summer 2015 trend view.</w:t>
      </w:r>
    </w:p>
    <w:p>
      <w:r>
        <w:rPr>
          <w:b w:val="0"/>
        </w:rPr>
        <w:t>- (R) Year-over-year (2013–2015) percent growth in trips.</w:t>
      </w:r>
    </w:p>
    <w:p>
      <w:r>
        <w:rPr>
          <w:b w:val="0"/>
        </w:rPr>
        <w:t>- (R) Per-station congestion: send-vs-return balance per day.</w:t>
      </w:r>
    </w:p>
    <w:p>
      <w:r>
        <w:rPr>
          <w:b w:val="0"/>
        </w:rPr>
        <w:t>- (R) Trip volume across all start/end locations.</w:t>
      </w:r>
    </w:p>
    <w:p>
      <w:r>
        <w:rPr>
          <w:b w:val="0"/>
        </w:rPr>
        <w:t>- (R) Subscriber vs casual rider breakdown.</w:t>
      </w:r>
    </w:p>
    <w:p>
      <w:r>
        <w:rPr>
          <w:b w:val="0"/>
        </w:rPr>
        <w:t>- (R) Adjustable fleet-buffer slider for sizing scenarios; default 30%, +5% maintenance pool toggle.</w:t>
      </w:r>
    </w:p>
    <w:p>
      <w:r>
        <w:rPr>
          <w:b w:val="0"/>
        </w:rPr>
        <w:t>- (R) Accessibility: large print, text-to-speech alternatives, WCAG AA contrast, keyboard navigation, color-independent encodings.</w:t>
      </w:r>
    </w:p>
    <w:p>
      <w:r>
        <w:rPr>
          <w:b w:val="0"/>
        </w:rPr>
        <w:t>- (R) Privacy: no PII (name, email, phone, address) in any output; user data access approved by Jamal Harris.</w:t>
      </w:r>
    </w:p>
    <w:p>
      <w:r>
        <w:rPr>
          <w:b w:val="0"/>
        </w:rPr>
        <w:t>- (R) Delivery within 6 weeks.</w:t>
      </w:r>
    </w:p>
    <w:p>
      <w:r>
        <w:rPr>
          <w:b w:val="0"/>
        </w:rPr>
        <w:t>- (D) Population overlay (1-mile station catchment) to flag latent demand.</w:t>
      </w:r>
    </w:p>
    <w:p>
      <w:r>
        <w:rPr>
          <w:b w:val="0"/>
        </w:rPr>
        <w:t>- (N) Weather-impact layer.</w:t>
      </w:r>
    </w:p>
    <w:p>
      <w:r>
        <w:rPr>
          <w:b w:val="0"/>
        </w:rPr>
        <w:t>- (N) Borough / neighborhood labels alongside census tracts.</w:t>
      </w:r>
    </w:p>
    <w:p w:rsidR="00000000" w:rsidDel="00000000" w:rsidP="00000000" w:rsidRDefault="00000000" w:rsidRPr="00000000" w14:paraId="00000009">
      <w:pPr>
        <w:widowControl w:val="0"/>
        <w:spacing w:after="200" w:before="100" w:line="36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