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United Capital Diamond </w:t>
      </w:r>
    </w:p>
    <w:p>
      <w:pPr>
        <w:pStyle w:val="Subtitle"/>
      </w:pPr>
      <w:r>
        <w:t xml:space="preserve">Prospectus — document de travail de pré-conformité</w:t>
      </w:r>
    </w:p>
    <w:p>
      <w:pPr>
        <w:pStyle w:val="Warning"/>
      </w:pPr>
      <w:r>
        <w:rPr>
          <w:b/>
        </w:rPr>
        <w:t>AVERTISSEMENT — </w:t>
      </w:r>
      <w:r>
        <w:t xml:space="preserve">DOCUMENT DE TRAVAIL — Cette version générée automatiquement ne constitue ni un agrément, ni un visa, ni une approbation de l’AMF-UMOA.</w:t>
      </w:r>
    </w:p>
    <w:tbl>
      <w:tblPr>
        <w:tblStyle w:val="TableGrid"/>
        <w:tblW w:w="0" w:type="auto"/>
        <w:tblLayout w:type="fixed"/>
      </w:tblPr>
      <w:tblGrid>
        <w:gridCol w:w="3000"/>
        <w:gridCol w:w="6000"/>
      </w:tblGrid>
      <w:tr>
        <w:trPr>
          <w:tblHeader/>
          <w:cantSplit/>
        </w:trPr>
        <w:tc>
          <w:tcPr>
            <w:tcW w:w="3000" w:type="dxa"/>
            <w:shd w:val="clear" w:color="auto" w:fill="D9EAF7"/>
            <w:tcMar>
              <w:top w:w="80" w:type="dxa"/>
              <w:left w:w="100" w:type="dxa"/>
              <w:bottom w:w="80" w:type="dxa"/>
              <w:right w:w="100" w:type="dxa"/>
            </w:tcMar>
          </w:tcPr>
          <w:p>
            <w:pPr>
              <w:pStyle w:val="TableText"/>
            </w:pPr>
            <w:r>
              <w:rPr>
                <w:b/>
              </w:rPr>
              <w:t xml:space="preserve">Champ</w:t>
            </w:r>
          </w:p>
        </w:tc>
        <w:tc>
          <w:tcPr>
            <w:tcW w:w="6000" w:type="dxa"/>
            <w:shd w:val="clear" w:color="auto" w:fill="D9EAF7"/>
            <w:tcMar>
              <w:top w:w="80" w:type="dxa"/>
              <w:left w:w="100" w:type="dxa"/>
              <w:bottom w:w="80" w:type="dxa"/>
              <w:right w:w="100" w:type="dxa"/>
            </w:tcMar>
          </w:tcPr>
          <w:p>
            <w:pPr>
              <w:pStyle w:val="TableText"/>
            </w:pPr>
            <w:r>
              <w:rPr>
                <w:b/>
              </w:rPr>
              <w:t xml:space="preserve">Valeur</w:t>
            </w:r>
          </w:p>
        </w:tc>
      </w:tr>
      <w:tr>
        <w:trPr>
          <w:cantSplit/>
        </w:trPr>
        <w:tc>
          <w:tcPr>
            <w:tcW w:w="3000" w:type="dxa"/>
            <w:shd w:val="clear" w:color="auto" w:fill="FFFFFF"/>
            <w:tcMar>
              <w:top w:w="80" w:type="dxa"/>
              <w:left w:w="100" w:type="dxa"/>
              <w:bottom w:w="80" w:type="dxa"/>
              <w:right w:w="100" w:type="dxa"/>
            </w:tcMar>
          </w:tcPr>
          <w:p>
            <w:pPr>
              <w:pStyle w:val="TableText"/>
            </w:pPr>
            <w:r>
              <w:t xml:space="preserve">Identifiant de génération</w:t>
            </w:r>
          </w:p>
        </w:tc>
        <w:tc>
          <w:tcPr>
            <w:tcW w:w="6000" w:type="dxa"/>
            <w:shd w:val="clear" w:color="auto" w:fill="FFFFFF"/>
            <w:tcMar>
              <w:top w:w="80" w:type="dxa"/>
              <w:left w:w="100" w:type="dxa"/>
              <w:bottom w:w="80" w:type="dxa"/>
              <w:right w:w="100" w:type="dxa"/>
            </w:tcMar>
          </w:tcPr>
          <w:p>
            <w:pPr>
              <w:pStyle w:val="TableText"/>
            </w:pPr>
            <w:r>
              <w:t xml:space="preserve">GEN-D23C08F9167F2780</w:t>
            </w:r>
          </w:p>
        </w:tc>
      </w:tr>
      <w:tr>
        <w:trPr>
          <w:cantSplit/>
        </w:trPr>
        <w:tc>
          <w:tcPr>
            <w:tcW w:w="3000" w:type="dxa"/>
            <w:shd w:val="clear" w:color="auto" w:fill="FFFFFF"/>
            <w:tcMar>
              <w:top w:w="80" w:type="dxa"/>
              <w:left w:w="100" w:type="dxa"/>
              <w:bottom w:w="80" w:type="dxa"/>
              <w:right w:w="100" w:type="dxa"/>
            </w:tcMar>
          </w:tcPr>
          <w:p>
            <w:pPr>
              <w:pStyle w:val="TableText"/>
            </w:pPr>
            <w:r>
              <w:t xml:space="preserve">Pack réglementaire</w:t>
            </w:r>
          </w:p>
        </w:tc>
        <w:tc>
          <w:tcPr>
            <w:tcW w:w="6000" w:type="dxa"/>
            <w:shd w:val="clear" w:color="auto" w:fill="FFFFFF"/>
            <w:tcMar>
              <w:top w:w="80" w:type="dxa"/>
              <w:left w:w="100" w:type="dxa"/>
              <w:bottom w:w="80" w:type="dxa"/>
              <w:right w:w="100" w:type="dxa"/>
            </w:tcMar>
          </w:tcPr>
          <w:p>
            <w:pPr>
              <w:pStyle w:val="TableText"/>
            </w:pPr>
            <w:r>
              <w:t xml:space="preserve">UMOA_OPCVM_FCP</w:t>
            </w:r>
          </w:p>
        </w:tc>
      </w:tr>
      <w:tr>
        <w:trPr>
          <w:cantSplit/>
        </w:trPr>
        <w:tc>
          <w:tcPr>
            <w:tcW w:w="3000" w:type="dxa"/>
            <w:shd w:val="clear" w:color="auto" w:fill="FFFFFF"/>
            <w:tcMar>
              <w:top w:w="80" w:type="dxa"/>
              <w:left w:w="100" w:type="dxa"/>
              <w:bottom w:w="80" w:type="dxa"/>
              <w:right w:w="100" w:type="dxa"/>
            </w:tcMar>
          </w:tcPr>
          <w:p>
            <w:pPr>
              <w:pStyle w:val="TableText"/>
            </w:pPr>
            <w:r>
              <w:t xml:space="preserve">Version du pack</w:t>
            </w:r>
          </w:p>
        </w:tc>
        <w:tc>
          <w:tcPr>
            <w:tcW w:w="6000" w:type="dxa"/>
            <w:shd w:val="clear" w:color="auto" w:fill="FFFFFF"/>
            <w:tcMar>
              <w:top w:w="80" w:type="dxa"/>
              <w:left w:w="100" w:type="dxa"/>
              <w:bottom w:w="80" w:type="dxa"/>
              <w:right w:w="100" w:type="dxa"/>
            </w:tcMar>
          </w:tcPr>
          <w:p>
            <w:pPr>
              <w:pStyle w:val="TableText"/>
            </w:pPr>
            <w:r>
              <w:t xml:space="preserve">0.2.0-draft</w:t>
            </w:r>
          </w:p>
        </w:tc>
      </w:tr>
      <w:tr>
        <w:trPr>
          <w:cantSplit/>
        </w:trPr>
        <w:tc>
          <w:tcPr>
            <w:tcW w:w="3000" w:type="dxa"/>
            <w:shd w:val="clear" w:color="auto" w:fill="FFFFFF"/>
            <w:tcMar>
              <w:top w:w="80" w:type="dxa"/>
              <w:left w:w="100" w:type="dxa"/>
              <w:bottom w:w="80" w:type="dxa"/>
              <w:right w:w="100" w:type="dxa"/>
            </w:tcMar>
          </w:tcPr>
          <w:p>
            <w:pPr>
              <w:pStyle w:val="TableText"/>
            </w:pPr>
            <w:r>
              <w:t xml:space="preserve">Statut</w:t>
            </w:r>
          </w:p>
        </w:tc>
        <w:tc>
          <w:tcPr>
            <w:tcW w:w="6000" w:type="dxa"/>
            <w:shd w:val="clear" w:color="auto" w:fill="FFFFFF"/>
            <w:tcMar>
              <w:top w:w="80" w:type="dxa"/>
              <w:left w:w="100" w:type="dxa"/>
              <w:bottom w:w="80" w:type="dxa"/>
              <w:right w:w="100" w:type="dxa"/>
            </w:tcMar>
          </w:tcPr>
          <w:p>
            <w:pPr>
              <w:pStyle w:val="TableText"/>
            </w:pPr>
            <w:r>
              <w:t xml:space="preserve">PENDING_HUMAN_REVIEW</w:t>
            </w:r>
          </w:p>
        </w:tc>
      </w:tr>
      <w:tr>
        <w:trPr>
          <w:cantSplit/>
        </w:trPr>
        <w:tc>
          <w:tcPr>
            <w:tcW w:w="3000" w:type="dxa"/>
            <w:shd w:val="clear" w:color="auto" w:fill="FFFFFF"/>
            <w:tcMar>
              <w:top w:w="80" w:type="dxa"/>
              <w:left w:w="100" w:type="dxa"/>
              <w:bottom w:w="80" w:type="dxa"/>
              <w:right w:w="100" w:type="dxa"/>
            </w:tcMar>
          </w:tcPr>
          <w:p>
            <w:pPr>
              <w:pStyle w:val="TableText"/>
            </w:pPr>
            <w:r>
              <w:t xml:space="preserve">Prêt pour revue conformité</w:t>
            </w:r>
          </w:p>
        </w:tc>
        <w:tc>
          <w:tcPr>
            <w:tcW w:w="6000" w:type="dxa"/>
            <w:shd w:val="clear" w:color="auto" w:fill="FFFFFF"/>
            <w:tcMar>
              <w:top w:w="80" w:type="dxa"/>
              <w:left w:w="100" w:type="dxa"/>
              <w:bottom w:w="80" w:type="dxa"/>
              <w:right w:w="100" w:type="dxa"/>
            </w:tcMar>
          </w:tcPr>
          <w:p>
            <w:pPr>
              <w:pStyle w:val="TableText"/>
            </w:pPr>
            <w:r>
              <w:t xml:space="preserve">Non</w:t>
            </w:r>
          </w:p>
        </w:tc>
      </w:tr>
      <w:tr>
        <w:trPr>
          <w:cantSplit/>
        </w:trPr>
        <w:tc>
          <w:tcPr>
            <w:tcW w:w="3000" w:type="dxa"/>
            <w:shd w:val="clear" w:color="auto" w:fill="FFFFFF"/>
            <w:tcMar>
              <w:top w:w="80" w:type="dxa"/>
              <w:left w:w="100" w:type="dxa"/>
              <w:bottom w:w="80" w:type="dxa"/>
              <w:right w:w="100" w:type="dxa"/>
            </w:tcMar>
          </w:tcPr>
          <w:p>
            <w:pPr>
              <w:pStyle w:val="TableText"/>
            </w:pPr>
            <w:r>
              <w:t xml:space="preserve">Prêt pour soumission</w:t>
            </w:r>
          </w:p>
        </w:tc>
        <w:tc>
          <w:tcPr>
            <w:tcW w:w="6000" w:type="dxa"/>
            <w:shd w:val="clear" w:color="auto" w:fill="FFFFFF"/>
            <w:tcMar>
              <w:top w:w="80" w:type="dxa"/>
              <w:left w:w="100" w:type="dxa"/>
              <w:bottom w:w="80" w:type="dxa"/>
              <w:right w:w="100" w:type="dxa"/>
            </w:tcMar>
          </w:tcPr>
          <w:p>
            <w:pPr>
              <w:pStyle w:val="TableText"/>
            </w:pPr>
            <w:r>
              <w:t xml:space="preserve">Non</w:t>
            </w:r>
          </w:p>
        </w:tc>
      </w:tr>
    </w:tbl>
    <w:p/>
    <w:p>
      <w:r>
        <w:br w:type="page"/>
      </w:r>
    </w:p>
    <w:p>
      <w:pPr>
        <w:pStyle w:val="Heading1"/>
      </w:pPr>
      <w:r>
        <w:t xml:space="preserve">Prospectus — document de travail</w:t>
      </w:r>
    </w:p>
    <w:p>
      <w:pPr>
        <w:pStyle w:val="Warning"/>
      </w:pPr>
      <w:r>
        <w:rPr>
          <w:b/>
        </w:rPr>
        <w:t>AVERTISSEMENT — </w:t>
      </w:r>
      <w:r>
        <w:t xml:space="preserve">DOCUMENT DE TRAVAIL — Version générée automatiquement, prête pour revue conformité et juridique. Elle ne constitue ni un agrément, ni un visa, ni une approbation de l’AMF-UMOA.</w:t>
      </w:r>
    </w:p>
    <w:p>
      <w:pPr>
        <w:pStyle w:val="Normal"/>
      </w:pPr>
      <w:r>
        <w:t xml:space="preserve">Périmètre configuré : UMOA, UMOA_OPCVM_FCP. La Circulaire n°05 complète le règlement du Fonds et les documents constitutifs annexés.</w:t>
      </w:r>
    </w:p>
    <w:p>
      <w:pPr>
        <w:pStyle w:val="Normal"/>
      </w:pPr>
      <w:r>
        <w:t xml:space="preserve">La date officielle de publication et la prise d’effet de la Circulaire n°05/CREPMF/2022 restent à confirmer dans le registre officiel.</w:t>
      </w:r>
    </w:p>
    <w:p>
      <w:pPr>
        <w:pStyle w:val="Heading1"/>
      </w:pPr>
      <w:r>
        <w:t xml:space="preserve">1.1 Dénomination et identification du FCP</w:t>
      </w:r>
    </w:p>
    <w:p>
      <w:pPr>
        <w:pStyle w:val="Normal"/>
      </w:pPr>
      <w:r>
        <w:t xml:space="preserve">Le Fonds est un FCP dénommé « United Capital Diamond », constitué en Côte d’Ivoire. Son agrément a été délivré le 19/03/2025 sous le numéro FCP/2025-02.</w:t>
      </w:r>
    </w:p>
    <w:p>
      <w:pPr>
        <w:pStyle w:val="Heading1"/>
      </w:pPr>
      <w:r>
        <w:t xml:space="preserve">1.2 Constitution et durée</w:t>
      </w:r>
    </w:p>
    <w:p>
      <w:pPr>
        <w:pStyle w:val="Normal"/>
      </w:pPr>
      <w:r>
        <w:t xml:space="preserve">Le Fonds est constitué pour une durée indéterminée.</w:t>
      </w:r>
    </w:p>
    <w:p>
      <w:pPr>
        <w:pStyle w:val="Heading1"/>
      </w:pPr>
      <w:r>
        <w:t xml:space="preserve">1.4 Documents disponibles</w:t>
      </w:r>
    </w:p>
    <w:p>
      <w:pPr>
        <w:pStyle w:val="Normal"/>
      </w:pPr>
      <w:r>
        <w:t xml:space="preserve">Les documents du Fonds et les rapports périodiques sont disponibles selon les modalités suivantes : auprès de la société de gestion et par les canaux électroniques indiqués dans le dossier, sous réserve de confirmation opérationnelle.</w:t>
      </w:r>
    </w:p>
    <w:p>
      <w:pPr>
        <w:pStyle w:val="Heading1"/>
      </w:pPr>
      <w:r>
        <w:t xml:space="preserve">1.5 Régime fiscal</w:t>
      </w:r>
    </w:p>
    <w:p>
      <w:pPr>
        <w:pStyle w:val="Warning"/>
      </w:pPr>
      <w:r>
        <w:rPr>
          <w:b/>
        </w:rPr>
        <w:t>AVERTISSEMENT — </w:t>
      </w:r>
      <w:r>
        <w:t xml:space="preserve">Le régime fiscal du Fonds et des porteurs doit être confirmé à partir des textes fiscaux applicables et d’une revue fiscale validée.</w:t>
      </w:r>
    </w:p>
    <w:p>
      <w:pPr>
        <w:pStyle w:val="Heading1"/>
      </w:pPr>
      <w:r>
        <w:t xml:space="preserve">1.6 Clôture des comptes et distributions</w:t>
      </w:r>
    </w:p>
    <w:p>
      <w:pPr>
        <w:pStyle w:val="Normal"/>
      </w:pPr>
      <w:r>
        <w:t xml:space="preserve">L’exercice comptable est clôturé le 31 décembre de chaque année.</w:t>
      </w:r>
    </w:p>
    <w:p>
      <w:pPr>
        <w:pStyle w:val="Heading1"/>
      </w:pPr>
      <w:r>
        <w:t xml:space="preserve">1.7 Contrôle des données comptables</w:t>
      </w:r>
    </w:p>
    <w:p>
      <w:pPr>
        <w:pStyle w:val="Normal"/>
      </w:pPr>
      <w:r>
        <w:t xml:space="preserve">L’identité et la qualité des personnes chargées du contrôle des données comptables doivent être confirmées à partir des décisions de nomination et lettres de mission.</w:t>
      </w:r>
    </w:p>
    <w:p>
      <w:pPr>
        <w:pStyle w:val="Heading1"/>
      </w:pPr>
      <w:r>
        <w:t xml:space="preserve">1.10 Nature et caractéristiques des parts</w:t>
      </w:r>
    </w:p>
    <w:p>
      <w:pPr>
        <w:pStyle w:val="Normal"/>
      </w:pPr>
      <w:r>
        <w:t xml:space="preserve">Le Fonds comporte une seule catégorie de parts.</w:t>
      </w:r>
    </w:p>
    <w:p>
      <w:pPr>
        <w:pStyle w:val="Normal"/>
      </w:pPr>
      <w:r>
        <w:t xml:space="preserve">Aucun droit de vote n’est attaché aux parts du Fonds.</w:t>
      </w:r>
    </w:p>
    <w:tbl>
      <w:tblPr>
        <w:tblStyle w:val="TableGrid"/>
        <w:tblW w:w="0" w:type="auto"/>
        <w:tblLayout w:type="fixed"/>
      </w:tblPr>
      <w:tblGrid>
        <w:gridCol w:w="1500"/>
        <w:gridCol w:w="1500"/>
        <w:gridCol w:w="1500"/>
        <w:gridCol w:w="1500"/>
        <w:gridCol w:w="1500"/>
        <w:gridCol w:w="1500"/>
      </w:tblGrid>
      <w:tr>
        <w:trPr>
          <w:tblHeader/>
          <w:cantSplit/>
        </w:trPr>
        <w:tc>
          <w:tcPr>
            <w:tcW w:w="1500" w:type="dxa"/>
            <w:shd w:val="clear" w:color="auto" w:fill="D9EAF7"/>
            <w:tcMar>
              <w:top w:w="80" w:type="dxa"/>
              <w:left w:w="100" w:type="dxa"/>
              <w:bottom w:w="80" w:type="dxa"/>
              <w:right w:w="100" w:type="dxa"/>
            </w:tcMar>
          </w:tcPr>
          <w:p>
            <w:pPr>
              <w:pStyle w:val="TableText"/>
            </w:pPr>
            <w:r>
              <w:rPr>
                <w:b/>
              </w:rPr>
              <w:t xml:space="preserve">Classe</w:t>
            </w:r>
          </w:p>
        </w:tc>
        <w:tc>
          <w:tcPr>
            <w:tcW w:w="1500" w:type="dxa"/>
            <w:shd w:val="clear" w:color="auto" w:fill="D9EAF7"/>
            <w:tcMar>
              <w:top w:w="80" w:type="dxa"/>
              <w:left w:w="100" w:type="dxa"/>
              <w:bottom w:w="80" w:type="dxa"/>
              <w:right w:w="100" w:type="dxa"/>
            </w:tcMar>
          </w:tcPr>
          <w:p>
            <w:pPr>
              <w:pStyle w:val="TableText"/>
            </w:pPr>
            <w:r>
              <w:rPr>
                <w:b/>
              </w:rPr>
              <w:t xml:space="preserve">Devise</w:t>
            </w:r>
          </w:p>
        </w:tc>
        <w:tc>
          <w:tcPr>
            <w:tcW w:w="1500" w:type="dxa"/>
            <w:shd w:val="clear" w:color="auto" w:fill="D9EAF7"/>
            <w:tcMar>
              <w:top w:w="80" w:type="dxa"/>
              <w:left w:w="100" w:type="dxa"/>
              <w:bottom w:w="80" w:type="dxa"/>
              <w:right w:w="100" w:type="dxa"/>
            </w:tcMar>
          </w:tcPr>
          <w:p>
            <w:pPr>
              <w:pStyle w:val="TableText"/>
            </w:pPr>
            <w:r>
              <w:rPr>
                <w:b/>
              </w:rPr>
              <w:t xml:space="preserve">Revenus</w:t>
            </w:r>
          </w:p>
        </w:tc>
        <w:tc>
          <w:tcPr>
            <w:tcW w:w="1500" w:type="dxa"/>
            <w:shd w:val="clear" w:color="auto" w:fill="D9EAF7"/>
            <w:tcMar>
              <w:top w:w="80" w:type="dxa"/>
              <w:left w:w="100" w:type="dxa"/>
              <w:bottom w:w="80" w:type="dxa"/>
              <w:right w:w="100" w:type="dxa"/>
            </w:tcMar>
          </w:tcPr>
          <w:p>
            <w:pPr>
              <w:pStyle w:val="TableText"/>
            </w:pPr>
            <w:r>
              <w:rPr>
                <w:b/>
              </w:rPr>
              <w:t xml:space="preserve">VL d’origine</w:t>
            </w:r>
          </w:p>
        </w:tc>
        <w:tc>
          <w:tcPr>
            <w:tcW w:w="1500" w:type="dxa"/>
            <w:shd w:val="clear" w:color="auto" w:fill="D9EAF7"/>
            <w:tcMar>
              <w:top w:w="80" w:type="dxa"/>
              <w:left w:w="100" w:type="dxa"/>
              <w:bottom w:w="80" w:type="dxa"/>
              <w:right w:w="100" w:type="dxa"/>
            </w:tcMar>
          </w:tcPr>
          <w:p>
            <w:pPr>
              <w:pStyle w:val="TableText"/>
            </w:pPr>
            <w:r>
              <w:rPr>
                <w:b/>
              </w:rPr>
              <w:t xml:space="preserve">Minimum initial</w:t>
            </w:r>
          </w:p>
        </w:tc>
        <w:tc>
          <w:tcPr>
            <w:tcW w:w="1500" w:type="dxa"/>
            <w:shd w:val="clear" w:color="auto" w:fill="D9EAF7"/>
            <w:tcMar>
              <w:top w:w="80" w:type="dxa"/>
              <w:left w:w="100" w:type="dxa"/>
              <w:bottom w:w="80" w:type="dxa"/>
              <w:right w:w="100" w:type="dxa"/>
            </w:tcMar>
          </w:tcPr>
          <w:p>
            <w:pPr>
              <w:pStyle w:val="TableText"/>
            </w:pPr>
            <w:r>
              <w:rPr>
                <w:b/>
              </w:rPr>
              <w:t xml:space="preserve">Décimalisation</w:t>
            </w:r>
          </w:p>
        </w:tc>
      </w:tr>
      <w:tr>
        <w:trPr>
          <w:cantSplit/>
        </w:trPr>
        <w:tc>
          <w:tcPr>
            <w:tcW w:w="1500" w:type="dxa"/>
            <w:shd w:val="clear" w:color="auto" w:fill="FFFFFF"/>
            <w:tcMar>
              <w:top w:w="80" w:type="dxa"/>
              <w:left w:w="100" w:type="dxa"/>
              <w:bottom w:w="80" w:type="dxa"/>
              <w:right w:w="100" w:type="dxa"/>
            </w:tcMar>
          </w:tcPr>
          <w:p>
            <w:pPr>
              <w:pStyle w:val="TableText"/>
            </w:pPr>
            <w:r>
              <w:t xml:space="preserve">MAIN</w:t>
            </w:r>
          </w:p>
        </w:tc>
        <w:tc>
          <w:tcPr>
            <w:tcW w:w="1500" w:type="dxa"/>
            <w:shd w:val="clear" w:color="auto" w:fill="FFFFFF"/>
            <w:tcMar>
              <w:top w:w="80" w:type="dxa"/>
              <w:left w:w="100" w:type="dxa"/>
              <w:bottom w:w="80" w:type="dxa"/>
              <w:right w:w="100" w:type="dxa"/>
            </w:tcMar>
          </w:tcPr>
          <w:p>
            <w:pPr>
              <w:pStyle w:val="TableText"/>
            </w:pPr>
            <w:r>
              <w:t xml:space="preserve">XOF</w:t>
            </w:r>
          </w:p>
        </w:tc>
        <w:tc>
          <w:tcPr>
            <w:tcW w:w="1500" w:type="dxa"/>
            <w:shd w:val="clear" w:color="auto" w:fill="FFFFFF"/>
            <w:tcMar>
              <w:top w:w="80" w:type="dxa"/>
              <w:left w:w="100" w:type="dxa"/>
              <w:bottom w:w="80" w:type="dxa"/>
              <w:right w:w="100" w:type="dxa"/>
            </w:tcMar>
          </w:tcPr>
          <w:p>
            <w:pPr>
              <w:pStyle w:val="TableText"/>
            </w:pPr>
            <w:r>
              <w:t xml:space="preserve">Capitalisation</w:t>
            </w:r>
          </w:p>
        </w:tc>
        <w:tc>
          <w:tcPr>
            <w:tcW w:w="1500" w:type="dxa"/>
            <w:shd w:val="clear" w:color="auto" w:fill="FFFFFF"/>
            <w:tcMar>
              <w:top w:w="80" w:type="dxa"/>
              <w:left w:w="100" w:type="dxa"/>
              <w:bottom w:w="80" w:type="dxa"/>
              <w:right w:w="100" w:type="dxa"/>
            </w:tcMar>
          </w:tcPr>
          <w:p>
            <w:pPr>
              <w:pStyle w:val="TableText"/>
            </w:pPr>
            <w:r>
              <w:t xml:space="preserve">100 000 F CFA</w:t>
            </w:r>
          </w:p>
        </w:tc>
        <w:tc>
          <w:tcPr>
            <w:tcW w:w="1500" w:type="dxa"/>
            <w:shd w:val="clear" w:color="auto" w:fill="FFFFFF"/>
            <w:tcMar>
              <w:top w:w="80" w:type="dxa"/>
              <w:left w:w="100" w:type="dxa"/>
              <w:bottom w:w="80" w:type="dxa"/>
              <w:right w:w="100" w:type="dxa"/>
            </w:tcMar>
          </w:tcPr>
          <w:p>
            <w:pPr>
              <w:pStyle w:val="TableText"/>
            </w:pPr>
            <w:r>
              <w:t xml:space="preserve">un millième de part</w:t>
            </w:r>
          </w:p>
        </w:tc>
        <w:tc>
          <w:tcPr>
            <w:tcW w:w="1500" w:type="dxa"/>
            <w:shd w:val="clear" w:color="auto" w:fill="FFFFFF"/>
            <w:tcMar>
              <w:top w:w="80" w:type="dxa"/>
              <w:left w:w="100" w:type="dxa"/>
              <w:bottom w:w="80" w:type="dxa"/>
              <w:right w:w="100" w:type="dxa"/>
            </w:tcMar>
          </w:tcPr>
          <w:p>
            <w:pPr>
              <w:pStyle w:val="TableText"/>
            </w:pPr>
            <w:r>
              <w:t xml:space="preserve">parts fractionnées en millièmes</w:t>
            </w:r>
          </w:p>
        </w:tc>
      </w:tr>
    </w:tbl>
    <w:p/>
    <w:p>
      <w:pPr>
        <w:pStyle w:val="Normal"/>
      </w:pPr>
      <w:r>
        <w:t xml:space="preserve">Chaque part représente un droit de copropriété sur les actifs du Fonds, proportionnel au nombre de parts détenues.</w:t>
      </w:r>
    </w:p>
    <w:p>
      <w:pPr>
        <w:pStyle w:val="Normal"/>
      </w:pPr>
      <w:r>
        <w:t xml:space="preserve">Les parts sont dématérialisées et inscrites en compte ou sur un registre selon les modalités opérationnelles du Fonds. Aucun titre ou certificat physique n’est déclaré.</w:t>
      </w:r>
    </w:p>
    <w:p>
      <w:pPr>
        <w:pStyle w:val="Normal"/>
      </w:pPr>
      <w:r>
        <w:t xml:space="preserve">Les parts sont dématérialisées et ne comportent aucun coupon matériel.</w:t>
      </w:r>
    </w:p>
    <w:p>
      <w:pPr>
        <w:pStyle w:val="Normal"/>
      </w:pPr>
      <w:r>
        <w:t xml:space="preserve">Les circonstances, autorités compétentes et modalités de liquidation doivent être rapprochées du règlement du Fonds et du corpus réglementaire applicable.</w:t>
      </w:r>
    </w:p>
    <w:p>
      <w:pPr>
        <w:pStyle w:val="Normal"/>
      </w:pPr>
      <w:r>
        <w:t xml:space="preserve">Les droits des porteurs lors de la liquidation, dont l’information et la répartition du produit net, doivent être confirmés dans le règlement du Fonds.</w:t>
      </w:r>
    </w:p>
    <w:p>
      <w:pPr>
        <w:pStyle w:val="Heading1"/>
      </w:pPr>
      <w:r>
        <w:t xml:space="preserve">1.11 Cotation ou négociation</w:t>
      </w:r>
    </w:p>
    <w:p>
      <w:pPr>
        <w:pStyle w:val="Normal"/>
      </w:pPr>
      <w:r>
        <w:t xml:space="preserve">Les parts du Fonds ne sont ni cotées ni admises à la négociation sur un marché.</w:t>
      </w:r>
    </w:p>
    <w:p>
      <w:pPr>
        <w:pStyle w:val="Heading1"/>
      </w:pPr>
      <w:r>
        <w:t xml:space="preserve">1.12 Émission et vente</w:t>
      </w:r>
    </w:p>
    <w:p>
      <w:pPr>
        <w:pStyle w:val="Normal"/>
      </w:pPr>
      <w:r>
        <w:t xml:space="preserve">Les parts sont émises au prix initial de 100 000 XOF. Les souscriptions sont reçues par Société de gestion et Distributeurs habilités et réglées par Virement et Autre moyen accepté par le centralisateur. Les modalités opérationnelles restent soumises à confirmation par le centralisateur et les distributeurs habilités.</w:t>
      </w:r>
    </w:p>
    <w:p>
      <w:pPr>
        <w:pStyle w:val="Heading1"/>
      </w:pPr>
      <w:r>
        <w:t xml:space="preserve">1.13 Rachat, remboursement et suspension</w:t>
      </w:r>
    </w:p>
    <w:p>
      <w:pPr>
        <w:pStyle w:val="Normal"/>
      </w:pPr>
      <w:r>
        <w:t xml:space="preserve">Les demandes de rachat sont centralisées au plus tard le vendredi à 17 h 00 et exécutées sur la base suivante : la prochaine valeur liquidative calculée conformément au calendrier du Fonds. Le règlement intervient normalement dans un délai de 2 jours ouvrés.</w:t>
      </w:r>
    </w:p>
    <w:p>
      <w:pPr>
        <w:pStyle w:val="Normal"/>
      </w:pPr>
      <w:r>
        <w:t xml:space="preserve">Les rachats peuvent être temporairement suspendus dans les circonstances suivantes : circonstances exceptionnelles lorsque l’intérêt des porteurs ou le fonctionnement normal du Fonds l’exige, sous réserve de validation juridique du wording. L’information est diffusée selon les modalités suivantes : information des porteurs et notification à l’AMF-UMOA selon la procédure applicable.</w:t>
      </w:r>
    </w:p>
    <w:p>
      <w:pPr>
        <w:pStyle w:val="Normal"/>
      </w:pPr>
      <w:r>
        <w:t xml:space="preserve">Un mécanisme de plafonnement des rachats peut être activé lorsque les demandes représentent plus de 5 % de l’actif net. Son exécution suit la méthode suivante : plafonnement et report du solde des demandes selon les modalités du règlement du Fonds.</w:t>
      </w:r>
    </w:p>
    <w:p>
      <w:pPr>
        <w:pStyle w:val="Heading1"/>
      </w:pPr>
      <w:r>
        <w:t xml:space="preserve">1.14 Détermination et affectation des revenus</w:t>
      </w:r>
    </w:p>
    <w:p>
      <w:pPr>
        <w:pStyle w:val="Normal"/>
      </w:pPr>
      <w:r>
        <w:t xml:space="preserve">Les revenus du Fonds sont intégralement capitalisés.</w:t>
      </w:r>
    </w:p>
    <w:p>
      <w:pPr>
        <w:pStyle w:val="Heading1"/>
      </w:pPr>
      <w:r>
        <w:t xml:space="preserve">1.15 Objectifs et politique d’investissement</w:t>
      </w:r>
    </w:p>
    <w:p>
      <w:pPr>
        <w:pStyle w:val="Normal"/>
      </w:pPr>
      <w:r>
        <w:t xml:space="preserve">L’objectif de gestion est le suivant : rechercher, sur un horizon recommandé de cinq ans, une performance supérieure à celle de l’indicateur de référence grâce à une gestion principalement obligataire. La gestion est active et discrétionnaire.</w:t>
      </w:r>
    </w:p>
    <w:p>
      <w:pPr>
        <w:pStyle w:val="Normal"/>
      </w:pPr>
      <w:r>
        <w:t xml:space="preserve">L’indicateur de référence est « Courbe de taux moyenne de la Côte d’Ivoire à cinq ans ». Il est utilisé de la manière suivante : comparaison de la performance du Fonds sur la durée recommandée, avec une latitude de gestion active.</w:t>
      </w:r>
    </w:p>
    <w:p>
      <w:pPr>
        <w:pStyle w:val="Normal"/>
      </w:pPr>
      <w:r>
        <w:t xml:space="preserve">Le Fonds peut recourir temporairement à l’emprunt, dans la limite de 10 % de son actif, pour le motif suivant : faire face à des besoins temporaires de liquidité.</w:t>
      </w:r>
    </w:p>
    <w:tbl>
      <w:tblPr>
        <w:tblStyle w:val="TableGrid"/>
        <w:tblW w:w="0" w:type="auto"/>
        <w:tblLayout w:type="fixed"/>
      </w:tblPr>
      <w:tblGrid>
        <w:gridCol w:w="2250"/>
        <w:gridCol w:w="2250"/>
        <w:gridCol w:w="2250"/>
        <w:gridCol w:w="2250"/>
      </w:tblGrid>
      <w:tr>
        <w:trPr>
          <w:tblHeader/>
          <w:cantSplit/>
        </w:trPr>
        <w:tc>
          <w:tcPr>
            <w:tcW w:w="2250" w:type="dxa"/>
            <w:shd w:val="clear" w:color="auto" w:fill="D9EAF7"/>
            <w:tcMar>
              <w:top w:w="80" w:type="dxa"/>
              <w:left w:w="100" w:type="dxa"/>
              <w:bottom w:w="80" w:type="dxa"/>
              <w:right w:w="100" w:type="dxa"/>
            </w:tcMar>
          </w:tcPr>
          <w:p>
            <w:pPr>
              <w:pStyle w:val="TableText"/>
            </w:pPr>
            <w:r>
              <w:rPr>
                <w:b/>
              </w:rPr>
              <w:t xml:space="preserve">Catégorie d’actifs</w:t>
            </w:r>
          </w:p>
        </w:tc>
        <w:tc>
          <w:tcPr>
            <w:tcW w:w="2250" w:type="dxa"/>
            <w:shd w:val="clear" w:color="auto" w:fill="D9EAF7"/>
            <w:tcMar>
              <w:top w:w="80" w:type="dxa"/>
              <w:left w:w="100" w:type="dxa"/>
              <w:bottom w:w="80" w:type="dxa"/>
              <w:right w:w="100" w:type="dxa"/>
            </w:tcMar>
          </w:tcPr>
          <w:p>
            <w:pPr>
              <w:pStyle w:val="TableText"/>
            </w:pPr>
            <w:r>
              <w:rPr>
                <w:b/>
              </w:rPr>
              <w:t xml:space="preserve">Minimum</w:t>
            </w:r>
          </w:p>
        </w:tc>
        <w:tc>
          <w:tcPr>
            <w:tcW w:w="2250" w:type="dxa"/>
            <w:shd w:val="clear" w:color="auto" w:fill="D9EAF7"/>
            <w:tcMar>
              <w:top w:w="80" w:type="dxa"/>
              <w:left w:w="100" w:type="dxa"/>
              <w:bottom w:w="80" w:type="dxa"/>
              <w:right w:w="100" w:type="dxa"/>
            </w:tcMar>
          </w:tcPr>
          <w:p>
            <w:pPr>
              <w:pStyle w:val="TableText"/>
            </w:pPr>
            <w:r>
              <w:rPr>
                <w:b/>
              </w:rPr>
              <w:t xml:space="preserve">Maximum</w:t>
            </w:r>
          </w:p>
        </w:tc>
        <w:tc>
          <w:tcPr>
            <w:tcW w:w="2250" w:type="dxa"/>
            <w:shd w:val="clear" w:color="auto" w:fill="D9EAF7"/>
            <w:tcMar>
              <w:top w:w="80" w:type="dxa"/>
              <w:left w:w="100" w:type="dxa"/>
              <w:bottom w:w="80" w:type="dxa"/>
              <w:right w:w="100" w:type="dxa"/>
            </w:tcMar>
          </w:tcPr>
          <w:p>
            <w:pPr>
              <w:pStyle w:val="TableText"/>
            </w:pPr>
            <w:r>
              <w:rPr>
                <w:b/>
              </w:rPr>
              <w:t xml:space="preserve">Précisions</w:t>
            </w:r>
          </w:p>
        </w:tc>
      </w:tr>
      <w:tr>
        <w:trPr>
          <w:cantSplit/>
        </w:trPr>
        <w:tc>
          <w:tcPr>
            <w:tcW w:w="2250" w:type="dxa"/>
            <w:shd w:val="clear" w:color="auto" w:fill="FFFFFF"/>
            <w:tcMar>
              <w:top w:w="80" w:type="dxa"/>
              <w:left w:w="100" w:type="dxa"/>
              <w:bottom w:w="80" w:type="dxa"/>
              <w:right w:w="100" w:type="dxa"/>
            </w:tcMar>
          </w:tcPr>
          <w:p>
            <w:pPr>
              <w:pStyle w:val="TableText"/>
            </w:pPr>
            <w:r>
              <w:t xml:space="preserve">Actions</w:t>
            </w:r>
          </w:p>
        </w:tc>
        <w:tc>
          <w:tcPr>
            <w:tcW w:w="2250" w:type="dxa"/>
            <w:shd w:val="clear" w:color="auto" w:fill="FFFFFF"/>
            <w:tcMar>
              <w:top w:w="80" w:type="dxa"/>
              <w:left w:w="100" w:type="dxa"/>
              <w:bottom w:w="80" w:type="dxa"/>
              <w:right w:w="100" w:type="dxa"/>
            </w:tcMar>
          </w:tcPr>
          <w:p>
            <w:pPr>
              <w:pStyle w:val="TableText"/>
            </w:pPr>
            <w:r>
              <w:t xml:space="preserve">0 %</w:t>
            </w:r>
          </w:p>
        </w:tc>
        <w:tc>
          <w:tcPr>
            <w:tcW w:w="2250" w:type="dxa"/>
            <w:shd w:val="clear" w:color="auto" w:fill="FFFFFF"/>
            <w:tcMar>
              <w:top w:w="80" w:type="dxa"/>
              <w:left w:w="100" w:type="dxa"/>
              <w:bottom w:w="80" w:type="dxa"/>
              <w:right w:w="100" w:type="dxa"/>
            </w:tcMar>
          </w:tcPr>
          <w:p>
            <w:pPr>
              <w:pStyle w:val="TableText"/>
            </w:pPr>
            <w:r>
              <w:t xml:space="preserve">20 %</w:t>
            </w:r>
          </w:p>
        </w:tc>
        <w:tc>
          <w:tcPr>
            <w:tcW w:w="2250" w:type="dxa"/>
            <w:shd w:val="clear" w:color="auto" w:fill="FFFFFF"/>
            <w:tcMar>
              <w:top w:w="80" w:type="dxa"/>
              <w:left w:w="100" w:type="dxa"/>
              <w:bottom w:w="80" w:type="dxa"/>
              <w:right w:w="100" w:type="dxa"/>
            </w:tcMar>
          </w:tcPr>
          <w:p>
            <w:pPr>
              <w:pStyle w:val="TableText"/>
            </w:pPr>
            <w:r>
              <w:t xml:space="preserve">Exposition accessoire</w:t>
            </w:r>
          </w:p>
        </w:tc>
      </w:tr>
      <w:tr>
        <w:trPr>
          <w:cantSplit/>
        </w:trPr>
        <w:tc>
          <w:tcPr>
            <w:tcW w:w="2250" w:type="dxa"/>
            <w:shd w:val="clear" w:color="auto" w:fill="FFFFFF"/>
            <w:tcMar>
              <w:top w:w="80" w:type="dxa"/>
              <w:left w:w="100" w:type="dxa"/>
              <w:bottom w:w="80" w:type="dxa"/>
              <w:right w:w="100" w:type="dxa"/>
            </w:tcMar>
          </w:tcPr>
          <w:p>
            <w:pPr>
              <w:pStyle w:val="TableText"/>
            </w:pPr>
            <w:r>
              <w:t xml:space="preserve">Obligations, titres de créance et instruments monétaires</w:t>
            </w:r>
          </w:p>
        </w:tc>
        <w:tc>
          <w:tcPr>
            <w:tcW w:w="2250" w:type="dxa"/>
            <w:shd w:val="clear" w:color="auto" w:fill="FFFFFF"/>
            <w:tcMar>
              <w:top w:w="80" w:type="dxa"/>
              <w:left w:w="100" w:type="dxa"/>
              <w:bottom w:w="80" w:type="dxa"/>
              <w:right w:w="100" w:type="dxa"/>
            </w:tcMar>
          </w:tcPr>
          <w:p>
            <w:pPr>
              <w:pStyle w:val="TableText"/>
            </w:pPr>
            <w:r>
              <w:t xml:space="preserve">70 %</w:t>
            </w:r>
          </w:p>
        </w:tc>
        <w:tc>
          <w:tcPr>
            <w:tcW w:w="2250" w:type="dxa"/>
            <w:shd w:val="clear" w:color="auto" w:fill="FFFFFF"/>
            <w:tcMar>
              <w:top w:w="80" w:type="dxa"/>
              <w:left w:w="100" w:type="dxa"/>
              <w:bottom w:w="80" w:type="dxa"/>
              <w:right w:w="100" w:type="dxa"/>
            </w:tcMar>
          </w:tcPr>
          <w:p>
            <w:pPr>
              <w:pStyle w:val="TableText"/>
            </w:pPr>
            <w:r>
              <w:t xml:space="preserve">100 %</w:t>
            </w:r>
          </w:p>
        </w:tc>
        <w:tc>
          <w:tcPr>
            <w:tcW w:w="2250" w:type="dxa"/>
            <w:shd w:val="clear" w:color="auto" w:fill="FFFFFF"/>
            <w:tcMar>
              <w:top w:w="80" w:type="dxa"/>
              <w:left w:w="100" w:type="dxa"/>
              <w:bottom w:w="80" w:type="dxa"/>
              <w:right w:w="100" w:type="dxa"/>
            </w:tcMar>
          </w:tcPr>
          <w:p>
            <w:pPr>
              <w:pStyle w:val="TableText"/>
            </w:pPr>
            <w:r>
              <w:t xml:space="preserve">Poche principale</w:t>
            </w:r>
          </w:p>
        </w:tc>
      </w:tr>
      <w:tr>
        <w:trPr>
          <w:cantSplit/>
        </w:trPr>
        <w:tc>
          <w:tcPr>
            <w:tcW w:w="2250" w:type="dxa"/>
            <w:shd w:val="clear" w:color="auto" w:fill="FFFFFF"/>
            <w:tcMar>
              <w:top w:w="80" w:type="dxa"/>
              <w:left w:w="100" w:type="dxa"/>
              <w:bottom w:w="80" w:type="dxa"/>
              <w:right w:w="100" w:type="dxa"/>
            </w:tcMar>
          </w:tcPr>
          <w:p>
            <w:pPr>
              <w:pStyle w:val="TableText"/>
            </w:pPr>
            <w:r>
              <w:t xml:space="preserve">Liquidités</w:t>
            </w:r>
          </w:p>
        </w:tc>
        <w:tc>
          <w:tcPr>
            <w:tcW w:w="2250" w:type="dxa"/>
            <w:shd w:val="clear" w:color="auto" w:fill="FFFFFF"/>
            <w:tcMar>
              <w:top w:w="80" w:type="dxa"/>
              <w:left w:w="100" w:type="dxa"/>
              <w:bottom w:w="80" w:type="dxa"/>
              <w:right w:w="100" w:type="dxa"/>
            </w:tcMar>
          </w:tcPr>
          <w:p>
            <w:pPr>
              <w:pStyle w:val="TableText"/>
            </w:pPr>
            <w:r>
              <w:t xml:space="preserve">0 %</w:t>
            </w:r>
          </w:p>
        </w:tc>
        <w:tc>
          <w:tcPr>
            <w:tcW w:w="2250" w:type="dxa"/>
            <w:shd w:val="clear" w:color="auto" w:fill="FFFFFF"/>
            <w:tcMar>
              <w:top w:w="80" w:type="dxa"/>
              <w:left w:w="100" w:type="dxa"/>
              <w:bottom w:w="80" w:type="dxa"/>
              <w:right w:w="100" w:type="dxa"/>
            </w:tcMar>
          </w:tcPr>
          <w:p>
            <w:pPr>
              <w:pStyle w:val="TableText"/>
            </w:pPr>
            <w:r>
              <w:t xml:space="preserve">10 %</w:t>
            </w:r>
          </w:p>
        </w:tc>
        <w:tc>
          <w:tcPr>
            <w:tcW w:w="2250" w:type="dxa"/>
            <w:shd w:val="clear" w:color="auto" w:fill="FFFFFF"/>
            <w:tcMar>
              <w:top w:w="80" w:type="dxa"/>
              <w:left w:w="100" w:type="dxa"/>
              <w:bottom w:w="80" w:type="dxa"/>
              <w:right w:w="100" w:type="dxa"/>
            </w:tcMar>
          </w:tcPr>
          <w:p>
            <w:pPr>
              <w:pStyle w:val="TableText"/>
            </w:pPr>
            <w:r>
              <w:t xml:space="preserve">Gestion de trésorerie</w:t>
            </w:r>
          </w:p>
        </w:tc>
      </w:tr>
    </w:tbl>
    <w:p/>
    <w:p>
      <w:pPr>
        <w:pStyle w:val="ListBullet"/>
      </w:pPr>
      <w:r>
        <w:t xml:space="preserve">• </w:t>
      </w:r>
      <w:r>
        <w:t xml:space="preserve">Risque de perte en capital : Le capital investi n’est pas garanti et peut ne pas être intégralement restitué.</w:t>
      </w:r>
    </w:p>
    <w:p>
      <w:pPr>
        <w:pStyle w:val="ListBullet"/>
      </w:pPr>
      <w:r>
        <w:t xml:space="preserve">• </w:t>
      </w:r>
      <w:r>
        <w:t xml:space="preserve">Risque actions : La valeur des actions détenues peut fluctuer à la hausse comme à la baisse.</w:t>
      </w:r>
    </w:p>
    <w:p>
      <w:pPr>
        <w:pStyle w:val="ListBullet"/>
      </w:pPr>
      <w:r>
        <w:t xml:space="preserve">• </w:t>
      </w:r>
      <w:r>
        <w:t xml:space="preserve">Risque de taux : La valeur des instruments de taux peut diminuer en cas de variation défavorable des taux d’intérêt.</w:t>
      </w:r>
    </w:p>
    <w:p>
      <w:pPr>
        <w:pStyle w:val="ListBullet"/>
      </w:pPr>
      <w:r>
        <w:t xml:space="preserve">• </w:t>
      </w:r>
      <w:r>
        <w:t xml:space="preserve">Risque de crédit : La dégradation de la qualité d’un émetteur peut affecter la valeur des titres détenus.</w:t>
      </w:r>
    </w:p>
    <w:p>
      <w:pPr>
        <w:pStyle w:val="ListBullet"/>
      </w:pPr>
      <w:r>
        <w:t xml:space="preserve">• </w:t>
      </w:r>
      <w:r>
        <w:t xml:space="preserve">Risque de liquidité : Certains actifs peuvent être difficiles à céder rapidement dans des conditions normales de marché.</w:t>
      </w:r>
    </w:p>
    <w:p>
      <w:pPr>
        <w:pStyle w:val="ListBullet"/>
      </w:pPr>
      <w:r>
        <w:t xml:space="preserve">• </w:t>
      </w:r>
      <w:r>
        <w:t xml:space="preserve">Risque lié à la gestion discrétionnaire : Les choix du gestionnaire peuvent ne pas produire les résultats attendus.</w:t>
      </w:r>
    </w:p>
    <w:p>
      <w:pPr>
        <w:pStyle w:val="ListBullet"/>
      </w:pPr>
      <w:r>
        <w:t xml:space="preserve">• </w:t>
      </w:r>
      <w:r>
        <w:t xml:space="preserve">Risque opérationnel : Une défaillance de processus, de système ou d’un prestataire peut affecter le Fonds.</w:t>
      </w:r>
    </w:p>
    <w:p>
      <w:pPr>
        <w:pStyle w:val="Normal"/>
      </w:pPr>
      <w:r>
        <w:t xml:space="preserve">Aucune spécialisation géographique ou sectorielle distincte n’est déclarée dans le présent projet ; ce point doit être confirmé par la société de gestion.</w:t>
      </w:r>
    </w:p>
    <w:p>
      <w:pPr>
        <w:pStyle w:val="Heading1"/>
      </w:pPr>
      <w:r>
        <w:t xml:space="preserve">1.16 Évaluation des actifs</w:t>
      </w:r>
    </w:p>
    <w:tbl>
      <w:tblPr>
        <w:tblStyle w:val="TableGrid"/>
        <w:tblW w:w="0" w:type="auto"/>
        <w:tblLayout w:type="fixed"/>
      </w:tblPr>
      <w:tblGrid>
        <w:gridCol w:w="2250"/>
        <w:gridCol w:w="2250"/>
        <w:gridCol w:w="2250"/>
        <w:gridCol w:w="2250"/>
      </w:tblGrid>
      <w:tr>
        <w:trPr>
          <w:tblHeader/>
          <w:cantSplit/>
        </w:trPr>
        <w:tc>
          <w:tcPr>
            <w:tcW w:w="2250" w:type="dxa"/>
            <w:shd w:val="clear" w:color="auto" w:fill="D9EAF7"/>
            <w:tcMar>
              <w:top w:w="80" w:type="dxa"/>
              <w:left w:w="100" w:type="dxa"/>
              <w:bottom w:w="80" w:type="dxa"/>
              <w:right w:w="100" w:type="dxa"/>
            </w:tcMar>
          </w:tcPr>
          <w:p>
            <w:pPr>
              <w:pStyle w:val="TableText"/>
            </w:pPr>
            <w:r>
              <w:rPr>
                <w:b/>
              </w:rPr>
              <w:t xml:space="preserve">Actif</w:t>
            </w:r>
          </w:p>
        </w:tc>
        <w:tc>
          <w:tcPr>
            <w:tcW w:w="2250" w:type="dxa"/>
            <w:shd w:val="clear" w:color="auto" w:fill="D9EAF7"/>
            <w:tcMar>
              <w:top w:w="80" w:type="dxa"/>
              <w:left w:w="100" w:type="dxa"/>
              <w:bottom w:w="80" w:type="dxa"/>
              <w:right w:w="100" w:type="dxa"/>
            </w:tcMar>
          </w:tcPr>
          <w:p>
            <w:pPr>
              <w:pStyle w:val="TableText"/>
            </w:pPr>
            <w:r>
              <w:rPr>
                <w:b/>
              </w:rPr>
              <w:t xml:space="preserve">Méthode</w:t>
            </w:r>
          </w:p>
        </w:tc>
        <w:tc>
          <w:tcPr>
            <w:tcW w:w="2250" w:type="dxa"/>
            <w:shd w:val="clear" w:color="auto" w:fill="D9EAF7"/>
            <w:tcMar>
              <w:top w:w="80" w:type="dxa"/>
              <w:left w:w="100" w:type="dxa"/>
              <w:bottom w:w="80" w:type="dxa"/>
              <w:right w:w="100" w:type="dxa"/>
            </w:tcMar>
          </w:tcPr>
          <w:p>
            <w:pPr>
              <w:pStyle w:val="TableText"/>
            </w:pPr>
            <w:r>
              <w:rPr>
                <w:b/>
              </w:rPr>
              <w:t xml:space="preserve">Source principale</w:t>
            </w:r>
          </w:p>
        </w:tc>
        <w:tc>
          <w:tcPr>
            <w:tcW w:w="2250" w:type="dxa"/>
            <w:shd w:val="clear" w:color="auto" w:fill="D9EAF7"/>
            <w:tcMar>
              <w:top w:w="80" w:type="dxa"/>
              <w:left w:w="100" w:type="dxa"/>
              <w:bottom w:w="80" w:type="dxa"/>
              <w:right w:w="100" w:type="dxa"/>
            </w:tcMar>
          </w:tcPr>
          <w:p>
            <w:pPr>
              <w:pStyle w:val="TableText"/>
            </w:pPr>
            <w:r>
              <w:rPr>
                <w:b/>
              </w:rPr>
              <w:t xml:space="preserve">Méthode de repli</w:t>
            </w:r>
          </w:p>
        </w:tc>
      </w:tr>
      <w:tr>
        <w:trPr>
          <w:cantSplit/>
        </w:trPr>
        <w:tc>
          <w:tcPr>
            <w:tcW w:w="2250" w:type="dxa"/>
            <w:shd w:val="clear" w:color="auto" w:fill="FFFFFF"/>
            <w:tcMar>
              <w:top w:w="80" w:type="dxa"/>
              <w:left w:w="100" w:type="dxa"/>
              <w:bottom w:w="80" w:type="dxa"/>
              <w:right w:w="100" w:type="dxa"/>
            </w:tcMar>
          </w:tcPr>
          <w:p>
            <w:pPr>
              <w:pStyle w:val="TableText"/>
            </w:pPr>
            <w:r>
              <w:t xml:space="preserve">Actions</w:t>
            </w:r>
          </w:p>
        </w:tc>
        <w:tc>
          <w:tcPr>
            <w:tcW w:w="2250" w:type="dxa"/>
            <w:shd w:val="clear" w:color="auto" w:fill="FFFFFF"/>
            <w:tcMar>
              <w:top w:w="80" w:type="dxa"/>
              <w:left w:w="100" w:type="dxa"/>
              <w:bottom w:w="80" w:type="dxa"/>
              <w:right w:w="100" w:type="dxa"/>
            </w:tcMar>
          </w:tcPr>
          <w:p>
            <w:pPr>
              <w:pStyle w:val="TableText"/>
            </w:pPr>
            <w:r>
              <w:t xml:space="preserve">Dernier cours disponible sur le marché de référence ou méthode de juste valeur en l’absence de cotation exploitable</w:t>
            </w:r>
          </w:p>
        </w:tc>
        <w:tc>
          <w:tcPr>
            <w:tcW w:w="2250" w:type="dxa"/>
            <w:shd w:val="clear" w:color="auto" w:fill="FFFFFF"/>
            <w:tcMar>
              <w:top w:w="80" w:type="dxa"/>
              <w:left w:w="100" w:type="dxa"/>
              <w:bottom w:w="80" w:type="dxa"/>
              <w:right w:w="100" w:type="dxa"/>
            </w:tcMar>
          </w:tcPr>
          <w:p>
            <w:pPr>
              <w:pStyle w:val="TableText"/>
            </w:pPr>
            <w:r>
              <w:t xml:space="preserve">Marché de cotation</w:t>
            </w:r>
          </w:p>
        </w:tc>
        <w:tc>
          <w:tcPr>
            <w:tcW w:w="2250" w:type="dxa"/>
            <w:shd w:val="clear" w:color="auto" w:fill="FFFFFF"/>
            <w:tcMar>
              <w:top w:w="80" w:type="dxa"/>
              <w:left w:w="100" w:type="dxa"/>
              <w:bottom w:w="80" w:type="dxa"/>
              <w:right w:w="100" w:type="dxa"/>
            </w:tcMar>
          </w:tcPr>
          <w:p>
            <w:pPr>
              <w:pStyle w:val="TableText"/>
            </w:pPr>
            <w:r>
              <w:t xml:space="preserve">Juste valeur documentée</w:t>
            </w:r>
          </w:p>
        </w:tc>
      </w:tr>
      <w:tr>
        <w:trPr>
          <w:cantSplit/>
        </w:trPr>
        <w:tc>
          <w:tcPr>
            <w:tcW w:w="2250" w:type="dxa"/>
            <w:shd w:val="clear" w:color="auto" w:fill="FFFFFF"/>
            <w:tcMar>
              <w:top w:w="80" w:type="dxa"/>
              <w:left w:w="100" w:type="dxa"/>
              <w:bottom w:w="80" w:type="dxa"/>
              <w:right w:w="100" w:type="dxa"/>
            </w:tcMar>
          </w:tcPr>
          <w:p>
            <w:pPr>
              <w:pStyle w:val="TableText"/>
            </w:pPr>
            <w:r>
              <w:t xml:space="preserve">Obligations et instruments monétaires</w:t>
            </w:r>
          </w:p>
        </w:tc>
        <w:tc>
          <w:tcPr>
            <w:tcW w:w="2250" w:type="dxa"/>
            <w:shd w:val="clear" w:color="auto" w:fill="FFFFFF"/>
            <w:tcMar>
              <w:top w:w="80" w:type="dxa"/>
              <w:left w:w="100" w:type="dxa"/>
              <w:bottom w:w="80" w:type="dxa"/>
              <w:right w:w="100" w:type="dxa"/>
            </w:tcMar>
          </w:tcPr>
          <w:p>
            <w:pPr>
              <w:pStyle w:val="TableText"/>
            </w:pPr>
            <w:r>
              <w:t xml:space="preserve">Valeur de marché ou méthode actuarielle selon la nature et la liquidité du titre</w:t>
            </w:r>
          </w:p>
        </w:tc>
        <w:tc>
          <w:tcPr>
            <w:tcW w:w="2250" w:type="dxa"/>
            <w:shd w:val="clear" w:color="auto" w:fill="FFFFFF"/>
            <w:tcMar>
              <w:top w:w="80" w:type="dxa"/>
              <w:left w:w="100" w:type="dxa"/>
              <w:bottom w:w="80" w:type="dxa"/>
              <w:right w:w="100" w:type="dxa"/>
            </w:tcMar>
          </w:tcPr>
          <w:p>
            <w:pPr>
              <w:pStyle w:val="TableText"/>
            </w:pPr>
            <w:r>
              <w:t xml:space="preserve">Prix de marché ou courbe de taux de référence</w:t>
            </w:r>
          </w:p>
        </w:tc>
        <w:tc>
          <w:tcPr>
            <w:tcW w:w="2250" w:type="dxa"/>
            <w:shd w:val="clear" w:color="auto" w:fill="FFFFFF"/>
            <w:tcMar>
              <w:top w:w="80" w:type="dxa"/>
              <w:left w:w="100" w:type="dxa"/>
              <w:bottom w:w="80" w:type="dxa"/>
              <w:right w:w="100" w:type="dxa"/>
            </w:tcMar>
          </w:tcPr>
          <w:p>
            <w:pPr>
              <w:pStyle w:val="TableText"/>
            </w:pPr>
            <w:r>
              <w:t xml:space="preserve">Méthode actuarielle documentée</w:t>
            </w:r>
          </w:p>
        </w:tc>
      </w:tr>
      <w:tr>
        <w:trPr>
          <w:cantSplit/>
        </w:trPr>
        <w:tc>
          <w:tcPr>
            <w:tcW w:w="2250" w:type="dxa"/>
            <w:shd w:val="clear" w:color="auto" w:fill="FFFFFF"/>
            <w:tcMar>
              <w:top w:w="80" w:type="dxa"/>
              <w:left w:w="100" w:type="dxa"/>
              <w:bottom w:w="80" w:type="dxa"/>
              <w:right w:w="100" w:type="dxa"/>
            </w:tcMar>
          </w:tcPr>
          <w:p>
            <w:pPr>
              <w:pStyle w:val="TableText"/>
            </w:pPr>
            <w:r>
              <w:t xml:space="preserve">Liquidités</w:t>
            </w:r>
          </w:p>
        </w:tc>
        <w:tc>
          <w:tcPr>
            <w:tcW w:w="2250" w:type="dxa"/>
            <w:shd w:val="clear" w:color="auto" w:fill="FFFFFF"/>
            <w:tcMar>
              <w:top w:w="80" w:type="dxa"/>
              <w:left w:w="100" w:type="dxa"/>
              <w:bottom w:w="80" w:type="dxa"/>
              <w:right w:w="100" w:type="dxa"/>
            </w:tcMar>
          </w:tcPr>
          <w:p>
            <w:pPr>
              <w:pStyle w:val="TableText"/>
            </w:pPr>
            <w:r>
              <w:t xml:space="preserve">Valeur nominale augmentée des intérêts courus lorsqu’ils existent</w:t>
            </w:r>
          </w:p>
        </w:tc>
        <w:tc>
          <w:tcPr>
            <w:tcW w:w="2250" w:type="dxa"/>
            <w:shd w:val="clear" w:color="auto" w:fill="FFFFFF"/>
            <w:tcMar>
              <w:top w:w="80" w:type="dxa"/>
              <w:left w:w="100" w:type="dxa"/>
              <w:bottom w:w="80" w:type="dxa"/>
              <w:right w:w="100" w:type="dxa"/>
            </w:tcMar>
          </w:tcPr>
          <w:p>
            <w:pPr>
              <w:pStyle w:val="TableText"/>
            </w:pPr>
            <w:r>
              <w:t xml:space="preserve">Relevés bancaires et comptabilité</w:t>
            </w:r>
          </w:p>
        </w:tc>
        <w:tc>
          <w:tcPr>
            <w:tcW w:w="2250" w:type="dxa"/>
            <w:shd w:val="clear" w:color="auto" w:fill="FFFFFF"/>
            <w:tcMar>
              <w:top w:w="80" w:type="dxa"/>
              <w:left w:w="100" w:type="dxa"/>
              <w:bottom w:w="80" w:type="dxa"/>
              <w:right w:w="100" w:type="dxa"/>
            </w:tcMar>
          </w:tcPr>
          <w:p>
            <w:pPr>
              <w:pStyle w:val="TableText"/>
            </w:pPr>
            <w:r>
              <w:t xml:space="preserve">Rapprochement et validation comptable</w:t>
            </w:r>
          </w:p>
        </w:tc>
      </w:tr>
    </w:tbl>
    <w:p/>
    <w:p>
      <w:pPr>
        <w:pStyle w:val="Heading1"/>
      </w:pPr>
      <w:r>
        <w:t xml:space="preserve">1.17 Détermination et publication des prix</w:t>
      </w:r>
    </w:p>
    <w:p>
      <w:pPr>
        <w:pStyle w:val="Normal"/>
      </w:pPr>
      <w:r>
        <w:t xml:space="preserve">La valeur liquidative est calculée selon une fréquence hebdomadaire. Calcul le lundi à partir des valeurs du vendredi précédent. La publication intervient selon l’échéance suivante : lundi à 13 h 00.</w:t>
      </w:r>
    </w:p>
    <w:p>
      <w:pPr>
        <w:pStyle w:val="Heading1"/>
      </w:pPr>
      <w:r>
        <w:t xml:space="preserve">1.18 Rémunérations et remboursements de frais</w:t>
      </w:r>
    </w:p>
    <w:tbl>
      <w:tblPr>
        <w:tblStyle w:val="TableGrid"/>
        <w:tblW w:w="0" w:type="auto"/>
        <w:tblLayout w:type="fixed"/>
      </w:tblPr>
      <w:tblGrid>
        <w:gridCol w:w="1500"/>
        <w:gridCol w:w="1500"/>
        <w:gridCol w:w="1500"/>
        <w:gridCol w:w="1500"/>
        <w:gridCol w:w="1500"/>
        <w:gridCol w:w="1500"/>
      </w:tblGrid>
      <w:tr>
        <w:trPr>
          <w:tblHeader/>
          <w:cantSplit/>
        </w:trPr>
        <w:tc>
          <w:tcPr>
            <w:tcW w:w="1500" w:type="dxa"/>
            <w:shd w:val="clear" w:color="auto" w:fill="D9EAF7"/>
            <w:tcMar>
              <w:top w:w="80" w:type="dxa"/>
              <w:left w:w="100" w:type="dxa"/>
              <w:bottom w:w="80" w:type="dxa"/>
              <w:right w:w="100" w:type="dxa"/>
            </w:tcMar>
          </w:tcPr>
          <w:p>
            <w:pPr>
              <w:pStyle w:val="TableText"/>
            </w:pPr>
            <w:r>
              <w:rPr>
                <w:b/>
              </w:rPr>
              <w:t xml:space="preserve">Frais</w:t>
            </w:r>
          </w:p>
        </w:tc>
        <w:tc>
          <w:tcPr>
            <w:tcW w:w="1500" w:type="dxa"/>
            <w:shd w:val="clear" w:color="auto" w:fill="D9EAF7"/>
            <w:tcMar>
              <w:top w:w="80" w:type="dxa"/>
              <w:left w:w="100" w:type="dxa"/>
              <w:bottom w:w="80" w:type="dxa"/>
              <w:right w:w="100" w:type="dxa"/>
            </w:tcMar>
          </w:tcPr>
          <w:p>
            <w:pPr>
              <w:pStyle w:val="TableText"/>
            </w:pPr>
            <w:r>
              <w:rPr>
                <w:b/>
              </w:rPr>
              <w:t xml:space="preserve">Payeur</w:t>
            </w:r>
          </w:p>
        </w:tc>
        <w:tc>
          <w:tcPr>
            <w:tcW w:w="1500" w:type="dxa"/>
            <w:shd w:val="clear" w:color="auto" w:fill="D9EAF7"/>
            <w:tcMar>
              <w:top w:w="80" w:type="dxa"/>
              <w:left w:w="100" w:type="dxa"/>
              <w:bottom w:w="80" w:type="dxa"/>
              <w:right w:w="100" w:type="dxa"/>
            </w:tcMar>
          </w:tcPr>
          <w:p>
            <w:pPr>
              <w:pStyle w:val="TableText"/>
            </w:pPr>
            <w:r>
              <w:rPr>
                <w:b/>
              </w:rPr>
              <w:t xml:space="preserve">Bénéficiaire</w:t>
            </w:r>
          </w:p>
        </w:tc>
        <w:tc>
          <w:tcPr>
            <w:tcW w:w="1500" w:type="dxa"/>
            <w:shd w:val="clear" w:color="auto" w:fill="D9EAF7"/>
            <w:tcMar>
              <w:top w:w="80" w:type="dxa"/>
              <w:left w:w="100" w:type="dxa"/>
              <w:bottom w:w="80" w:type="dxa"/>
              <w:right w:w="100" w:type="dxa"/>
            </w:tcMar>
          </w:tcPr>
          <w:p>
            <w:pPr>
              <w:pStyle w:val="TableText"/>
            </w:pPr>
            <w:r>
              <w:rPr>
                <w:b/>
              </w:rPr>
              <w:t xml:space="preserve">Assiette</w:t>
            </w:r>
          </w:p>
        </w:tc>
        <w:tc>
          <w:tcPr>
            <w:tcW w:w="1500" w:type="dxa"/>
            <w:shd w:val="clear" w:color="auto" w:fill="D9EAF7"/>
            <w:tcMar>
              <w:top w:w="80" w:type="dxa"/>
              <w:left w:w="100" w:type="dxa"/>
              <w:bottom w:w="80" w:type="dxa"/>
              <w:right w:w="100" w:type="dxa"/>
            </w:tcMar>
          </w:tcPr>
          <w:p>
            <w:pPr>
              <w:pStyle w:val="TableText"/>
            </w:pPr>
            <w:r>
              <w:rPr>
                <w:b/>
              </w:rPr>
              <w:t xml:space="preserve">Taux / montant</w:t>
            </w:r>
          </w:p>
        </w:tc>
        <w:tc>
          <w:tcPr>
            <w:tcW w:w="1500" w:type="dxa"/>
            <w:shd w:val="clear" w:color="auto" w:fill="D9EAF7"/>
            <w:tcMar>
              <w:top w:w="80" w:type="dxa"/>
              <w:left w:w="100" w:type="dxa"/>
              <w:bottom w:w="80" w:type="dxa"/>
              <w:right w:w="100" w:type="dxa"/>
            </w:tcMar>
          </w:tcPr>
          <w:p>
            <w:pPr>
              <w:pStyle w:val="TableText"/>
            </w:pPr>
            <w:r>
              <w:rPr>
                <w:b/>
              </w:rPr>
              <w:t xml:space="preserve">Fréquence</w:t>
            </w:r>
          </w:p>
        </w:tc>
      </w:tr>
      <w:tr>
        <w:trPr>
          <w:cantSplit/>
        </w:trPr>
        <w:tc>
          <w:tcPr>
            <w:tcW w:w="1500" w:type="dxa"/>
            <w:shd w:val="clear" w:color="auto" w:fill="FFFFFF"/>
            <w:tcMar>
              <w:top w:w="80" w:type="dxa"/>
              <w:left w:w="100" w:type="dxa"/>
              <w:bottom w:w="80" w:type="dxa"/>
              <w:right w:w="100" w:type="dxa"/>
            </w:tcMar>
          </w:tcPr>
          <w:p>
            <w:pPr>
              <w:pStyle w:val="TableText"/>
            </w:pPr>
            <w:r>
              <w:t xml:space="preserve">Commission de souscription non acquise au Fonds</w:t>
            </w:r>
          </w:p>
        </w:tc>
        <w:tc>
          <w:tcPr>
            <w:tcW w:w="1500" w:type="dxa"/>
            <w:shd w:val="clear" w:color="auto" w:fill="FFFFFF"/>
            <w:tcMar>
              <w:top w:w="80" w:type="dxa"/>
              <w:left w:w="100" w:type="dxa"/>
              <w:bottom w:w="80" w:type="dxa"/>
              <w:right w:w="100" w:type="dxa"/>
            </w:tcMar>
          </w:tcPr>
          <w:p>
            <w:pPr>
              <w:pStyle w:val="TableText"/>
            </w:pPr>
            <w:r>
              <w:t xml:space="preserve">HOLDER</w:t>
            </w:r>
          </w:p>
        </w:tc>
        <w:tc>
          <w:tcPr>
            <w:tcW w:w="1500" w:type="dxa"/>
            <w:shd w:val="clear" w:color="auto" w:fill="FFFFFF"/>
            <w:tcMar>
              <w:top w:w="80" w:type="dxa"/>
              <w:left w:w="100" w:type="dxa"/>
              <w:bottom w:w="80" w:type="dxa"/>
              <w:right w:w="100" w:type="dxa"/>
            </w:tcMar>
          </w:tcPr>
          <w:p>
            <w:pPr>
              <w:pStyle w:val="TableText"/>
            </w:pPr>
            <w:r>
              <w:t xml:space="preserve">Distributeur ou intervenant désigné</w:t>
            </w:r>
          </w:p>
        </w:tc>
        <w:tc>
          <w:tcPr>
            <w:tcW w:w="1500" w:type="dxa"/>
            <w:shd w:val="clear" w:color="auto" w:fill="FFFFFF"/>
            <w:tcMar>
              <w:top w:w="80" w:type="dxa"/>
              <w:left w:w="100" w:type="dxa"/>
              <w:bottom w:w="80" w:type="dxa"/>
              <w:right w:w="100" w:type="dxa"/>
            </w:tcMar>
          </w:tcPr>
          <w:p>
            <w:pPr>
              <w:pStyle w:val="TableText"/>
            </w:pPr>
            <w:r>
              <w:t xml:space="preserve">Montant souscrit</w:t>
            </w:r>
          </w:p>
        </w:tc>
        <w:tc>
          <w:tcPr>
            <w:tcW w:w="1500" w:type="dxa"/>
            <w:shd w:val="clear" w:color="auto" w:fill="FFFFFF"/>
            <w:tcMar>
              <w:top w:w="80" w:type="dxa"/>
              <w:left w:w="100" w:type="dxa"/>
              <w:bottom w:w="80" w:type="dxa"/>
              <w:right w:w="100" w:type="dxa"/>
            </w:tcMar>
          </w:tcPr>
          <w:p>
            <w:pPr>
              <w:pStyle w:val="TableText"/>
            </w:pPr>
            <w:r>
              <w:t xml:space="preserve">0.83 % TTC</w:t>
            </w:r>
          </w:p>
        </w:tc>
        <w:tc>
          <w:tcPr>
            <w:tcW w:w="1500" w:type="dxa"/>
            <w:shd w:val="clear" w:color="auto" w:fill="FFFFFF"/>
            <w:tcMar>
              <w:top w:w="80" w:type="dxa"/>
              <w:left w:w="100" w:type="dxa"/>
              <w:bottom w:w="80" w:type="dxa"/>
              <w:right w:w="100" w:type="dxa"/>
            </w:tcMar>
          </w:tcPr>
          <w:p>
            <w:pPr>
              <w:pStyle w:val="TableText"/>
            </w:pPr>
            <w:r>
              <w:t xml:space="preserve">À chaque souscription</w:t>
            </w:r>
          </w:p>
        </w:tc>
      </w:tr>
      <w:tr>
        <w:trPr>
          <w:cantSplit/>
        </w:trPr>
        <w:tc>
          <w:tcPr>
            <w:tcW w:w="1500" w:type="dxa"/>
            <w:shd w:val="clear" w:color="auto" w:fill="FFFFFF"/>
            <w:tcMar>
              <w:top w:w="80" w:type="dxa"/>
              <w:left w:w="100" w:type="dxa"/>
              <w:bottom w:w="80" w:type="dxa"/>
              <w:right w:w="100" w:type="dxa"/>
            </w:tcMar>
          </w:tcPr>
          <w:p>
            <w:pPr>
              <w:pStyle w:val="TableText"/>
            </w:pPr>
            <w:r>
              <w:t xml:space="preserve">Commission de rachat non acquise au Fonds</w:t>
            </w:r>
          </w:p>
        </w:tc>
        <w:tc>
          <w:tcPr>
            <w:tcW w:w="1500" w:type="dxa"/>
            <w:shd w:val="clear" w:color="auto" w:fill="FFFFFF"/>
            <w:tcMar>
              <w:top w:w="80" w:type="dxa"/>
              <w:left w:w="100" w:type="dxa"/>
              <w:bottom w:w="80" w:type="dxa"/>
              <w:right w:w="100" w:type="dxa"/>
            </w:tcMar>
          </w:tcPr>
          <w:p>
            <w:pPr>
              <w:pStyle w:val="TableText"/>
            </w:pPr>
            <w:r>
              <w:t xml:space="preserve">HOLDER</w:t>
            </w:r>
          </w:p>
        </w:tc>
        <w:tc>
          <w:tcPr>
            <w:tcW w:w="1500" w:type="dxa"/>
            <w:shd w:val="clear" w:color="auto" w:fill="FFFFFF"/>
            <w:tcMar>
              <w:top w:w="80" w:type="dxa"/>
              <w:left w:w="100" w:type="dxa"/>
              <w:bottom w:w="80" w:type="dxa"/>
              <w:right w:w="100" w:type="dxa"/>
            </w:tcMar>
          </w:tcPr>
          <w:p>
            <w:pPr>
              <w:pStyle w:val="TableText"/>
            </w:pPr>
            <w:r>
              <w:t xml:space="preserve">Distributeur ou intervenant désigné</w:t>
            </w:r>
          </w:p>
        </w:tc>
        <w:tc>
          <w:tcPr>
            <w:tcW w:w="1500" w:type="dxa"/>
            <w:shd w:val="clear" w:color="auto" w:fill="FFFFFF"/>
            <w:tcMar>
              <w:top w:w="80" w:type="dxa"/>
              <w:left w:w="100" w:type="dxa"/>
              <w:bottom w:w="80" w:type="dxa"/>
              <w:right w:w="100" w:type="dxa"/>
            </w:tcMar>
          </w:tcPr>
          <w:p>
            <w:pPr>
              <w:pStyle w:val="TableText"/>
            </w:pPr>
            <w:r>
              <w:t xml:space="preserve">Montant racheté</w:t>
            </w:r>
          </w:p>
        </w:tc>
        <w:tc>
          <w:tcPr>
            <w:tcW w:w="1500" w:type="dxa"/>
            <w:shd w:val="clear" w:color="auto" w:fill="FFFFFF"/>
            <w:tcMar>
              <w:top w:w="80" w:type="dxa"/>
              <w:left w:w="100" w:type="dxa"/>
              <w:bottom w:w="80" w:type="dxa"/>
              <w:right w:w="100" w:type="dxa"/>
            </w:tcMar>
          </w:tcPr>
          <w:p>
            <w:pPr>
              <w:pStyle w:val="TableText"/>
            </w:pPr>
            <w:r>
              <w:t xml:space="preserve">1.1 % TTC</w:t>
            </w:r>
          </w:p>
        </w:tc>
        <w:tc>
          <w:tcPr>
            <w:tcW w:w="1500" w:type="dxa"/>
            <w:shd w:val="clear" w:color="auto" w:fill="FFFFFF"/>
            <w:tcMar>
              <w:top w:w="80" w:type="dxa"/>
              <w:left w:w="100" w:type="dxa"/>
              <w:bottom w:w="80" w:type="dxa"/>
              <w:right w:w="100" w:type="dxa"/>
            </w:tcMar>
          </w:tcPr>
          <w:p>
            <w:pPr>
              <w:pStyle w:val="TableText"/>
            </w:pPr>
            <w:r>
              <w:t xml:space="preserve">À chaque rachat</w:t>
            </w:r>
          </w:p>
        </w:tc>
      </w:tr>
      <w:tr>
        <w:trPr>
          <w:cantSplit/>
        </w:trPr>
        <w:tc>
          <w:tcPr>
            <w:tcW w:w="1500" w:type="dxa"/>
            <w:shd w:val="clear" w:color="auto" w:fill="FFFFFF"/>
            <w:tcMar>
              <w:top w:w="80" w:type="dxa"/>
              <w:left w:w="100" w:type="dxa"/>
              <w:bottom w:w="80" w:type="dxa"/>
              <w:right w:w="100" w:type="dxa"/>
            </w:tcMar>
          </w:tcPr>
          <w:p>
            <w:pPr>
              <w:pStyle w:val="TableText"/>
            </w:pPr>
            <w:r>
              <w:t xml:space="preserve">Frais de gestion financière</w:t>
            </w:r>
          </w:p>
        </w:tc>
        <w:tc>
          <w:tcPr>
            <w:tcW w:w="1500" w:type="dxa"/>
            <w:shd w:val="clear" w:color="auto" w:fill="FFFFFF"/>
            <w:tcMar>
              <w:top w:w="80" w:type="dxa"/>
              <w:left w:w="100" w:type="dxa"/>
              <w:bottom w:w="80" w:type="dxa"/>
              <w:right w:w="100" w:type="dxa"/>
            </w:tcMar>
          </w:tcPr>
          <w:p>
            <w:pPr>
              <w:pStyle w:val="TableText"/>
            </w:pPr>
            <w:r>
              <w:t xml:space="preserve">FUND_ASSETS</w:t>
            </w:r>
          </w:p>
        </w:tc>
        <w:tc>
          <w:tcPr>
            <w:tcW w:w="1500" w:type="dxa"/>
            <w:shd w:val="clear" w:color="auto" w:fill="FFFFFF"/>
            <w:tcMar>
              <w:top w:w="80" w:type="dxa"/>
              <w:left w:w="100" w:type="dxa"/>
              <w:bottom w:w="80" w:type="dxa"/>
              <w:right w:w="100" w:type="dxa"/>
            </w:tcMar>
          </w:tcPr>
          <w:p>
            <w:pPr>
              <w:pStyle w:val="TableText"/>
            </w:pPr>
            <w:r>
              <w:t xml:space="preserve">Société de gestion</w:t>
            </w:r>
          </w:p>
        </w:tc>
        <w:tc>
          <w:tcPr>
            <w:tcW w:w="1500" w:type="dxa"/>
            <w:shd w:val="clear" w:color="auto" w:fill="FFFFFF"/>
            <w:tcMar>
              <w:top w:w="80" w:type="dxa"/>
              <w:left w:w="100" w:type="dxa"/>
              <w:bottom w:w="80" w:type="dxa"/>
              <w:right w:w="100" w:type="dxa"/>
            </w:tcMar>
          </w:tcPr>
          <w:p>
            <w:pPr>
              <w:pStyle w:val="TableText"/>
            </w:pPr>
            <w:r>
              <w:t xml:space="preserve">Actif net</w:t>
            </w:r>
          </w:p>
        </w:tc>
        <w:tc>
          <w:tcPr>
            <w:tcW w:w="1500" w:type="dxa"/>
            <w:shd w:val="clear" w:color="auto" w:fill="FFFFFF"/>
            <w:tcMar>
              <w:top w:w="80" w:type="dxa"/>
              <w:left w:w="100" w:type="dxa"/>
              <w:bottom w:w="80" w:type="dxa"/>
              <w:right w:w="100" w:type="dxa"/>
            </w:tcMar>
          </w:tcPr>
          <w:p>
            <w:pPr>
              <w:pStyle w:val="TableText"/>
            </w:pPr>
            <w:r>
              <w:t xml:space="preserve">2.2 % TTC</w:t>
            </w:r>
          </w:p>
        </w:tc>
        <w:tc>
          <w:tcPr>
            <w:tcW w:w="1500" w:type="dxa"/>
            <w:shd w:val="clear" w:color="auto" w:fill="FFFFFF"/>
            <w:tcMar>
              <w:top w:w="80" w:type="dxa"/>
              <w:left w:w="100" w:type="dxa"/>
              <w:bottom w:w="80" w:type="dxa"/>
              <w:right w:w="100" w:type="dxa"/>
            </w:tcMar>
          </w:tcPr>
          <w:p>
            <w:pPr>
              <w:pStyle w:val="TableText"/>
            </w:pPr>
            <w:r>
              <w:t xml:space="preserve">Annuelle, provisionnée selon la périodicité comptable</w:t>
            </w:r>
          </w:p>
        </w:tc>
      </w:tr>
      <w:tr>
        <w:trPr>
          <w:cantSplit/>
        </w:trPr>
        <w:tc>
          <w:tcPr>
            <w:tcW w:w="1500" w:type="dxa"/>
            <w:shd w:val="clear" w:color="auto" w:fill="FFFFFF"/>
            <w:tcMar>
              <w:top w:w="80" w:type="dxa"/>
              <w:left w:w="100" w:type="dxa"/>
              <w:bottom w:w="80" w:type="dxa"/>
              <w:right w:w="100" w:type="dxa"/>
            </w:tcMar>
          </w:tcPr>
          <w:p>
            <w:pPr>
              <w:pStyle w:val="TableText"/>
            </w:pPr>
            <w:r>
              <w:t xml:space="preserve">Rémunération du dépositaire</w:t>
            </w:r>
          </w:p>
        </w:tc>
        <w:tc>
          <w:tcPr>
            <w:tcW w:w="1500" w:type="dxa"/>
            <w:shd w:val="clear" w:color="auto" w:fill="FFFFFF"/>
            <w:tcMar>
              <w:top w:w="80" w:type="dxa"/>
              <w:left w:w="100" w:type="dxa"/>
              <w:bottom w:w="80" w:type="dxa"/>
              <w:right w:w="100" w:type="dxa"/>
            </w:tcMar>
          </w:tcPr>
          <w:p>
            <w:pPr>
              <w:pStyle w:val="TableText"/>
            </w:pPr>
            <w:r>
              <w:t xml:space="preserve">FUND_ASSETS</w:t>
            </w:r>
          </w:p>
        </w:tc>
        <w:tc>
          <w:tcPr>
            <w:tcW w:w="1500" w:type="dxa"/>
            <w:shd w:val="clear" w:color="auto" w:fill="FFFFFF"/>
            <w:tcMar>
              <w:top w:w="80" w:type="dxa"/>
              <w:left w:w="100" w:type="dxa"/>
              <w:bottom w:w="80" w:type="dxa"/>
              <w:right w:w="100" w:type="dxa"/>
            </w:tcMar>
          </w:tcPr>
          <w:p>
            <w:pPr>
              <w:pStyle w:val="TableText"/>
            </w:pPr>
            <w:r>
              <w:t xml:space="preserve">Dépositaire</w:t>
            </w:r>
          </w:p>
        </w:tc>
        <w:tc>
          <w:tcPr>
            <w:tcW w:w="1500" w:type="dxa"/>
            <w:shd w:val="clear" w:color="auto" w:fill="FFFFFF"/>
            <w:tcMar>
              <w:top w:w="80" w:type="dxa"/>
              <w:left w:w="100" w:type="dxa"/>
              <w:bottom w:w="80" w:type="dxa"/>
              <w:right w:w="100" w:type="dxa"/>
            </w:tcMar>
          </w:tcPr>
          <w:p>
            <w:pPr>
              <w:pStyle w:val="TableText"/>
            </w:pPr>
            <w:r>
              <w:t xml:space="preserve">Actif net</w:t>
            </w:r>
          </w:p>
        </w:tc>
        <w:tc>
          <w:tcPr>
            <w:tcW w:w="1500" w:type="dxa"/>
            <w:shd w:val="clear" w:color="auto" w:fill="FFFFFF"/>
            <w:tcMar>
              <w:top w:w="80" w:type="dxa"/>
              <w:left w:w="100" w:type="dxa"/>
              <w:bottom w:w="80" w:type="dxa"/>
              <w:right w:w="100" w:type="dxa"/>
            </w:tcMar>
          </w:tcPr>
          <w:p>
            <w:pPr>
              <w:pStyle w:val="TableText"/>
            </w:pPr>
            <w:r>
              <w:t xml:space="preserve">0.22 % TTC</w:t>
            </w:r>
          </w:p>
        </w:tc>
        <w:tc>
          <w:tcPr>
            <w:tcW w:w="1500" w:type="dxa"/>
            <w:shd w:val="clear" w:color="auto" w:fill="FFFFFF"/>
            <w:tcMar>
              <w:top w:w="80" w:type="dxa"/>
              <w:left w:w="100" w:type="dxa"/>
              <w:bottom w:w="80" w:type="dxa"/>
              <w:right w:w="100" w:type="dxa"/>
            </w:tcMar>
          </w:tcPr>
          <w:p>
            <w:pPr>
              <w:pStyle w:val="TableText"/>
            </w:pPr>
            <w:r>
              <w:t xml:space="preserve">Annuelle</w:t>
            </w:r>
          </w:p>
        </w:tc>
      </w:tr>
      <w:tr>
        <w:trPr>
          <w:cantSplit/>
        </w:trPr>
        <w:tc>
          <w:tcPr>
            <w:tcW w:w="1500" w:type="dxa"/>
            <w:shd w:val="clear" w:color="auto" w:fill="FFFFFF"/>
            <w:tcMar>
              <w:top w:w="80" w:type="dxa"/>
              <w:left w:w="100" w:type="dxa"/>
              <w:bottom w:w="80" w:type="dxa"/>
              <w:right w:w="100" w:type="dxa"/>
            </w:tcMar>
          </w:tcPr>
          <w:p>
            <w:pPr>
              <w:pStyle w:val="TableText"/>
            </w:pPr>
            <w:r>
              <w:t xml:space="preserve">Redevances DC/BR et BRVM</w:t>
            </w:r>
          </w:p>
        </w:tc>
        <w:tc>
          <w:tcPr>
            <w:tcW w:w="1500" w:type="dxa"/>
            <w:shd w:val="clear" w:color="auto" w:fill="FFFFFF"/>
            <w:tcMar>
              <w:top w:w="80" w:type="dxa"/>
              <w:left w:w="100" w:type="dxa"/>
              <w:bottom w:w="80" w:type="dxa"/>
              <w:right w:w="100" w:type="dxa"/>
            </w:tcMar>
          </w:tcPr>
          <w:p>
            <w:pPr>
              <w:pStyle w:val="TableText"/>
            </w:pPr>
            <w:r>
              <w:t xml:space="preserve">FUND_ASSETS</w:t>
            </w:r>
          </w:p>
        </w:tc>
        <w:tc>
          <w:tcPr>
            <w:tcW w:w="1500" w:type="dxa"/>
            <w:shd w:val="clear" w:color="auto" w:fill="FFFFFF"/>
            <w:tcMar>
              <w:top w:w="80" w:type="dxa"/>
              <w:left w:w="100" w:type="dxa"/>
              <w:bottom w:w="80" w:type="dxa"/>
              <w:right w:w="100" w:type="dxa"/>
            </w:tcMar>
          </w:tcPr>
          <w:p>
            <w:pPr>
              <w:pStyle w:val="TableText"/>
            </w:pPr>
            <w:r>
              <w:t xml:space="preserve">Infrastructures de marché</w:t>
            </w:r>
          </w:p>
        </w:tc>
        <w:tc>
          <w:tcPr>
            <w:tcW w:w="1500" w:type="dxa"/>
            <w:shd w:val="clear" w:color="auto" w:fill="FFFFFF"/>
            <w:tcMar>
              <w:top w:w="80" w:type="dxa"/>
              <w:left w:w="100" w:type="dxa"/>
              <w:bottom w:w="80" w:type="dxa"/>
              <w:right w:w="100" w:type="dxa"/>
            </w:tcMar>
          </w:tcPr>
          <w:p>
            <w:pPr>
              <w:pStyle w:val="TableText"/>
            </w:pPr>
            <w:r>
              <w:t xml:space="preserve">Assiette contractuelle à confirmer</w:t>
            </w:r>
          </w:p>
        </w:tc>
        <w:tc>
          <w:tcPr>
            <w:tcW w:w="1500" w:type="dxa"/>
            <w:shd w:val="clear" w:color="auto" w:fill="FFFFFF"/>
            <w:tcMar>
              <w:top w:w="80" w:type="dxa"/>
              <w:left w:w="100" w:type="dxa"/>
              <w:bottom w:w="80" w:type="dxa"/>
              <w:right w:w="100" w:type="dxa"/>
            </w:tcMar>
          </w:tcPr>
          <w:p>
            <w:pPr>
              <w:pStyle w:val="TableText"/>
            </w:pPr>
            <w:r>
              <w:t xml:space="preserve">0.3 %</w:t>
            </w:r>
          </w:p>
        </w:tc>
        <w:tc>
          <w:tcPr>
            <w:tcW w:w="1500" w:type="dxa"/>
            <w:shd w:val="clear" w:color="auto" w:fill="FFFFFF"/>
            <w:tcMar>
              <w:top w:w="80" w:type="dxa"/>
              <w:left w:w="100" w:type="dxa"/>
              <w:bottom w:w="80" w:type="dxa"/>
              <w:right w:w="100" w:type="dxa"/>
            </w:tcMar>
          </w:tcPr>
          <w:p>
            <w:pPr>
              <w:pStyle w:val="TableText"/>
            </w:pPr>
            <w:r>
              <w:t xml:space="preserve">Selon facturation</w:t>
            </w:r>
          </w:p>
        </w:tc>
      </w:tr>
      <w:tr>
        <w:trPr>
          <w:cantSplit/>
        </w:trPr>
        <w:tc>
          <w:tcPr>
            <w:tcW w:w="1500" w:type="dxa"/>
            <w:shd w:val="clear" w:color="auto" w:fill="FFFFFF"/>
            <w:tcMar>
              <w:top w:w="80" w:type="dxa"/>
              <w:left w:w="100" w:type="dxa"/>
              <w:bottom w:w="80" w:type="dxa"/>
              <w:right w:w="100" w:type="dxa"/>
            </w:tcMar>
          </w:tcPr>
          <w:p>
            <w:pPr>
              <w:pStyle w:val="TableText"/>
            </w:pPr>
            <w:r>
              <w:t xml:space="preserve">Redevance annuelle fixe AMF-UMOA</w:t>
            </w:r>
          </w:p>
        </w:tc>
        <w:tc>
          <w:tcPr>
            <w:tcW w:w="1500" w:type="dxa"/>
            <w:shd w:val="clear" w:color="auto" w:fill="FFFFFF"/>
            <w:tcMar>
              <w:top w:w="80" w:type="dxa"/>
              <w:left w:w="100" w:type="dxa"/>
              <w:bottom w:w="80" w:type="dxa"/>
              <w:right w:w="100" w:type="dxa"/>
            </w:tcMar>
          </w:tcPr>
          <w:p>
            <w:pPr>
              <w:pStyle w:val="TableText"/>
            </w:pPr>
            <w:r>
              <w:t xml:space="preserve">FUND_ASSETS</w:t>
            </w:r>
          </w:p>
        </w:tc>
        <w:tc>
          <w:tcPr>
            <w:tcW w:w="1500" w:type="dxa"/>
            <w:shd w:val="clear" w:color="auto" w:fill="FFFFFF"/>
            <w:tcMar>
              <w:top w:w="80" w:type="dxa"/>
              <w:left w:w="100" w:type="dxa"/>
              <w:bottom w:w="80" w:type="dxa"/>
              <w:right w:w="100" w:type="dxa"/>
            </w:tcMar>
          </w:tcPr>
          <w:p>
            <w:pPr>
              <w:pStyle w:val="TableText"/>
            </w:pPr>
            <w:r>
              <w:t xml:space="preserve">AMF-UMOA</w:t>
            </w:r>
          </w:p>
        </w:tc>
        <w:tc>
          <w:tcPr>
            <w:tcW w:w="1500" w:type="dxa"/>
            <w:shd w:val="clear" w:color="auto" w:fill="FFFFFF"/>
            <w:tcMar>
              <w:top w:w="80" w:type="dxa"/>
              <w:left w:w="100" w:type="dxa"/>
              <w:bottom w:w="80" w:type="dxa"/>
              <w:right w:w="100" w:type="dxa"/>
            </w:tcMar>
          </w:tcPr>
          <w:p>
            <w:pPr>
              <w:pStyle w:val="TableText"/>
            </w:pPr>
            <w:r>
              <w:t xml:space="preserve">Forfait annuel</w:t>
            </w:r>
          </w:p>
        </w:tc>
        <w:tc>
          <w:tcPr>
            <w:tcW w:w="1500" w:type="dxa"/>
            <w:shd w:val="clear" w:color="auto" w:fill="FFFFFF"/>
            <w:tcMar>
              <w:top w:w="80" w:type="dxa"/>
              <w:left w:w="100" w:type="dxa"/>
              <w:bottom w:w="80" w:type="dxa"/>
              <w:right w:w="100" w:type="dxa"/>
            </w:tcMar>
          </w:tcPr>
          <w:p>
            <w:pPr>
              <w:pStyle w:val="TableText"/>
            </w:pPr>
            <w:r>
              <w:t xml:space="preserve">1 000 000 XOF</w:t>
            </w:r>
          </w:p>
        </w:tc>
        <w:tc>
          <w:tcPr>
            <w:tcW w:w="1500" w:type="dxa"/>
            <w:shd w:val="clear" w:color="auto" w:fill="FFFFFF"/>
            <w:tcMar>
              <w:top w:w="80" w:type="dxa"/>
              <w:left w:w="100" w:type="dxa"/>
              <w:bottom w:w="80" w:type="dxa"/>
              <w:right w:w="100" w:type="dxa"/>
            </w:tcMar>
          </w:tcPr>
          <w:p>
            <w:pPr>
              <w:pStyle w:val="TableText"/>
            </w:pPr>
            <w:r>
              <w:t xml:space="preserve">Annuelle</w:t>
            </w:r>
          </w:p>
        </w:tc>
      </w:tr>
      <w:tr>
        <w:trPr>
          <w:cantSplit/>
        </w:trPr>
        <w:tc>
          <w:tcPr>
            <w:tcW w:w="1500" w:type="dxa"/>
            <w:shd w:val="clear" w:color="auto" w:fill="FFFFFF"/>
            <w:tcMar>
              <w:top w:w="80" w:type="dxa"/>
              <w:left w:w="100" w:type="dxa"/>
              <w:bottom w:w="80" w:type="dxa"/>
              <w:right w:w="100" w:type="dxa"/>
            </w:tcMar>
          </w:tcPr>
          <w:p>
            <w:pPr>
              <w:pStyle w:val="TableText"/>
            </w:pPr>
            <w:r>
              <w:t xml:space="preserve">Redevance assise sur l’actif net</w:t>
            </w:r>
          </w:p>
        </w:tc>
        <w:tc>
          <w:tcPr>
            <w:tcW w:w="1500" w:type="dxa"/>
            <w:shd w:val="clear" w:color="auto" w:fill="FFFFFF"/>
            <w:tcMar>
              <w:top w:w="80" w:type="dxa"/>
              <w:left w:w="100" w:type="dxa"/>
              <w:bottom w:w="80" w:type="dxa"/>
              <w:right w:w="100" w:type="dxa"/>
            </w:tcMar>
          </w:tcPr>
          <w:p>
            <w:pPr>
              <w:pStyle w:val="TableText"/>
            </w:pPr>
            <w:r>
              <w:t xml:space="preserve">FUND_ASSETS</w:t>
            </w:r>
          </w:p>
        </w:tc>
        <w:tc>
          <w:tcPr>
            <w:tcW w:w="1500" w:type="dxa"/>
            <w:shd w:val="clear" w:color="auto" w:fill="FFFFFF"/>
            <w:tcMar>
              <w:top w:w="80" w:type="dxa"/>
              <w:left w:w="100" w:type="dxa"/>
              <w:bottom w:w="80" w:type="dxa"/>
              <w:right w:w="100" w:type="dxa"/>
            </w:tcMar>
          </w:tcPr>
          <w:p>
            <w:pPr>
              <w:pStyle w:val="TableText"/>
            </w:pPr>
            <w:r>
              <w:t xml:space="preserve">AMF-UMOA</w:t>
            </w:r>
          </w:p>
        </w:tc>
        <w:tc>
          <w:tcPr>
            <w:tcW w:w="1500" w:type="dxa"/>
            <w:shd w:val="clear" w:color="auto" w:fill="FFFFFF"/>
            <w:tcMar>
              <w:top w:w="80" w:type="dxa"/>
              <w:left w:w="100" w:type="dxa"/>
              <w:bottom w:w="80" w:type="dxa"/>
              <w:right w:w="100" w:type="dxa"/>
            </w:tcMar>
          </w:tcPr>
          <w:p>
            <w:pPr>
              <w:pStyle w:val="TableText"/>
            </w:pPr>
            <w:r>
              <w:t xml:space="preserve">Actif net</w:t>
            </w:r>
          </w:p>
        </w:tc>
        <w:tc>
          <w:tcPr>
            <w:tcW w:w="1500" w:type="dxa"/>
            <w:shd w:val="clear" w:color="auto" w:fill="FFFFFF"/>
            <w:tcMar>
              <w:top w:w="80" w:type="dxa"/>
              <w:left w:w="100" w:type="dxa"/>
              <w:bottom w:w="80" w:type="dxa"/>
              <w:right w:w="100" w:type="dxa"/>
            </w:tcMar>
          </w:tcPr>
          <w:p>
            <w:pPr>
              <w:pStyle w:val="TableText"/>
            </w:pPr>
            <w:r>
              <w:t xml:space="preserve">0.1 ‰</w:t>
            </w:r>
          </w:p>
        </w:tc>
        <w:tc>
          <w:tcPr>
            <w:tcW w:w="1500" w:type="dxa"/>
            <w:shd w:val="clear" w:color="auto" w:fill="FFFFFF"/>
            <w:tcMar>
              <w:top w:w="80" w:type="dxa"/>
              <w:left w:w="100" w:type="dxa"/>
              <w:bottom w:w="80" w:type="dxa"/>
              <w:right w:w="100" w:type="dxa"/>
            </w:tcMar>
          </w:tcPr>
          <w:p>
            <w:pPr>
              <w:pStyle w:val="TableText"/>
            </w:pPr>
            <w:r>
              <w:t xml:space="preserve">Annuelle</w:t>
            </w:r>
          </w:p>
        </w:tc>
      </w:tr>
      <w:tr>
        <w:trPr>
          <w:cantSplit/>
        </w:trPr>
        <w:tc>
          <w:tcPr>
            <w:tcW w:w="1500" w:type="dxa"/>
            <w:shd w:val="clear" w:color="auto" w:fill="FFFFFF"/>
            <w:tcMar>
              <w:top w:w="80" w:type="dxa"/>
              <w:left w:w="100" w:type="dxa"/>
              <w:bottom w:w="80" w:type="dxa"/>
              <w:right w:w="100" w:type="dxa"/>
            </w:tcMar>
          </w:tcPr>
          <w:p>
            <w:pPr>
              <w:pStyle w:val="TableText"/>
            </w:pPr>
            <w:r>
              <w:t xml:space="preserve">Honoraires du commissaire aux comptes</w:t>
            </w:r>
          </w:p>
        </w:tc>
        <w:tc>
          <w:tcPr>
            <w:tcW w:w="1500" w:type="dxa"/>
            <w:shd w:val="clear" w:color="auto" w:fill="FFFFFF"/>
            <w:tcMar>
              <w:top w:w="80" w:type="dxa"/>
              <w:left w:w="100" w:type="dxa"/>
              <w:bottom w:w="80" w:type="dxa"/>
              <w:right w:w="100" w:type="dxa"/>
            </w:tcMar>
          </w:tcPr>
          <w:p>
            <w:pPr>
              <w:pStyle w:val="TableText"/>
            </w:pPr>
            <w:r>
              <w:t xml:space="preserve">FUND_ASSETS</w:t>
            </w:r>
          </w:p>
        </w:tc>
        <w:tc>
          <w:tcPr>
            <w:tcW w:w="1500" w:type="dxa"/>
            <w:shd w:val="clear" w:color="auto" w:fill="FFFFFF"/>
            <w:tcMar>
              <w:top w:w="80" w:type="dxa"/>
              <w:left w:w="100" w:type="dxa"/>
              <w:bottom w:w="80" w:type="dxa"/>
              <w:right w:w="100" w:type="dxa"/>
            </w:tcMar>
          </w:tcPr>
          <w:p>
            <w:pPr>
              <w:pStyle w:val="TableText"/>
            </w:pPr>
            <w:r>
              <w:t xml:space="preserve">Commissaire aux comptes</w:t>
            </w:r>
          </w:p>
        </w:tc>
        <w:tc>
          <w:tcPr>
            <w:tcW w:w="1500" w:type="dxa"/>
            <w:shd w:val="clear" w:color="auto" w:fill="FFFFFF"/>
            <w:tcMar>
              <w:top w:w="80" w:type="dxa"/>
              <w:left w:w="100" w:type="dxa"/>
              <w:bottom w:w="80" w:type="dxa"/>
              <w:right w:w="100" w:type="dxa"/>
            </w:tcMar>
          </w:tcPr>
          <w:p>
            <w:pPr>
              <w:pStyle w:val="TableText"/>
            </w:pPr>
            <w:r>
              <w:t xml:space="preserve">Forfait annuel</w:t>
            </w:r>
          </w:p>
        </w:tc>
        <w:tc>
          <w:tcPr>
            <w:tcW w:w="1500" w:type="dxa"/>
            <w:shd w:val="clear" w:color="auto" w:fill="FFFFFF"/>
            <w:tcMar>
              <w:top w:w="80" w:type="dxa"/>
              <w:left w:w="100" w:type="dxa"/>
              <w:bottom w:w="80" w:type="dxa"/>
              <w:right w:w="100" w:type="dxa"/>
            </w:tcMar>
          </w:tcPr>
          <w:p>
            <w:pPr>
              <w:pStyle w:val="TableText"/>
            </w:pPr>
            <w:r>
              <w:t xml:space="preserve">1 500 000 XOF</w:t>
            </w:r>
          </w:p>
        </w:tc>
        <w:tc>
          <w:tcPr>
            <w:tcW w:w="1500" w:type="dxa"/>
            <w:shd w:val="clear" w:color="auto" w:fill="FFFFFF"/>
            <w:tcMar>
              <w:top w:w="80" w:type="dxa"/>
              <w:left w:w="100" w:type="dxa"/>
              <w:bottom w:w="80" w:type="dxa"/>
              <w:right w:w="100" w:type="dxa"/>
            </w:tcMar>
          </w:tcPr>
          <w:p>
            <w:pPr>
              <w:pStyle w:val="TableText"/>
            </w:pPr>
            <w:r>
              <w:t xml:space="preserve">Annuelle</w:t>
            </w:r>
          </w:p>
        </w:tc>
      </w:tr>
      <w:tr>
        <w:trPr>
          <w:cantSplit/>
        </w:trPr>
        <w:tc>
          <w:tcPr>
            <w:tcW w:w="1500" w:type="dxa"/>
            <w:shd w:val="clear" w:color="auto" w:fill="FFFFFF"/>
            <w:tcMar>
              <w:top w:w="80" w:type="dxa"/>
              <w:left w:w="100" w:type="dxa"/>
              <w:bottom w:w="80" w:type="dxa"/>
              <w:right w:w="100" w:type="dxa"/>
            </w:tcMar>
          </w:tcPr>
          <w:p>
            <w:pPr>
              <w:pStyle w:val="TableText"/>
            </w:pPr>
            <w:r>
              <w:t xml:space="preserve">Commission de surperformance</w:t>
            </w:r>
          </w:p>
        </w:tc>
        <w:tc>
          <w:tcPr>
            <w:tcW w:w="1500" w:type="dxa"/>
            <w:shd w:val="clear" w:color="auto" w:fill="FFFFFF"/>
            <w:tcMar>
              <w:top w:w="80" w:type="dxa"/>
              <w:left w:w="100" w:type="dxa"/>
              <w:bottom w:w="80" w:type="dxa"/>
              <w:right w:w="100" w:type="dxa"/>
            </w:tcMar>
          </w:tcPr>
          <w:p>
            <w:pPr>
              <w:pStyle w:val="TableText"/>
            </w:pPr>
            <w:r>
              <w:t xml:space="preserve">FUND_ASSETS</w:t>
            </w:r>
          </w:p>
        </w:tc>
        <w:tc>
          <w:tcPr>
            <w:tcW w:w="1500" w:type="dxa"/>
            <w:shd w:val="clear" w:color="auto" w:fill="FFFFFF"/>
            <w:tcMar>
              <w:top w:w="80" w:type="dxa"/>
              <w:left w:w="100" w:type="dxa"/>
              <w:bottom w:w="80" w:type="dxa"/>
              <w:right w:w="100" w:type="dxa"/>
            </w:tcMar>
          </w:tcPr>
          <w:p>
            <w:pPr>
              <w:pStyle w:val="TableText"/>
            </w:pPr>
            <w:r>
              <w:t xml:space="preserve">Société de gestion</w:t>
            </w:r>
          </w:p>
        </w:tc>
        <w:tc>
          <w:tcPr>
            <w:tcW w:w="1500" w:type="dxa"/>
            <w:shd w:val="clear" w:color="auto" w:fill="FFFFFF"/>
            <w:tcMar>
              <w:top w:w="80" w:type="dxa"/>
              <w:left w:w="100" w:type="dxa"/>
              <w:bottom w:w="80" w:type="dxa"/>
              <w:right w:w="100" w:type="dxa"/>
            </w:tcMar>
          </w:tcPr>
          <w:p>
            <w:pPr>
              <w:pStyle w:val="TableText"/>
            </w:pPr>
            <w:r>
              <w:t xml:space="preserve">Néant</w:t>
            </w:r>
          </w:p>
        </w:tc>
        <w:tc>
          <w:tcPr>
            <w:tcW w:w="1500" w:type="dxa"/>
            <w:shd w:val="clear" w:color="auto" w:fill="FFFFFF"/>
            <w:tcMar>
              <w:top w:w="80" w:type="dxa"/>
              <w:left w:w="100" w:type="dxa"/>
              <w:bottom w:w="80" w:type="dxa"/>
              <w:right w:w="100" w:type="dxa"/>
            </w:tcMar>
          </w:tcPr>
          <w:p>
            <w:pPr>
              <w:pStyle w:val="TableText"/>
            </w:pPr>
            <w:r>
              <w:t xml:space="preserve">Néant</w:t>
            </w:r>
          </w:p>
        </w:tc>
        <w:tc>
          <w:tcPr>
            <w:tcW w:w="1500" w:type="dxa"/>
            <w:shd w:val="clear" w:color="auto" w:fill="FFFFFF"/>
            <w:tcMar>
              <w:top w:w="80" w:type="dxa"/>
              <w:left w:w="100" w:type="dxa"/>
              <w:bottom w:w="80" w:type="dxa"/>
              <w:right w:w="100" w:type="dxa"/>
            </w:tcMar>
          </w:tcPr>
          <w:p>
            <w:pPr>
              <w:pStyle w:val="TableText"/>
            </w:pPr>
            <w:r>
              <w:t xml:space="preserve">Néant</w:t>
            </w:r>
          </w:p>
        </w:tc>
      </w:tr>
    </w:tbl>
    <w:p/>
    <w:p>
      <w:pPr>
        <w:pStyle w:val="Normal"/>
      </w:pPr>
      <w:r>
        <w:t xml:space="preserve">Aucun remboursement de frais distinct des rémunérations et dépenses déjà recensées n’est déclaré ; cette absence doit être confirmée par les conventions et la politique de frais.</w:t>
      </w:r>
    </w:p>
    <w:p>
      <w:pPr>
        <w:pStyle w:val="Heading1"/>
      </w:pPr>
      <w:r>
        <w:t xml:space="preserve">Société de gestion</w:t>
      </w:r>
    </w:p>
    <w:p>
      <w:pPr>
        <w:pStyle w:val="Normal"/>
      </w:pPr>
      <w:r>
        <w:t xml:space="preserve">La gestion du Fonds est assurée par United Capital for African Wealth &amp; Asset Management (UCAWAL), dont le siège est situé À confirmer à partir du registre officiel et des pièces de la société de gestion et dont l’agrément est référencé SG-OPCVM/2024-01.</w:t>
      </w:r>
    </w:p>
    <w:p>
      <w:pPr>
        <w:pStyle w:val="Heading1"/>
      </w:pPr>
      <w:r>
        <w:t xml:space="preserve">Autres OPC gérés</w:t>
      </w:r>
    </w:p>
    <w:p>
      <w:pPr>
        <w:pStyle w:val="Normal"/>
      </w:pPr>
      <w:r>
        <w:t xml:space="preserve">La liste exhaustive et à jour des autres OPC gérés doit être confirmée à partir du registre officiel AMF-UMOA et du référentiel institutionnel de la société.</w:t>
      </w:r>
    </w:p>
    <w:p>
      <w:pPr>
        <w:pStyle w:val="Heading1"/>
      </w:pPr>
      <w:r>
        <w:t xml:space="preserve">Gouvernance de la société de gestion</w:t>
      </w:r>
    </w:p>
    <w:p>
      <w:pPr>
        <w:pStyle w:val="Normal"/>
      </w:pPr>
      <w:r>
        <w:t xml:space="preserve">L’identité et les fonctions des membres des organes d’administration, de direction et de surveillance restent à confirmer à partir du RCCM, des statuts et des décisions de nomination.</w:t>
      </w:r>
    </w:p>
    <w:p>
      <w:pPr>
        <w:pStyle w:val="Normal"/>
      </w:pPr>
      <w:r>
        <w:t xml:space="preserve">Les activités externes significatives et les conflits d’intérêts éventuels des membres de gouvernance restent à déclarer et à valider par la conformité.</w:t>
      </w:r>
    </w:p>
    <w:p>
      <w:pPr>
        <w:pStyle w:val="Heading1"/>
      </w:pPr>
      <w:r>
        <w:t xml:space="preserve">2. Dépositaire</w:t>
      </w:r>
    </w:p>
    <w:p>
      <w:pPr>
        <w:pStyle w:val="Normal"/>
      </w:pPr>
      <w:r>
        <w:t xml:space="preserve">Le dépositaire est United Bank for Africa Côte d’Ivoire. Son activité principale déclarée est : Établissement de crédit et services de dépositaire — à confirmer selon l’agrément et la convention.</w:t>
      </w:r>
    </w:p>
    <w:p>
      <w:pPr>
        <w:pStyle w:val="Heading1"/>
      </w:pPr>
      <w:r>
        <w:t xml:space="preserve">3. Conseillers externes</w:t>
      </w:r>
    </w:p>
    <w:p>
      <w:pPr>
        <w:pStyle w:val="Normal"/>
      </w:pPr>
      <w:r>
        <w:t xml:space="preserve">Aucun conseiller externe rémunéré sur les actifs du Fonds n’est déclaré dans le présent projet.</w:t>
      </w:r>
    </w:p>
    <w:p>
      <w:pPr>
        <w:pStyle w:val="Heading1"/>
      </w:pPr>
      <w:r>
        <w:t xml:space="preserve">4. Paiements, rachats et diffusion de l’information</w:t>
      </w:r>
    </w:p>
    <w:tbl>
      <w:tblPr>
        <w:tblStyle w:val="TableGrid"/>
        <w:tblW w:w="0" w:type="auto"/>
        <w:tblLayout w:type="fixed"/>
      </w:tblPr>
      <w:tblGrid>
        <w:gridCol w:w="2250"/>
        <w:gridCol w:w="2250"/>
        <w:gridCol w:w="2250"/>
        <w:gridCol w:w="2250"/>
      </w:tblGrid>
      <w:tr>
        <w:trPr>
          <w:tblHeader/>
          <w:cantSplit/>
        </w:trPr>
        <w:tc>
          <w:tcPr>
            <w:tcW w:w="2250" w:type="dxa"/>
            <w:shd w:val="clear" w:color="auto" w:fill="D9EAF7"/>
            <w:tcMar>
              <w:top w:w="80" w:type="dxa"/>
              <w:left w:w="100" w:type="dxa"/>
              <w:bottom w:w="80" w:type="dxa"/>
              <w:right w:w="100" w:type="dxa"/>
            </w:tcMar>
          </w:tcPr>
          <w:p>
            <w:pPr>
              <w:pStyle w:val="TableText"/>
            </w:pPr>
            <w:r>
              <w:rPr>
                <w:b/>
              </w:rPr>
              <w:t xml:space="preserve">État</w:t>
            </w:r>
          </w:p>
        </w:tc>
        <w:tc>
          <w:tcPr>
            <w:tcW w:w="2250" w:type="dxa"/>
            <w:shd w:val="clear" w:color="auto" w:fill="D9EAF7"/>
            <w:tcMar>
              <w:top w:w="80" w:type="dxa"/>
              <w:left w:w="100" w:type="dxa"/>
              <w:bottom w:w="80" w:type="dxa"/>
              <w:right w:w="100" w:type="dxa"/>
            </w:tcMar>
          </w:tcPr>
          <w:p>
            <w:pPr>
              <w:pStyle w:val="TableText"/>
            </w:pPr>
            <w:r>
              <w:rPr>
                <w:b/>
              </w:rPr>
              <w:t xml:space="preserve">État d’établissement</w:t>
            </w:r>
          </w:p>
        </w:tc>
        <w:tc>
          <w:tcPr>
            <w:tcW w:w="2250" w:type="dxa"/>
            <w:shd w:val="clear" w:color="auto" w:fill="D9EAF7"/>
            <w:tcMar>
              <w:top w:w="80" w:type="dxa"/>
              <w:left w:w="100" w:type="dxa"/>
              <w:bottom w:w="80" w:type="dxa"/>
              <w:right w:w="100" w:type="dxa"/>
            </w:tcMar>
          </w:tcPr>
          <w:p>
            <w:pPr>
              <w:pStyle w:val="TableText"/>
            </w:pPr>
            <w:r>
              <w:rPr>
                <w:b/>
              </w:rPr>
              <w:t xml:space="preserve">Souscription / rachat</w:t>
            </w:r>
          </w:p>
        </w:tc>
        <w:tc>
          <w:tcPr>
            <w:tcW w:w="2250" w:type="dxa"/>
            <w:shd w:val="clear" w:color="auto" w:fill="D9EAF7"/>
            <w:tcMar>
              <w:top w:w="80" w:type="dxa"/>
              <w:left w:w="100" w:type="dxa"/>
              <w:bottom w:w="80" w:type="dxa"/>
              <w:right w:w="100" w:type="dxa"/>
            </w:tcMar>
          </w:tcPr>
          <w:p>
            <w:pPr>
              <w:pStyle w:val="TableText"/>
            </w:pPr>
            <w:r>
              <w:rPr>
                <w:b/>
              </w:rPr>
              <w:t xml:space="preserve">Information des porteurs</w:t>
            </w:r>
          </w:p>
        </w:tc>
      </w:tr>
      <w:tr>
        <w:trPr>
          <w:cantSplit/>
        </w:trPr>
        <w:tc>
          <w:tcPr>
            <w:tcW w:w="2250" w:type="dxa"/>
            <w:shd w:val="clear" w:color="auto" w:fill="FFFFFF"/>
            <w:tcMar>
              <w:top w:w="80" w:type="dxa"/>
              <w:left w:w="100" w:type="dxa"/>
              <w:bottom w:w="80" w:type="dxa"/>
              <w:right w:w="100" w:type="dxa"/>
            </w:tcMar>
          </w:tcPr>
          <w:p>
            <w:pPr>
              <w:pStyle w:val="TableText"/>
            </w:pPr>
            <w:r>
              <w:t xml:space="preserve">Côte d’Ivoire</w:t>
            </w:r>
          </w:p>
        </w:tc>
        <w:tc>
          <w:tcPr>
            <w:tcW w:w="2250" w:type="dxa"/>
            <w:shd w:val="clear" w:color="auto" w:fill="FFFFFF"/>
            <w:tcMar>
              <w:top w:w="80" w:type="dxa"/>
              <w:left w:w="100" w:type="dxa"/>
              <w:bottom w:w="80" w:type="dxa"/>
              <w:right w:w="100" w:type="dxa"/>
            </w:tcMar>
          </w:tcPr>
          <w:p>
            <w:pPr>
              <w:pStyle w:val="TableText"/>
            </w:pPr>
            <w:r>
              <w:t xml:space="preserve">Oui</w:t>
            </w:r>
          </w:p>
        </w:tc>
        <w:tc>
          <w:tcPr>
            <w:tcW w:w="2250" w:type="dxa"/>
            <w:shd w:val="clear" w:color="auto" w:fill="FFFFFF"/>
            <w:tcMar>
              <w:top w:w="80" w:type="dxa"/>
              <w:left w:w="100" w:type="dxa"/>
              <w:bottom w:w="80" w:type="dxa"/>
              <w:right w:w="100" w:type="dxa"/>
            </w:tcMar>
          </w:tcPr>
          <w:p>
            <w:pPr>
              <w:pStyle w:val="TableText"/>
            </w:pPr>
            <w:r>
              <w:t xml:space="preserve">via la société de gestion et les distributeurs habilités, selon les modalités du prospectus</w:t>
            </w:r>
          </w:p>
        </w:tc>
        <w:tc>
          <w:tcPr>
            <w:tcW w:w="2250" w:type="dxa"/>
            <w:shd w:val="clear" w:color="auto" w:fill="FFFFFF"/>
            <w:tcMar>
              <w:top w:w="80" w:type="dxa"/>
              <w:left w:w="100" w:type="dxa"/>
              <w:bottom w:w="80" w:type="dxa"/>
              <w:right w:w="100" w:type="dxa"/>
            </w:tcMar>
          </w:tcPr>
          <w:p>
            <w:pPr>
              <w:pStyle w:val="TableText"/>
            </w:pPr>
            <w:r>
              <w:t xml:space="preserve">prospectus, règlement, rapports et valeurs liquidatives disponibles auprès de la société de gestion et par les canaux publiés</w:t>
            </w:r>
          </w:p>
        </w:tc>
      </w:tr>
    </w:tbl>
    <w:p/>
    <w:p>
      <w:pPr>
        <w:pStyle w:val="Heading1"/>
      </w:pPr>
      <w:r>
        <w:t xml:space="preserve">5.1 Performances historiques</w:t>
      </w:r>
    </w:p>
    <w:p>
      <w:pPr>
        <w:pStyle w:val="Normal"/>
      </w:pPr>
      <w:r>
        <w:t xml:space="preserve">Aucun historique de performance n’est présenté dans cette version du projet.</w:t>
      </w:r>
    </w:p>
    <w:p>
      <w:pPr>
        <w:pStyle w:val="Heading1"/>
      </w:pPr>
      <w:r>
        <w:t xml:space="preserve">5.2 Investisseur-type</w:t>
      </w:r>
    </w:p>
    <w:p>
      <w:pPr>
        <w:pStyle w:val="Normal"/>
      </w:pPr>
      <w:r>
        <w:t xml:space="preserve">Le Fonds est destiné au profil suivant : tous souscripteurs recherchant une exposition principalement obligataire, capables d’accepter un risque de perte en capital et une liquidité correspondant au fonctionnement hebdomadaire du Fonds. La durée de placement recommandée est de 5 ans.</w:t>
      </w:r>
    </w:p>
    <w:p>
      <w:pPr>
        <w:pStyle w:val="Heading1"/>
      </w:pPr>
      <w:r>
        <w:t xml:space="preserve">5.3 Informations d’ordre économique</w:t>
      </w:r>
    </w:p>
    <w:p>
      <w:pPr>
        <w:pStyle w:val="Warning"/>
      </w:pPr>
      <w:r>
        <w:rPr>
          <w:b/>
        </w:rPr>
        <w:t>AVERTISSEMENT — </w:t>
      </w:r>
      <w:r>
        <w:t xml:space="preserve">À définir après interprétation validée du point 5.3 de la Circulaire n°05/CREPMF/2022.</w:t>
      </w:r>
    </w:p>
    <w:p>
      <w:pPr>
        <w:pStyle w:val="Heading1"/>
      </w:pPr>
      <w:r>
        <w:t xml:space="preserve">5.4 Autres dépenses et commissions</w:t>
      </w:r>
    </w:p>
    <w:tbl>
      <w:tblPr>
        <w:tblStyle w:val="TableGrid"/>
        <w:tblW w:w="0" w:type="auto"/>
        <w:tblLayout w:type="fixed"/>
      </w:tblPr>
      <w:tblGrid>
        <w:gridCol w:w="2250"/>
        <w:gridCol w:w="2250"/>
        <w:gridCol w:w="2250"/>
        <w:gridCol w:w="2250"/>
      </w:tblGrid>
      <w:tr>
        <w:trPr>
          <w:tblHeader/>
          <w:cantSplit/>
        </w:trPr>
        <w:tc>
          <w:tcPr>
            <w:tcW w:w="2250" w:type="dxa"/>
            <w:shd w:val="clear" w:color="auto" w:fill="D9EAF7"/>
            <w:tcMar>
              <w:top w:w="80" w:type="dxa"/>
              <w:left w:w="100" w:type="dxa"/>
              <w:bottom w:w="80" w:type="dxa"/>
              <w:right w:w="100" w:type="dxa"/>
            </w:tcMar>
          </w:tcPr>
          <w:p>
            <w:pPr>
              <w:pStyle w:val="TableText"/>
            </w:pPr>
            <w:r>
              <w:rPr>
                <w:b/>
              </w:rPr>
              <w:t xml:space="preserve">Dépense ou commission</w:t>
            </w:r>
          </w:p>
        </w:tc>
        <w:tc>
          <w:tcPr>
            <w:tcW w:w="2250" w:type="dxa"/>
            <w:shd w:val="clear" w:color="auto" w:fill="D9EAF7"/>
            <w:tcMar>
              <w:top w:w="80" w:type="dxa"/>
              <w:left w:w="100" w:type="dxa"/>
              <w:bottom w:w="80" w:type="dxa"/>
              <w:right w:w="100" w:type="dxa"/>
            </w:tcMar>
          </w:tcPr>
          <w:p>
            <w:pPr>
              <w:pStyle w:val="TableText"/>
            </w:pPr>
            <w:r>
              <w:rPr>
                <w:b/>
              </w:rPr>
              <w:t xml:space="preserve">Bénéficiaire</w:t>
            </w:r>
          </w:p>
        </w:tc>
        <w:tc>
          <w:tcPr>
            <w:tcW w:w="2250" w:type="dxa"/>
            <w:shd w:val="clear" w:color="auto" w:fill="D9EAF7"/>
            <w:tcMar>
              <w:top w:w="80" w:type="dxa"/>
              <w:left w:w="100" w:type="dxa"/>
              <w:bottom w:w="80" w:type="dxa"/>
              <w:right w:w="100" w:type="dxa"/>
            </w:tcMar>
          </w:tcPr>
          <w:p>
            <w:pPr>
              <w:pStyle w:val="TableText"/>
            </w:pPr>
            <w:r>
              <w:rPr>
                <w:b/>
              </w:rPr>
              <w:t xml:space="preserve">Assiette</w:t>
            </w:r>
          </w:p>
        </w:tc>
        <w:tc>
          <w:tcPr>
            <w:tcW w:w="2250" w:type="dxa"/>
            <w:shd w:val="clear" w:color="auto" w:fill="D9EAF7"/>
            <w:tcMar>
              <w:top w:w="80" w:type="dxa"/>
              <w:left w:w="100" w:type="dxa"/>
              <w:bottom w:w="80" w:type="dxa"/>
              <w:right w:w="100" w:type="dxa"/>
            </w:tcMar>
          </w:tcPr>
          <w:p>
            <w:pPr>
              <w:pStyle w:val="TableText"/>
            </w:pPr>
            <w:r>
              <w:rPr>
                <w:b/>
              </w:rPr>
              <w:t xml:space="preserve">Taux / montant</w:t>
            </w:r>
          </w:p>
        </w:tc>
      </w:tr>
      <w:tr>
        <w:trPr>
          <w:cantSplit/>
        </w:trPr>
        <w:tc>
          <w:tcPr>
            <w:tcW w:w="2250" w:type="dxa"/>
            <w:shd w:val="clear" w:color="auto" w:fill="FFFFFF"/>
            <w:tcMar>
              <w:top w:w="80" w:type="dxa"/>
              <w:left w:w="100" w:type="dxa"/>
              <w:bottom w:w="80" w:type="dxa"/>
              <w:right w:w="100" w:type="dxa"/>
            </w:tcMar>
          </w:tcPr>
          <w:p>
            <w:pPr>
              <w:pStyle w:val="TableText"/>
            </w:pPr>
            <w:r>
              <w:t xml:space="preserve">Commission de souscription non acquise au Fonds</w:t>
            </w:r>
          </w:p>
        </w:tc>
        <w:tc>
          <w:tcPr>
            <w:tcW w:w="2250" w:type="dxa"/>
            <w:shd w:val="clear" w:color="auto" w:fill="FFFFFF"/>
            <w:tcMar>
              <w:top w:w="80" w:type="dxa"/>
              <w:left w:w="100" w:type="dxa"/>
              <w:bottom w:w="80" w:type="dxa"/>
              <w:right w:w="100" w:type="dxa"/>
            </w:tcMar>
          </w:tcPr>
          <w:p>
            <w:pPr>
              <w:pStyle w:val="TableText"/>
            </w:pPr>
            <w:r>
              <w:t xml:space="preserve">Distributeur ou intervenant désigné</w:t>
            </w:r>
          </w:p>
        </w:tc>
        <w:tc>
          <w:tcPr>
            <w:tcW w:w="2250" w:type="dxa"/>
            <w:shd w:val="clear" w:color="auto" w:fill="FFFFFF"/>
            <w:tcMar>
              <w:top w:w="80" w:type="dxa"/>
              <w:left w:w="100" w:type="dxa"/>
              <w:bottom w:w="80" w:type="dxa"/>
              <w:right w:w="100" w:type="dxa"/>
            </w:tcMar>
          </w:tcPr>
          <w:p>
            <w:pPr>
              <w:pStyle w:val="TableText"/>
            </w:pPr>
            <w:r>
              <w:t xml:space="preserve">Montant souscrit</w:t>
            </w:r>
          </w:p>
        </w:tc>
        <w:tc>
          <w:tcPr>
            <w:tcW w:w="2250" w:type="dxa"/>
            <w:shd w:val="clear" w:color="auto" w:fill="FFFFFF"/>
            <w:tcMar>
              <w:top w:w="80" w:type="dxa"/>
              <w:left w:w="100" w:type="dxa"/>
              <w:bottom w:w="80" w:type="dxa"/>
              <w:right w:w="100" w:type="dxa"/>
            </w:tcMar>
          </w:tcPr>
          <w:p>
            <w:pPr>
              <w:pStyle w:val="TableText"/>
            </w:pPr>
            <w:r>
              <w:t xml:space="preserve">0.83 % TTC</w:t>
            </w:r>
          </w:p>
        </w:tc>
      </w:tr>
      <w:tr>
        <w:trPr>
          <w:cantSplit/>
        </w:trPr>
        <w:tc>
          <w:tcPr>
            <w:tcW w:w="2250" w:type="dxa"/>
            <w:shd w:val="clear" w:color="auto" w:fill="FFFFFF"/>
            <w:tcMar>
              <w:top w:w="80" w:type="dxa"/>
              <w:left w:w="100" w:type="dxa"/>
              <w:bottom w:w="80" w:type="dxa"/>
              <w:right w:w="100" w:type="dxa"/>
            </w:tcMar>
          </w:tcPr>
          <w:p>
            <w:pPr>
              <w:pStyle w:val="TableText"/>
            </w:pPr>
            <w:r>
              <w:t xml:space="preserve">Commission de rachat non acquise au Fonds</w:t>
            </w:r>
          </w:p>
        </w:tc>
        <w:tc>
          <w:tcPr>
            <w:tcW w:w="2250" w:type="dxa"/>
            <w:shd w:val="clear" w:color="auto" w:fill="FFFFFF"/>
            <w:tcMar>
              <w:top w:w="80" w:type="dxa"/>
              <w:left w:w="100" w:type="dxa"/>
              <w:bottom w:w="80" w:type="dxa"/>
              <w:right w:w="100" w:type="dxa"/>
            </w:tcMar>
          </w:tcPr>
          <w:p>
            <w:pPr>
              <w:pStyle w:val="TableText"/>
            </w:pPr>
            <w:r>
              <w:t xml:space="preserve">Distributeur ou intervenant désigné</w:t>
            </w:r>
          </w:p>
        </w:tc>
        <w:tc>
          <w:tcPr>
            <w:tcW w:w="2250" w:type="dxa"/>
            <w:shd w:val="clear" w:color="auto" w:fill="FFFFFF"/>
            <w:tcMar>
              <w:top w:w="80" w:type="dxa"/>
              <w:left w:w="100" w:type="dxa"/>
              <w:bottom w:w="80" w:type="dxa"/>
              <w:right w:w="100" w:type="dxa"/>
            </w:tcMar>
          </w:tcPr>
          <w:p>
            <w:pPr>
              <w:pStyle w:val="TableText"/>
            </w:pPr>
            <w:r>
              <w:t xml:space="preserve">Montant racheté</w:t>
            </w:r>
          </w:p>
        </w:tc>
        <w:tc>
          <w:tcPr>
            <w:tcW w:w="2250" w:type="dxa"/>
            <w:shd w:val="clear" w:color="auto" w:fill="FFFFFF"/>
            <w:tcMar>
              <w:top w:w="80" w:type="dxa"/>
              <w:left w:w="100" w:type="dxa"/>
              <w:bottom w:w="80" w:type="dxa"/>
              <w:right w:w="100" w:type="dxa"/>
            </w:tcMar>
          </w:tcPr>
          <w:p>
            <w:pPr>
              <w:pStyle w:val="TableText"/>
            </w:pPr>
            <w:r>
              <w:t xml:space="preserve">1.1 % TTC</w:t>
            </w:r>
          </w:p>
        </w:tc>
      </w:tr>
    </w:tbl>
    <w:p/>
    <w:p>
      <w:r>
        <w:br w:type="page"/>
      </w:r>
    </w:p>
    <w:p>
      <w:pPr>
        <w:pStyle w:val="Heading1"/>
      </w:pPr>
      <w:r>
        <w:t xml:space="preserve">Annexe technique de traçabilité</w:t>
      </w:r>
    </w:p>
    <w:p>
      <w:pPr>
        <w:pStyle w:val="Normal"/>
      </w:pPr>
      <w:r>
        <w:t xml:space="preserve">Cette annexe relie chaque composant généré à ses exigences, sa clause et son statut de revue. Elle est destinée aux fonctions conformité, juridique, risques et audit.</w:t>
      </w:r>
    </w:p>
    <w:tbl>
      <w:tblPr>
        <w:tblStyle w:val="TableGrid"/>
        <w:tblW w:w="0" w:type="auto"/>
        <w:tblLayout w:type="fixed"/>
      </w:tblPr>
      <w:tblGrid>
        <w:gridCol w:w="1300"/>
        <w:gridCol w:w="2300"/>
        <w:gridCol w:w="3200"/>
        <w:gridCol w:w="1800"/>
        <w:gridCol w:w="1700"/>
      </w:tblGrid>
      <w:tr>
        <w:trPr>
          <w:tblHeader/>
          <w:cantSplit/>
        </w:trPr>
        <w:tc>
          <w:tcPr>
            <w:tcW w:w="1300" w:type="dxa"/>
            <w:shd w:val="clear" w:color="auto" w:fill="D9EAF7"/>
            <w:tcMar>
              <w:top w:w="80" w:type="dxa"/>
              <w:left w:w="100" w:type="dxa"/>
              <w:bottom w:w="80" w:type="dxa"/>
              <w:right w:w="100" w:type="dxa"/>
            </w:tcMar>
          </w:tcPr>
          <w:p>
            <w:pPr>
              <w:pStyle w:val="TableText"/>
            </w:pPr>
            <w:r>
              <w:rPr>
                <w:b/>
              </w:rPr>
              <w:t xml:space="preserve">Composant</w:t>
            </w:r>
          </w:p>
        </w:tc>
        <w:tc>
          <w:tcPr>
            <w:tcW w:w="2300" w:type="dxa"/>
            <w:shd w:val="clear" w:color="auto" w:fill="D9EAF7"/>
            <w:tcMar>
              <w:top w:w="80" w:type="dxa"/>
              <w:left w:w="100" w:type="dxa"/>
              <w:bottom w:w="80" w:type="dxa"/>
              <w:right w:w="100" w:type="dxa"/>
            </w:tcMar>
          </w:tcPr>
          <w:p>
            <w:pPr>
              <w:pStyle w:val="TableText"/>
            </w:pPr>
            <w:r>
              <w:rPr>
                <w:b/>
              </w:rPr>
              <w:t xml:space="preserve">Section</w:t>
            </w:r>
          </w:p>
        </w:tc>
        <w:tc>
          <w:tcPr>
            <w:tcW w:w="3200" w:type="dxa"/>
            <w:shd w:val="clear" w:color="auto" w:fill="D9EAF7"/>
            <w:tcMar>
              <w:top w:w="80" w:type="dxa"/>
              <w:left w:w="100" w:type="dxa"/>
              <w:bottom w:w="80" w:type="dxa"/>
              <w:right w:w="100" w:type="dxa"/>
            </w:tcMar>
          </w:tcPr>
          <w:p>
            <w:pPr>
              <w:pStyle w:val="TableText"/>
            </w:pPr>
            <w:r>
              <w:rPr>
                <w:b/>
              </w:rPr>
              <w:t xml:space="preserve">Exigences</w:t>
            </w:r>
          </w:p>
        </w:tc>
        <w:tc>
          <w:tcPr>
            <w:tcW w:w="1800" w:type="dxa"/>
            <w:shd w:val="clear" w:color="auto" w:fill="D9EAF7"/>
            <w:tcMar>
              <w:top w:w="80" w:type="dxa"/>
              <w:left w:w="100" w:type="dxa"/>
              <w:bottom w:w="80" w:type="dxa"/>
              <w:right w:w="100" w:type="dxa"/>
            </w:tcMar>
          </w:tcPr>
          <w:p>
            <w:pPr>
              <w:pStyle w:val="TableText"/>
            </w:pPr>
            <w:r>
              <w:rPr>
                <w:b/>
              </w:rPr>
              <w:t xml:space="preserve">Clause</w:t>
            </w:r>
          </w:p>
        </w:tc>
        <w:tc>
          <w:tcPr>
            <w:tcW w:w="1700" w:type="dxa"/>
            <w:shd w:val="clear" w:color="auto" w:fill="D9EAF7"/>
            <w:tcMar>
              <w:top w:w="80" w:type="dxa"/>
              <w:left w:w="100" w:type="dxa"/>
              <w:bottom w:w="80" w:type="dxa"/>
              <w:right w:w="100" w:type="dxa"/>
            </w:tcMar>
          </w:tcPr>
          <w:p>
            <w:pPr>
              <w:pStyle w:val="TableText"/>
            </w:pPr>
            <w:r>
              <w:rPr>
                <w:b/>
              </w:rPr>
              <w:t xml:space="preserve">Statut de revue</w:t>
            </w:r>
          </w:p>
        </w:tc>
      </w:tr>
      <w:tr>
        <w:trPr>
          <w:cantSplit/>
        </w:trPr>
        <w:tc>
          <w:tcPr>
            <w:tcW w:w="1300" w:type="dxa"/>
            <w:shd w:val="clear" w:color="auto" w:fill="FFFFFF"/>
            <w:tcMar>
              <w:top w:w="80" w:type="dxa"/>
              <w:left w:w="100" w:type="dxa"/>
              <w:bottom w:w="80" w:type="dxa"/>
              <w:right w:w="100" w:type="dxa"/>
            </w:tcMar>
          </w:tcPr>
          <w:p>
            <w:pPr>
              <w:pStyle w:val="TableText"/>
            </w:pPr>
            <w:r>
              <w:t xml:space="preserve">CMP-0001</w:t>
            </w:r>
          </w:p>
        </w:tc>
        <w:tc>
          <w:tcPr>
            <w:tcW w:w="2300" w:type="dxa"/>
            <w:shd w:val="clear" w:color="auto" w:fill="FFFFFF"/>
            <w:tcMar>
              <w:top w:w="80" w:type="dxa"/>
              <w:left w:w="100" w:type="dxa"/>
              <w:bottom w:w="80" w:type="dxa"/>
              <w:right w:w="100" w:type="dxa"/>
            </w:tcMar>
          </w:tcPr>
          <w:p>
            <w:pPr>
              <w:pStyle w:val="TableText"/>
            </w:pPr>
            <w:r>
              <w:t xml:space="preserve">Prospectus — document de travail</w:t>
            </w:r>
          </w:p>
        </w:tc>
        <w:tc>
          <w:tcPr>
            <w:tcW w:w="3200" w:type="dxa"/>
            <w:shd w:val="clear" w:color="auto" w:fill="FFFFFF"/>
            <w:tcMar>
              <w:top w:w="80" w:type="dxa"/>
              <w:left w:w="100" w:type="dxa"/>
              <w:bottom w:w="80" w:type="dxa"/>
              <w:right w:w="100" w:type="dxa"/>
            </w:tcMar>
          </w:tcPr>
          <w:p>
            <w:pPr>
              <w:pStyle w:val="TableText"/>
            </w:pPr>
            <w:r>
              <w:t xml:space="preserve">CIRC005_GENERAL_MINIMUM, CIRC005_GENERAL_ORDER</w:t>
            </w:r>
          </w:p>
        </w:tc>
        <w:tc>
          <w:tcPr>
            <w:tcW w:w="1800" w:type="dxa"/>
            <w:shd w:val="clear" w:color="auto" w:fill="FFFFFF"/>
            <w:tcMar>
              <w:top w:w="80" w:type="dxa"/>
              <w:left w:w="100" w:type="dxa"/>
              <w:bottom w:w="80" w:type="dxa"/>
              <w:right w:w="100" w:type="dxa"/>
            </w:tcMar>
          </w:tcPr>
          <w:p>
            <w:pPr>
              <w:pStyle w:val="TableText"/>
            </w:pPr>
            <w:r>
              <w:t xml:space="preserve">UMOA_FCP_DRAFT_DISCLAIMER_V1</w:t>
            </w:r>
          </w:p>
        </w:tc>
        <w:tc>
          <w:tcPr>
            <w:tcW w:w="1700" w:type="dxa"/>
            <w:shd w:val="clear" w:color="auto" w:fill="FFFFFF"/>
            <w:tcMar>
              <w:top w:w="80" w:type="dxa"/>
              <w:left w:w="100" w:type="dxa"/>
              <w:bottom w:w="80" w:type="dxa"/>
              <w:right w:w="100" w:type="dxa"/>
            </w:tcMar>
          </w:tcPr>
          <w:p>
            <w:pPr>
              <w:pStyle w:val="TableText"/>
            </w:pPr>
            <w:r>
              <w:t xml:space="preserve">PENDING_LEGAL_REVIEW</w:t>
            </w:r>
          </w:p>
        </w:tc>
      </w:tr>
      <w:tr>
        <w:trPr>
          <w:cantSplit/>
        </w:trPr>
        <w:tc>
          <w:tcPr>
            <w:tcW w:w="1300" w:type="dxa"/>
            <w:shd w:val="clear" w:color="auto" w:fill="FFFFFF"/>
            <w:tcMar>
              <w:top w:w="80" w:type="dxa"/>
              <w:left w:w="100" w:type="dxa"/>
              <w:bottom w:w="80" w:type="dxa"/>
              <w:right w:w="100" w:type="dxa"/>
            </w:tcMar>
          </w:tcPr>
          <w:p>
            <w:pPr>
              <w:pStyle w:val="TableText"/>
            </w:pPr>
            <w:r>
              <w:t xml:space="preserve">CMP-0030</w:t>
            </w:r>
          </w:p>
        </w:tc>
        <w:tc>
          <w:tcPr>
            <w:tcW w:w="2300" w:type="dxa"/>
            <w:shd w:val="clear" w:color="auto" w:fill="FFFFFF"/>
            <w:tcMar>
              <w:top w:w="80" w:type="dxa"/>
              <w:left w:w="100" w:type="dxa"/>
              <w:bottom w:w="80" w:type="dxa"/>
              <w:right w:w="100" w:type="dxa"/>
            </w:tcMar>
          </w:tcPr>
          <w:p>
            <w:pPr>
              <w:pStyle w:val="TableText"/>
            </w:pPr>
            <w:r>
              <w:t xml:space="preserve">Prospectus — document de travail</w:t>
            </w:r>
          </w:p>
        </w:tc>
        <w:tc>
          <w:tcPr>
            <w:tcW w:w="3200" w:type="dxa"/>
            <w:shd w:val="clear" w:color="auto" w:fill="FFFFFF"/>
            <w:tcMar>
              <w:top w:w="80" w:type="dxa"/>
              <w:left w:w="100" w:type="dxa"/>
              <w:bottom w:w="80" w:type="dxa"/>
              <w:right w:w="100" w:type="dxa"/>
            </w:tcMar>
          </w:tcPr>
          <w:p>
            <w:pPr>
              <w:pStyle w:val="TableText"/>
            </w:pPr>
            <w:r>
              <w:t xml:space="preserve">CIRC005_GENERAL_SCOPE</w:t>
            </w:r>
          </w:p>
        </w:tc>
        <w:tc>
          <w:tcPr>
            <w:tcW w:w="1800" w:type="dxa"/>
            <w:shd w:val="clear" w:color="auto" w:fill="FFFFFF"/>
            <w:tcMar>
              <w:top w:w="80" w:type="dxa"/>
              <w:left w:w="100" w:type="dxa"/>
              <w:bottom w:w="80" w:type="dxa"/>
              <w:right w:w="100" w:type="dxa"/>
            </w:tcMar>
          </w:tcPr>
          <w:p>
            <w:pPr>
              <w:pStyle w:val="TableText"/>
            </w:pPr>
            <w:r>
              <w:t xml:space="preserve">CIRC005_SCOPE_METADATA_V1</w:t>
            </w:r>
          </w:p>
        </w:tc>
        <w:tc>
          <w:tcPr>
            <w:tcW w:w="1700" w:type="dxa"/>
            <w:shd w:val="clear" w:color="auto" w:fill="FFFFFF"/>
            <w:tcMar>
              <w:top w:w="80" w:type="dxa"/>
              <w:left w:w="100" w:type="dxa"/>
              <w:bottom w:w="80" w:type="dxa"/>
              <w:right w:w="100" w:type="dxa"/>
            </w:tcMar>
          </w:tcPr>
          <w:p>
            <w:pPr>
              <w:pStyle w:val="TableText"/>
            </w:pPr>
            <w:r>
              <w:t xml:space="preserve">PENDING_LEGAL_REVIEW</w:t>
            </w:r>
          </w:p>
        </w:tc>
      </w:tr>
      <w:tr>
        <w:trPr>
          <w:cantSplit/>
        </w:trPr>
        <w:tc>
          <w:tcPr>
            <w:tcW w:w="1300" w:type="dxa"/>
            <w:shd w:val="clear" w:color="auto" w:fill="FFFFFF"/>
            <w:tcMar>
              <w:top w:w="80" w:type="dxa"/>
              <w:left w:w="100" w:type="dxa"/>
              <w:bottom w:w="80" w:type="dxa"/>
              <w:right w:w="100" w:type="dxa"/>
            </w:tcMar>
          </w:tcPr>
          <w:p>
            <w:pPr>
              <w:pStyle w:val="TableText"/>
            </w:pPr>
            <w:r>
              <w:t xml:space="preserve">CMP-0031</w:t>
            </w:r>
          </w:p>
        </w:tc>
        <w:tc>
          <w:tcPr>
            <w:tcW w:w="2300" w:type="dxa"/>
            <w:shd w:val="clear" w:color="auto" w:fill="FFFFFF"/>
            <w:tcMar>
              <w:top w:w="80" w:type="dxa"/>
              <w:left w:w="100" w:type="dxa"/>
              <w:bottom w:w="80" w:type="dxa"/>
              <w:right w:w="100" w:type="dxa"/>
            </w:tcMar>
          </w:tcPr>
          <w:p>
            <w:pPr>
              <w:pStyle w:val="TableText"/>
            </w:pPr>
            <w:r>
              <w:t xml:space="preserve">Prospectus — document de travail</w:t>
            </w:r>
          </w:p>
        </w:tc>
        <w:tc>
          <w:tcPr>
            <w:tcW w:w="3200" w:type="dxa"/>
            <w:shd w:val="clear" w:color="auto" w:fill="FFFFFF"/>
            <w:tcMar>
              <w:top w:w="80" w:type="dxa"/>
              <w:left w:w="100" w:type="dxa"/>
              <w:bottom w:w="80" w:type="dxa"/>
              <w:right w:w="100" w:type="dxa"/>
            </w:tcMar>
          </w:tcPr>
          <w:p>
            <w:pPr>
              <w:pStyle w:val="TableText"/>
            </w:pPr>
            <w:r>
              <w:t xml:space="preserve">CIRC005_GENERAL_EFFECTIVE_DATE</w:t>
            </w:r>
          </w:p>
        </w:tc>
        <w:tc>
          <w:tcPr>
            <w:tcW w:w="1800" w:type="dxa"/>
            <w:shd w:val="clear" w:color="auto" w:fill="FFFFFF"/>
            <w:tcMar>
              <w:top w:w="80" w:type="dxa"/>
              <w:left w:w="100" w:type="dxa"/>
              <w:bottom w:w="80" w:type="dxa"/>
              <w:right w:w="100" w:type="dxa"/>
            </w:tcMar>
          </w:tcPr>
          <w:p>
            <w:pPr>
              <w:pStyle w:val="TableText"/>
            </w:pPr>
            <w:r>
              <w:t xml:space="preserve">CIRC005_EFFECTIVE_DATE_PENDING_V1</w:t>
            </w:r>
          </w:p>
        </w:tc>
        <w:tc>
          <w:tcPr>
            <w:tcW w:w="1700" w:type="dxa"/>
            <w:shd w:val="clear" w:color="auto" w:fill="FFFFFF"/>
            <w:tcMar>
              <w:top w:w="80" w:type="dxa"/>
              <w:left w:w="100" w:type="dxa"/>
              <w:bottom w:w="80" w:type="dxa"/>
              <w:right w:w="100" w:type="dxa"/>
            </w:tcMar>
          </w:tcPr>
          <w:p>
            <w:pPr>
              <w:pStyle w:val="TableText"/>
            </w:pPr>
            <w:r>
              <w:t xml:space="preserve">PENDING_CONFIRMATION</w:t>
            </w:r>
          </w:p>
        </w:tc>
      </w:tr>
      <w:tr>
        <w:trPr>
          <w:cantSplit/>
        </w:trPr>
        <w:tc>
          <w:tcPr>
            <w:tcW w:w="1300" w:type="dxa"/>
            <w:shd w:val="clear" w:color="auto" w:fill="FFFFFF"/>
            <w:tcMar>
              <w:top w:w="80" w:type="dxa"/>
              <w:left w:w="100" w:type="dxa"/>
              <w:bottom w:w="80" w:type="dxa"/>
              <w:right w:w="100" w:type="dxa"/>
            </w:tcMar>
          </w:tcPr>
          <w:p>
            <w:pPr>
              <w:pStyle w:val="TableText"/>
            </w:pPr>
            <w:r>
              <w:t xml:space="preserve">CMP-0002</w:t>
            </w:r>
          </w:p>
        </w:tc>
        <w:tc>
          <w:tcPr>
            <w:tcW w:w="2300" w:type="dxa"/>
            <w:shd w:val="clear" w:color="auto" w:fill="FFFFFF"/>
            <w:tcMar>
              <w:top w:w="80" w:type="dxa"/>
              <w:left w:w="100" w:type="dxa"/>
              <w:bottom w:w="80" w:type="dxa"/>
              <w:right w:w="100" w:type="dxa"/>
            </w:tcMar>
          </w:tcPr>
          <w:p>
            <w:pPr>
              <w:pStyle w:val="TableText"/>
            </w:pPr>
            <w:r>
              <w:t xml:space="preserve">1.1 Dénomination et identification du FCP</w:t>
            </w:r>
          </w:p>
        </w:tc>
        <w:tc>
          <w:tcPr>
            <w:tcW w:w="3200" w:type="dxa"/>
            <w:shd w:val="clear" w:color="auto" w:fill="FFFFFF"/>
            <w:tcMar>
              <w:top w:w="80" w:type="dxa"/>
              <w:left w:w="100" w:type="dxa"/>
              <w:bottom w:w="80" w:type="dxa"/>
              <w:right w:w="100" w:type="dxa"/>
            </w:tcMar>
          </w:tcPr>
          <w:p>
            <w:pPr>
              <w:pStyle w:val="TableText"/>
            </w:pPr>
            <w:r>
              <w:t xml:space="preserve">CIRC005_1_1_FCP_DENOMINATION, CIRC005_1_2_FCP_CONSTITUTION_DATE</w:t>
            </w:r>
          </w:p>
        </w:tc>
        <w:tc>
          <w:tcPr>
            <w:tcW w:w="1800" w:type="dxa"/>
            <w:shd w:val="clear" w:color="auto" w:fill="FFFFFF"/>
            <w:tcMar>
              <w:top w:w="80" w:type="dxa"/>
              <w:left w:w="100" w:type="dxa"/>
              <w:bottom w:w="80" w:type="dxa"/>
              <w:right w:w="100" w:type="dxa"/>
            </w:tcMar>
          </w:tcPr>
          <w:p>
            <w:pPr>
              <w:pStyle w:val="TableText"/>
            </w:pPr>
            <w:r>
              <w:t xml:space="preserve">UMOA_FCP_GENERAL_IDENTIFICATION_V1</w:t>
            </w:r>
          </w:p>
        </w:tc>
        <w:tc>
          <w:tcPr>
            <w:tcW w:w="1700" w:type="dxa"/>
            <w:shd w:val="clear" w:color="auto" w:fill="FFFFFF"/>
            <w:tcMar>
              <w:top w:w="80" w:type="dxa"/>
              <w:left w:w="100" w:type="dxa"/>
              <w:bottom w:w="80" w:type="dxa"/>
              <w:right w:w="100" w:type="dxa"/>
            </w:tcMar>
          </w:tcPr>
          <w:p>
            <w:pPr>
              <w:pStyle w:val="TableText"/>
            </w:pPr>
            <w:r>
              <w:t xml:space="preserve">PENDING_LEGAL_REVIEW</w:t>
            </w:r>
          </w:p>
        </w:tc>
      </w:tr>
      <w:tr>
        <w:trPr>
          <w:cantSplit/>
        </w:trPr>
        <w:tc>
          <w:tcPr>
            <w:tcW w:w="1300" w:type="dxa"/>
            <w:shd w:val="clear" w:color="auto" w:fill="FFFFFF"/>
            <w:tcMar>
              <w:top w:w="80" w:type="dxa"/>
              <w:left w:w="100" w:type="dxa"/>
              <w:bottom w:w="80" w:type="dxa"/>
              <w:right w:w="100" w:type="dxa"/>
            </w:tcMar>
          </w:tcPr>
          <w:p>
            <w:pPr>
              <w:pStyle w:val="TableText"/>
            </w:pPr>
            <w:r>
              <w:t xml:space="preserve">CMP-0003</w:t>
            </w:r>
          </w:p>
        </w:tc>
        <w:tc>
          <w:tcPr>
            <w:tcW w:w="2300" w:type="dxa"/>
            <w:shd w:val="clear" w:color="auto" w:fill="FFFFFF"/>
            <w:tcMar>
              <w:top w:w="80" w:type="dxa"/>
              <w:left w:w="100" w:type="dxa"/>
              <w:bottom w:w="80" w:type="dxa"/>
              <w:right w:w="100" w:type="dxa"/>
            </w:tcMar>
          </w:tcPr>
          <w:p>
            <w:pPr>
              <w:pStyle w:val="TableText"/>
            </w:pPr>
            <w:r>
              <w:t xml:space="preserve">1.2 Constitution et durée</w:t>
            </w:r>
          </w:p>
        </w:tc>
        <w:tc>
          <w:tcPr>
            <w:tcW w:w="3200" w:type="dxa"/>
            <w:shd w:val="clear" w:color="auto" w:fill="FFFFFF"/>
            <w:tcMar>
              <w:top w:w="80" w:type="dxa"/>
              <w:left w:w="100" w:type="dxa"/>
              <w:bottom w:w="80" w:type="dxa"/>
              <w:right w:w="100" w:type="dxa"/>
            </w:tcMar>
          </w:tcPr>
          <w:p>
            <w:pPr>
              <w:pStyle w:val="TableText"/>
            </w:pPr>
            <w:r>
              <w:t xml:space="preserve">CIRC005_1_2_FCP_LIMITED_DURATION</w:t>
            </w:r>
          </w:p>
        </w:tc>
        <w:tc>
          <w:tcPr>
            <w:tcW w:w="1800" w:type="dxa"/>
            <w:shd w:val="clear" w:color="auto" w:fill="FFFFFF"/>
            <w:tcMar>
              <w:top w:w="80" w:type="dxa"/>
              <w:left w:w="100" w:type="dxa"/>
              <w:bottom w:w="80" w:type="dxa"/>
              <w:right w:w="100" w:type="dxa"/>
            </w:tcMar>
          </w:tcPr>
          <w:p>
            <w:pPr>
              <w:pStyle w:val="TableText"/>
            </w:pPr>
            <w:r>
              <w:t xml:space="preserve">UMOA_FCP_INDEFINITE_DURATION_V1</w:t>
            </w:r>
          </w:p>
        </w:tc>
        <w:tc>
          <w:tcPr>
            <w:tcW w:w="1700" w:type="dxa"/>
            <w:shd w:val="clear" w:color="auto" w:fill="FFFFFF"/>
            <w:tcMar>
              <w:top w:w="80" w:type="dxa"/>
              <w:left w:w="100" w:type="dxa"/>
              <w:bottom w:w="80" w:type="dxa"/>
              <w:right w:w="100" w:type="dxa"/>
            </w:tcMar>
          </w:tcPr>
          <w:p>
            <w:pPr>
              <w:pStyle w:val="TableText"/>
            </w:pPr>
            <w:r>
              <w:t xml:space="preserve">PENDING_LEGAL_REVIEW</w:t>
            </w:r>
          </w:p>
        </w:tc>
      </w:tr>
      <w:tr>
        <w:trPr>
          <w:cantSplit/>
        </w:trPr>
        <w:tc>
          <w:tcPr>
            <w:tcW w:w="1300" w:type="dxa"/>
            <w:shd w:val="clear" w:color="auto" w:fill="FFFFFF"/>
            <w:tcMar>
              <w:top w:w="80" w:type="dxa"/>
              <w:left w:w="100" w:type="dxa"/>
              <w:bottom w:w="80" w:type="dxa"/>
              <w:right w:w="100" w:type="dxa"/>
            </w:tcMar>
          </w:tcPr>
          <w:p>
            <w:pPr>
              <w:pStyle w:val="TableText"/>
            </w:pPr>
            <w:r>
              <w:t xml:space="preserve">CMP-0004</w:t>
            </w:r>
          </w:p>
        </w:tc>
        <w:tc>
          <w:tcPr>
            <w:tcW w:w="2300" w:type="dxa"/>
            <w:shd w:val="clear" w:color="auto" w:fill="FFFFFF"/>
            <w:tcMar>
              <w:top w:w="80" w:type="dxa"/>
              <w:left w:w="100" w:type="dxa"/>
              <w:bottom w:w="80" w:type="dxa"/>
              <w:right w:w="100" w:type="dxa"/>
            </w:tcMar>
          </w:tcPr>
          <w:p>
            <w:pPr>
              <w:pStyle w:val="TableText"/>
            </w:pPr>
            <w:r>
              <w:t xml:space="preserve">1.4 Documents disponibles</w:t>
            </w:r>
          </w:p>
        </w:tc>
        <w:tc>
          <w:tcPr>
            <w:tcW w:w="3200" w:type="dxa"/>
            <w:shd w:val="clear" w:color="auto" w:fill="FFFFFF"/>
            <w:tcMar>
              <w:top w:w="80" w:type="dxa"/>
              <w:left w:w="100" w:type="dxa"/>
              <w:bottom w:w="80" w:type="dxa"/>
              <w:right w:w="100" w:type="dxa"/>
            </w:tcMar>
          </w:tcPr>
          <w:p>
            <w:pPr>
              <w:pStyle w:val="TableText"/>
            </w:pPr>
            <w:r>
              <w:t xml:space="preserve">CIRC005_1_4_FCP_REGULATION_AVAILABILITY, CIRC005_1_4_FCP_PERIODIC_REPORTS_AVAILABILITY</w:t>
            </w:r>
          </w:p>
        </w:tc>
        <w:tc>
          <w:tcPr>
            <w:tcW w:w="1800" w:type="dxa"/>
            <w:shd w:val="clear" w:color="auto" w:fill="FFFFFF"/>
            <w:tcMar>
              <w:top w:w="80" w:type="dxa"/>
              <w:left w:w="100" w:type="dxa"/>
              <w:bottom w:w="80" w:type="dxa"/>
              <w:right w:w="100" w:type="dxa"/>
            </w:tcMar>
          </w:tcPr>
          <w:p>
            <w:pPr>
              <w:pStyle w:val="TableText"/>
            </w:pPr>
            <w:r>
              <w:t xml:space="preserve">UMOA_FCP_DOCUMENT_AVAILABILITY_V1</w:t>
            </w:r>
          </w:p>
        </w:tc>
        <w:tc>
          <w:tcPr>
            <w:tcW w:w="1700" w:type="dxa"/>
            <w:shd w:val="clear" w:color="auto" w:fill="FFFFFF"/>
            <w:tcMar>
              <w:top w:w="80" w:type="dxa"/>
              <w:left w:w="100" w:type="dxa"/>
              <w:bottom w:w="80" w:type="dxa"/>
              <w:right w:w="100" w:type="dxa"/>
            </w:tcMar>
          </w:tcPr>
          <w:p>
            <w:pPr>
              <w:pStyle w:val="TableText"/>
            </w:pPr>
            <w:r>
              <w:t xml:space="preserve">PENDING_LEGAL_REVIEW</w:t>
            </w:r>
          </w:p>
        </w:tc>
      </w:tr>
      <w:tr>
        <w:trPr>
          <w:cantSplit/>
        </w:trPr>
        <w:tc>
          <w:tcPr>
            <w:tcW w:w="1300" w:type="dxa"/>
            <w:shd w:val="clear" w:color="auto" w:fill="FFFFFF"/>
            <w:tcMar>
              <w:top w:w="80" w:type="dxa"/>
              <w:left w:w="100" w:type="dxa"/>
              <w:bottom w:w="80" w:type="dxa"/>
              <w:right w:w="100" w:type="dxa"/>
            </w:tcMar>
          </w:tcPr>
          <w:p>
            <w:pPr>
              <w:pStyle w:val="TableText"/>
            </w:pPr>
            <w:r>
              <w:t xml:space="preserve">CMP-0028</w:t>
            </w:r>
          </w:p>
        </w:tc>
        <w:tc>
          <w:tcPr>
            <w:tcW w:w="2300" w:type="dxa"/>
            <w:shd w:val="clear" w:color="auto" w:fill="FFFFFF"/>
            <w:tcMar>
              <w:top w:w="80" w:type="dxa"/>
              <w:left w:w="100" w:type="dxa"/>
              <w:bottom w:w="80" w:type="dxa"/>
              <w:right w:w="100" w:type="dxa"/>
            </w:tcMar>
          </w:tcPr>
          <w:p>
            <w:pPr>
              <w:pStyle w:val="TableText"/>
            </w:pPr>
            <w:r>
              <w:t xml:space="preserve">1.5 Régime fiscal</w:t>
            </w:r>
          </w:p>
        </w:tc>
        <w:tc>
          <w:tcPr>
            <w:tcW w:w="3200" w:type="dxa"/>
            <w:shd w:val="clear" w:color="auto" w:fill="FFFFFF"/>
            <w:tcMar>
              <w:top w:w="80" w:type="dxa"/>
              <w:left w:w="100" w:type="dxa"/>
              <w:bottom w:w="80" w:type="dxa"/>
              <w:right w:w="100" w:type="dxa"/>
            </w:tcMar>
          </w:tcPr>
          <w:p>
            <w:pPr>
              <w:pStyle w:val="TableText"/>
            </w:pPr>
            <w:r>
              <w:t xml:space="preserve">CIRC005_1_5_FCP_TAX_REGIME, CIRC005_1_5_FCP_WITHHOLDING_INCOME, CIRC005_1_5_FCP_WITHHOLDING_CAPITAL_GAINS</w:t>
            </w:r>
          </w:p>
        </w:tc>
        <w:tc>
          <w:tcPr>
            <w:tcW w:w="1800" w:type="dxa"/>
            <w:shd w:val="clear" w:color="auto" w:fill="FFFFFF"/>
            <w:tcMar>
              <w:top w:w="80" w:type="dxa"/>
              <w:left w:w="100" w:type="dxa"/>
              <w:bottom w:w="80" w:type="dxa"/>
              <w:right w:w="100" w:type="dxa"/>
            </w:tcMar>
          </w:tcPr>
          <w:p>
            <w:pPr>
              <w:pStyle w:val="TableText"/>
            </w:pPr>
            <w:r>
              <w:t xml:space="preserve">—</w:t>
            </w:r>
          </w:p>
        </w:tc>
        <w:tc>
          <w:tcPr>
            <w:tcW w:w="1700" w:type="dxa"/>
            <w:shd w:val="clear" w:color="auto" w:fill="FFFFFF"/>
            <w:tcMar>
              <w:top w:w="80" w:type="dxa"/>
              <w:left w:w="100" w:type="dxa"/>
              <w:bottom w:w="80" w:type="dxa"/>
              <w:right w:w="100" w:type="dxa"/>
            </w:tcMar>
          </w:tcPr>
          <w:p>
            <w:pPr>
              <w:pStyle w:val="TableText"/>
            </w:pPr>
            <w:r>
              <w:t xml:space="preserve">TAX_AND_LEGAL_REVIEW_REQUIRED</w:t>
            </w:r>
          </w:p>
        </w:tc>
      </w:tr>
      <w:tr>
        <w:trPr>
          <w:cantSplit/>
        </w:trPr>
        <w:tc>
          <w:tcPr>
            <w:tcW w:w="1300" w:type="dxa"/>
            <w:shd w:val="clear" w:color="auto" w:fill="FFFFFF"/>
            <w:tcMar>
              <w:top w:w="80" w:type="dxa"/>
              <w:left w:w="100" w:type="dxa"/>
              <w:bottom w:w="80" w:type="dxa"/>
              <w:right w:w="100" w:type="dxa"/>
            </w:tcMar>
          </w:tcPr>
          <w:p>
            <w:pPr>
              <w:pStyle w:val="TableText"/>
            </w:pPr>
            <w:r>
              <w:t xml:space="preserve">CMP-0005</w:t>
            </w:r>
          </w:p>
        </w:tc>
        <w:tc>
          <w:tcPr>
            <w:tcW w:w="2300" w:type="dxa"/>
            <w:shd w:val="clear" w:color="auto" w:fill="FFFFFF"/>
            <w:tcMar>
              <w:top w:w="80" w:type="dxa"/>
              <w:left w:w="100" w:type="dxa"/>
              <w:bottom w:w="80" w:type="dxa"/>
              <w:right w:w="100" w:type="dxa"/>
            </w:tcMar>
          </w:tcPr>
          <w:p>
            <w:pPr>
              <w:pStyle w:val="TableText"/>
            </w:pPr>
            <w:r>
              <w:t xml:space="preserve">1.6 Clôture des comptes et distributions</w:t>
            </w:r>
          </w:p>
        </w:tc>
        <w:tc>
          <w:tcPr>
            <w:tcW w:w="3200" w:type="dxa"/>
            <w:shd w:val="clear" w:color="auto" w:fill="FFFFFF"/>
            <w:tcMar>
              <w:top w:w="80" w:type="dxa"/>
              <w:left w:w="100" w:type="dxa"/>
              <w:bottom w:w="80" w:type="dxa"/>
              <w:right w:w="100" w:type="dxa"/>
            </w:tcMar>
          </w:tcPr>
          <w:p>
            <w:pPr>
              <w:pStyle w:val="TableText"/>
            </w:pPr>
            <w:r>
              <w:t xml:space="preserve">CIRC005_1_6_FCP_ACCOUNT_CLOSING_DATE</w:t>
            </w:r>
          </w:p>
        </w:tc>
        <w:tc>
          <w:tcPr>
            <w:tcW w:w="1800" w:type="dxa"/>
            <w:shd w:val="clear" w:color="auto" w:fill="FFFFFF"/>
            <w:tcMar>
              <w:top w:w="80" w:type="dxa"/>
              <w:left w:w="100" w:type="dxa"/>
              <w:bottom w:w="80" w:type="dxa"/>
              <w:right w:w="100" w:type="dxa"/>
            </w:tcMar>
          </w:tcPr>
          <w:p>
            <w:pPr>
              <w:pStyle w:val="TableText"/>
            </w:pPr>
            <w:r>
              <w:t xml:space="preserve">UMOA_FCP_ACCOUNTING_PERIOD_V1</w:t>
            </w:r>
          </w:p>
        </w:tc>
        <w:tc>
          <w:tcPr>
            <w:tcW w:w="1700" w:type="dxa"/>
            <w:shd w:val="clear" w:color="auto" w:fill="FFFFFF"/>
            <w:tcMar>
              <w:top w:w="80" w:type="dxa"/>
              <w:left w:w="100" w:type="dxa"/>
              <w:bottom w:w="80" w:type="dxa"/>
              <w:right w:w="100" w:type="dxa"/>
            </w:tcMar>
          </w:tcPr>
          <w:p>
            <w:pPr>
              <w:pStyle w:val="TableText"/>
            </w:pPr>
            <w:r>
              <w:t xml:space="preserve">PENDING_LEGAL_REVIEW</w:t>
            </w:r>
          </w:p>
        </w:tc>
      </w:tr>
      <w:tr>
        <w:trPr>
          <w:cantSplit/>
        </w:trPr>
        <w:tc>
          <w:tcPr>
            <w:tcW w:w="1300" w:type="dxa"/>
            <w:shd w:val="clear" w:color="auto" w:fill="FFFFFF"/>
            <w:tcMar>
              <w:top w:w="80" w:type="dxa"/>
              <w:left w:w="100" w:type="dxa"/>
              <w:bottom w:w="80" w:type="dxa"/>
              <w:right w:w="100" w:type="dxa"/>
            </w:tcMar>
          </w:tcPr>
          <w:p>
            <w:pPr>
              <w:pStyle w:val="TableText"/>
            </w:pPr>
            <w:r>
              <w:t xml:space="preserve">CMP-0032</w:t>
            </w:r>
          </w:p>
        </w:tc>
        <w:tc>
          <w:tcPr>
            <w:tcW w:w="2300" w:type="dxa"/>
            <w:shd w:val="clear" w:color="auto" w:fill="FFFFFF"/>
            <w:tcMar>
              <w:top w:w="80" w:type="dxa"/>
              <w:left w:w="100" w:type="dxa"/>
              <w:bottom w:w="80" w:type="dxa"/>
              <w:right w:w="100" w:type="dxa"/>
            </w:tcMar>
          </w:tcPr>
          <w:p>
            <w:pPr>
              <w:pStyle w:val="TableText"/>
            </w:pPr>
            <w:r>
              <w:t xml:space="preserve">1.7 Contrôle des données comptables</w:t>
            </w:r>
          </w:p>
        </w:tc>
        <w:tc>
          <w:tcPr>
            <w:tcW w:w="3200" w:type="dxa"/>
            <w:shd w:val="clear" w:color="auto" w:fill="FFFFFF"/>
            <w:tcMar>
              <w:top w:w="80" w:type="dxa"/>
              <w:left w:w="100" w:type="dxa"/>
              <w:bottom w:w="80" w:type="dxa"/>
              <w:right w:w="100" w:type="dxa"/>
            </w:tcMar>
          </w:tcPr>
          <w:p>
            <w:pPr>
              <w:pStyle w:val="TableText"/>
            </w:pPr>
            <w:r>
              <w:t xml:space="preserve">CIRC005_1_7_FCP_ACCOUNTING_CONTROL_PERSONS</w:t>
            </w:r>
          </w:p>
        </w:tc>
        <w:tc>
          <w:tcPr>
            <w:tcW w:w="1800" w:type="dxa"/>
            <w:shd w:val="clear" w:color="auto" w:fill="FFFFFF"/>
            <w:tcMar>
              <w:top w:w="80" w:type="dxa"/>
              <w:left w:w="100" w:type="dxa"/>
              <w:bottom w:w="80" w:type="dxa"/>
              <w:right w:w="100" w:type="dxa"/>
            </w:tcMar>
          </w:tcPr>
          <w:p>
            <w:pPr>
              <w:pStyle w:val="TableText"/>
            </w:pPr>
            <w:r>
              <w:t xml:space="preserve">CIRC005_ACCOUNTING_CONTROL_PENDING_V1</w:t>
            </w:r>
          </w:p>
        </w:tc>
        <w:tc>
          <w:tcPr>
            <w:tcW w:w="1700" w:type="dxa"/>
            <w:shd w:val="clear" w:color="auto" w:fill="FFFFFF"/>
            <w:tcMar>
              <w:top w:w="80" w:type="dxa"/>
              <w:left w:w="100" w:type="dxa"/>
              <w:bottom w:w="80" w:type="dxa"/>
              <w:right w:w="100" w:type="dxa"/>
            </w:tcMar>
          </w:tcPr>
          <w:p>
            <w:pPr>
              <w:pStyle w:val="TableText"/>
            </w:pPr>
            <w:r>
              <w:t xml:space="preserve">PENDING_CONFIRMATION</w:t>
            </w:r>
          </w:p>
        </w:tc>
      </w:tr>
      <w:tr>
        <w:trPr>
          <w:cantSplit/>
        </w:trPr>
        <w:tc>
          <w:tcPr>
            <w:tcW w:w="1300" w:type="dxa"/>
            <w:shd w:val="clear" w:color="auto" w:fill="FFFFFF"/>
            <w:tcMar>
              <w:top w:w="80" w:type="dxa"/>
              <w:left w:w="100" w:type="dxa"/>
              <w:bottom w:w="80" w:type="dxa"/>
              <w:right w:w="100" w:type="dxa"/>
            </w:tcMar>
          </w:tcPr>
          <w:p>
            <w:pPr>
              <w:pStyle w:val="TableText"/>
            </w:pPr>
            <w:r>
              <w:t xml:space="preserve">CMP-0006</w:t>
            </w:r>
          </w:p>
        </w:tc>
        <w:tc>
          <w:tcPr>
            <w:tcW w:w="2300" w:type="dxa"/>
            <w:shd w:val="clear" w:color="auto" w:fill="FFFFFF"/>
            <w:tcMar>
              <w:top w:w="80" w:type="dxa"/>
              <w:left w:w="100" w:type="dxa"/>
              <w:bottom w:w="80" w:type="dxa"/>
              <w:right w:w="100" w:type="dxa"/>
            </w:tcMar>
          </w:tcPr>
          <w:p>
            <w:pPr>
              <w:pStyle w:val="TableText"/>
            </w:pPr>
            <w:r>
              <w:t xml:space="preserve">1.10 Nature et caractéristiques des parts</w:t>
            </w:r>
          </w:p>
        </w:tc>
        <w:tc>
          <w:tcPr>
            <w:tcW w:w="3200" w:type="dxa"/>
            <w:shd w:val="clear" w:color="auto" w:fill="FFFFFF"/>
            <w:tcMar>
              <w:top w:w="80" w:type="dxa"/>
              <w:left w:w="100" w:type="dxa"/>
              <w:bottom w:w="80" w:type="dxa"/>
              <w:right w:w="100" w:type="dxa"/>
            </w:tcMar>
          </w:tcPr>
          <w:p>
            <w:pPr>
              <w:pStyle w:val="TableText"/>
            </w:pPr>
            <w:r>
              <w:t xml:space="preserve">CIRC005_1_10_FCP_PARTS_CHARACTERISTICS</w:t>
            </w:r>
          </w:p>
        </w:tc>
        <w:tc>
          <w:tcPr>
            <w:tcW w:w="1800" w:type="dxa"/>
            <w:shd w:val="clear" w:color="auto" w:fill="FFFFFF"/>
            <w:tcMar>
              <w:top w:w="80" w:type="dxa"/>
              <w:left w:w="100" w:type="dxa"/>
              <w:bottom w:w="80" w:type="dxa"/>
              <w:right w:w="100" w:type="dxa"/>
            </w:tcMar>
          </w:tcPr>
          <w:p>
            <w:pPr>
              <w:pStyle w:val="TableText"/>
            </w:pPr>
            <w:r>
              <w:t xml:space="preserve">UMOA_FCP_SINGLE_SHARE_CLASS_V1</w:t>
            </w:r>
          </w:p>
        </w:tc>
        <w:tc>
          <w:tcPr>
            <w:tcW w:w="1700" w:type="dxa"/>
            <w:shd w:val="clear" w:color="auto" w:fill="FFFFFF"/>
            <w:tcMar>
              <w:top w:w="80" w:type="dxa"/>
              <w:left w:w="100" w:type="dxa"/>
              <w:bottom w:w="80" w:type="dxa"/>
              <w:right w:w="100" w:type="dxa"/>
            </w:tcMar>
          </w:tcPr>
          <w:p>
            <w:pPr>
              <w:pStyle w:val="TableText"/>
            </w:pPr>
            <w:r>
              <w:t xml:space="preserve">PENDING_LEGAL_REVIEW</w:t>
            </w:r>
          </w:p>
        </w:tc>
      </w:tr>
      <w:tr>
        <w:trPr>
          <w:cantSplit/>
        </w:trPr>
        <w:tc>
          <w:tcPr>
            <w:tcW w:w="1300" w:type="dxa"/>
            <w:shd w:val="clear" w:color="auto" w:fill="FFFFFF"/>
            <w:tcMar>
              <w:top w:w="80" w:type="dxa"/>
              <w:left w:w="100" w:type="dxa"/>
              <w:bottom w:w="80" w:type="dxa"/>
              <w:right w:w="100" w:type="dxa"/>
            </w:tcMar>
          </w:tcPr>
          <w:p>
            <w:pPr>
              <w:pStyle w:val="TableText"/>
            </w:pPr>
            <w:r>
              <w:t xml:space="preserve">CMP-0007</w:t>
            </w:r>
          </w:p>
        </w:tc>
        <w:tc>
          <w:tcPr>
            <w:tcW w:w="2300" w:type="dxa"/>
            <w:shd w:val="clear" w:color="auto" w:fill="FFFFFF"/>
            <w:tcMar>
              <w:top w:w="80" w:type="dxa"/>
              <w:left w:w="100" w:type="dxa"/>
              <w:bottom w:w="80" w:type="dxa"/>
              <w:right w:w="100" w:type="dxa"/>
            </w:tcMar>
          </w:tcPr>
          <w:p>
            <w:pPr>
              <w:pStyle w:val="TableText"/>
            </w:pPr>
            <w:r>
              <w:t xml:space="preserve">1.10 Nature et caractéristiques des parts</w:t>
            </w:r>
          </w:p>
        </w:tc>
        <w:tc>
          <w:tcPr>
            <w:tcW w:w="3200" w:type="dxa"/>
            <w:shd w:val="clear" w:color="auto" w:fill="FFFFFF"/>
            <w:tcMar>
              <w:top w:w="80" w:type="dxa"/>
              <w:left w:w="100" w:type="dxa"/>
              <w:bottom w:w="80" w:type="dxa"/>
              <w:right w:w="100" w:type="dxa"/>
            </w:tcMar>
          </w:tcPr>
          <w:p>
            <w:pPr>
              <w:pStyle w:val="TableText"/>
            </w:pPr>
            <w:r>
              <w:t xml:space="preserve">CIRC005_1_10_D_FCP_VOTING_RIGHTS</w:t>
            </w:r>
          </w:p>
        </w:tc>
        <w:tc>
          <w:tcPr>
            <w:tcW w:w="1800" w:type="dxa"/>
            <w:shd w:val="clear" w:color="auto" w:fill="FFFFFF"/>
            <w:tcMar>
              <w:top w:w="80" w:type="dxa"/>
              <w:left w:w="100" w:type="dxa"/>
              <w:bottom w:w="80" w:type="dxa"/>
              <w:right w:w="100" w:type="dxa"/>
            </w:tcMar>
          </w:tcPr>
          <w:p>
            <w:pPr>
              <w:pStyle w:val="TableText"/>
            </w:pPr>
            <w:r>
              <w:t xml:space="preserve">UMOA_FCP_NO_VOTING_RIGHTS_V1</w:t>
            </w:r>
          </w:p>
        </w:tc>
        <w:tc>
          <w:tcPr>
            <w:tcW w:w="1700" w:type="dxa"/>
            <w:shd w:val="clear" w:color="auto" w:fill="FFFFFF"/>
            <w:tcMar>
              <w:top w:w="80" w:type="dxa"/>
              <w:left w:w="100" w:type="dxa"/>
              <w:bottom w:w="80" w:type="dxa"/>
              <w:right w:w="100" w:type="dxa"/>
            </w:tcMar>
          </w:tcPr>
          <w:p>
            <w:pPr>
              <w:pStyle w:val="TableText"/>
            </w:pPr>
            <w:r>
              <w:t xml:space="preserve">PENDING_LEGAL_REVIEW</w:t>
            </w:r>
          </w:p>
        </w:tc>
      </w:tr>
      <w:tr>
        <w:trPr>
          <w:cantSplit/>
        </w:trPr>
        <w:tc>
          <w:tcPr>
            <w:tcW w:w="1300" w:type="dxa"/>
            <w:shd w:val="clear" w:color="auto" w:fill="FFFFFF"/>
            <w:tcMar>
              <w:top w:w="80" w:type="dxa"/>
              <w:left w:w="100" w:type="dxa"/>
              <w:bottom w:w="80" w:type="dxa"/>
              <w:right w:w="100" w:type="dxa"/>
            </w:tcMar>
          </w:tcPr>
          <w:p>
            <w:pPr>
              <w:pStyle w:val="TableText"/>
            </w:pPr>
            <w:r>
              <w:t xml:space="preserve">CMP-0021</w:t>
            </w:r>
          </w:p>
        </w:tc>
        <w:tc>
          <w:tcPr>
            <w:tcW w:w="2300" w:type="dxa"/>
            <w:shd w:val="clear" w:color="auto" w:fill="FFFFFF"/>
            <w:tcMar>
              <w:top w:w="80" w:type="dxa"/>
              <w:left w:w="100" w:type="dxa"/>
              <w:bottom w:w="80" w:type="dxa"/>
              <w:right w:w="100" w:type="dxa"/>
            </w:tcMar>
          </w:tcPr>
          <w:p>
            <w:pPr>
              <w:pStyle w:val="TableText"/>
            </w:pPr>
            <w:r>
              <w:t xml:space="preserve">1.10 Nature et caractéristiques des parts</w:t>
            </w:r>
          </w:p>
        </w:tc>
        <w:tc>
          <w:tcPr>
            <w:tcW w:w="3200" w:type="dxa"/>
            <w:shd w:val="clear" w:color="auto" w:fill="FFFFFF"/>
            <w:tcMar>
              <w:top w:w="80" w:type="dxa"/>
              <w:left w:w="100" w:type="dxa"/>
              <w:bottom w:w="80" w:type="dxa"/>
              <w:right w:w="100" w:type="dxa"/>
            </w:tcMar>
          </w:tcPr>
          <w:p>
            <w:pPr>
              <w:pStyle w:val="TableText"/>
            </w:pPr>
            <w:r>
              <w:t xml:space="preserve">CIRC005_1_10_FCP_PARTS_CHARACTERISTICS</w:t>
            </w:r>
          </w:p>
        </w:tc>
        <w:tc>
          <w:tcPr>
            <w:tcW w:w="1800" w:type="dxa"/>
            <w:shd w:val="clear" w:color="auto" w:fill="FFFFFF"/>
            <w:tcMar>
              <w:top w:w="80" w:type="dxa"/>
              <w:left w:w="100" w:type="dxa"/>
              <w:bottom w:w="80" w:type="dxa"/>
              <w:right w:w="100" w:type="dxa"/>
            </w:tcMar>
          </w:tcPr>
          <w:p>
            <w:pPr>
              <w:pStyle w:val="TableText"/>
            </w:pPr>
            <w:r>
              <w:t xml:space="preserve">—</w:t>
            </w:r>
          </w:p>
        </w:tc>
        <w:tc>
          <w:tcPr>
            <w:tcW w:w="1700" w:type="dxa"/>
            <w:shd w:val="clear" w:color="auto" w:fill="FFFFFF"/>
            <w:tcMar>
              <w:top w:w="80" w:type="dxa"/>
              <w:left w:w="100" w:type="dxa"/>
              <w:bottom w:w="80" w:type="dxa"/>
              <w:right w:w="100" w:type="dxa"/>
            </w:tcMar>
          </w:tcPr>
          <w:p>
            <w:pPr>
              <w:pStyle w:val="TableText"/>
            </w:pPr>
            <w:r>
              <w:t xml:space="preserve">PENDING_LEGAL_REVIEW</w:t>
            </w:r>
          </w:p>
        </w:tc>
      </w:tr>
      <w:tr>
        <w:trPr>
          <w:cantSplit/>
        </w:trPr>
        <w:tc>
          <w:tcPr>
            <w:tcW w:w="1300" w:type="dxa"/>
            <w:shd w:val="clear" w:color="auto" w:fill="FFFFFF"/>
            <w:tcMar>
              <w:top w:w="80" w:type="dxa"/>
              <w:left w:w="100" w:type="dxa"/>
              <w:bottom w:w="80" w:type="dxa"/>
              <w:right w:w="100" w:type="dxa"/>
            </w:tcMar>
          </w:tcPr>
          <w:p>
            <w:pPr>
              <w:pStyle w:val="TableText"/>
            </w:pPr>
            <w:r>
              <w:t xml:space="preserve">CMP-0033</w:t>
            </w:r>
          </w:p>
        </w:tc>
        <w:tc>
          <w:tcPr>
            <w:tcW w:w="2300" w:type="dxa"/>
            <w:shd w:val="clear" w:color="auto" w:fill="FFFFFF"/>
            <w:tcMar>
              <w:top w:w="80" w:type="dxa"/>
              <w:left w:w="100" w:type="dxa"/>
              <w:bottom w:w="80" w:type="dxa"/>
              <w:right w:w="100" w:type="dxa"/>
            </w:tcMar>
          </w:tcPr>
          <w:p>
            <w:pPr>
              <w:pStyle w:val="TableText"/>
            </w:pPr>
            <w:r>
              <w:t xml:space="preserve">1.10 Nature et caractéristiques des parts</w:t>
            </w:r>
          </w:p>
        </w:tc>
        <w:tc>
          <w:tcPr>
            <w:tcW w:w="3200" w:type="dxa"/>
            <w:shd w:val="clear" w:color="auto" w:fill="FFFFFF"/>
            <w:tcMar>
              <w:top w:w="80" w:type="dxa"/>
              <w:left w:w="100" w:type="dxa"/>
              <w:bottom w:w="80" w:type="dxa"/>
              <w:right w:w="100" w:type="dxa"/>
            </w:tcMar>
          </w:tcPr>
          <w:p>
            <w:pPr>
              <w:pStyle w:val="TableText"/>
            </w:pPr>
            <w:r>
              <w:t xml:space="preserve">CIRC005_1_10_A_FCP_RIGHT_NATURE</w:t>
            </w:r>
          </w:p>
        </w:tc>
        <w:tc>
          <w:tcPr>
            <w:tcW w:w="1800" w:type="dxa"/>
            <w:shd w:val="clear" w:color="auto" w:fill="FFFFFF"/>
            <w:tcMar>
              <w:top w:w="80" w:type="dxa"/>
              <w:left w:w="100" w:type="dxa"/>
              <w:bottom w:w="80" w:type="dxa"/>
              <w:right w:w="100" w:type="dxa"/>
            </w:tcMar>
          </w:tcPr>
          <w:p>
            <w:pPr>
              <w:pStyle w:val="TableText"/>
            </w:pPr>
            <w:r>
              <w:t xml:space="preserve">CIRC005_PART_RIGHT_NATURE_V1</w:t>
            </w:r>
          </w:p>
        </w:tc>
        <w:tc>
          <w:tcPr>
            <w:tcW w:w="1700" w:type="dxa"/>
            <w:shd w:val="clear" w:color="auto" w:fill="FFFFFF"/>
            <w:tcMar>
              <w:top w:w="80" w:type="dxa"/>
              <w:left w:w="100" w:type="dxa"/>
              <w:bottom w:w="80" w:type="dxa"/>
              <w:right w:w="100" w:type="dxa"/>
            </w:tcMar>
          </w:tcPr>
          <w:p>
            <w:pPr>
              <w:pStyle w:val="TableText"/>
            </w:pPr>
            <w:r>
              <w:t xml:space="preserve">PENDING_LEGAL_REVIEW</w:t>
            </w:r>
          </w:p>
        </w:tc>
      </w:tr>
      <w:tr>
        <w:trPr>
          <w:cantSplit/>
        </w:trPr>
        <w:tc>
          <w:tcPr>
            <w:tcW w:w="1300" w:type="dxa"/>
            <w:shd w:val="clear" w:color="auto" w:fill="FFFFFF"/>
            <w:tcMar>
              <w:top w:w="80" w:type="dxa"/>
              <w:left w:w="100" w:type="dxa"/>
              <w:bottom w:w="80" w:type="dxa"/>
              <w:right w:w="100" w:type="dxa"/>
            </w:tcMar>
          </w:tcPr>
          <w:p>
            <w:pPr>
              <w:pStyle w:val="TableText"/>
            </w:pPr>
            <w:r>
              <w:t xml:space="preserve">CMP-0034</w:t>
            </w:r>
          </w:p>
        </w:tc>
        <w:tc>
          <w:tcPr>
            <w:tcW w:w="2300" w:type="dxa"/>
            <w:shd w:val="clear" w:color="auto" w:fill="FFFFFF"/>
            <w:tcMar>
              <w:top w:w="80" w:type="dxa"/>
              <w:left w:w="100" w:type="dxa"/>
              <w:bottom w:w="80" w:type="dxa"/>
              <w:right w:w="100" w:type="dxa"/>
            </w:tcMar>
          </w:tcPr>
          <w:p>
            <w:pPr>
              <w:pStyle w:val="TableText"/>
            </w:pPr>
            <w:r>
              <w:t xml:space="preserve">1.10 Nature et caractéristiques des parts</w:t>
            </w:r>
          </w:p>
        </w:tc>
        <w:tc>
          <w:tcPr>
            <w:tcW w:w="3200" w:type="dxa"/>
            <w:shd w:val="clear" w:color="auto" w:fill="FFFFFF"/>
            <w:tcMar>
              <w:top w:w="80" w:type="dxa"/>
              <w:left w:w="100" w:type="dxa"/>
              <w:bottom w:w="80" w:type="dxa"/>
              <w:right w:w="100" w:type="dxa"/>
            </w:tcMar>
          </w:tcPr>
          <w:p>
            <w:pPr>
              <w:pStyle w:val="TableText"/>
            </w:pPr>
            <w:r>
              <w:t xml:space="preserve">CIRC005_1_10_B_FCP_TITLES_CERTIFICATES</w:t>
            </w:r>
          </w:p>
        </w:tc>
        <w:tc>
          <w:tcPr>
            <w:tcW w:w="1800" w:type="dxa"/>
            <w:shd w:val="clear" w:color="auto" w:fill="FFFFFF"/>
            <w:tcMar>
              <w:top w:w="80" w:type="dxa"/>
              <w:left w:w="100" w:type="dxa"/>
              <w:bottom w:w="80" w:type="dxa"/>
              <w:right w:w="100" w:type="dxa"/>
            </w:tcMar>
          </w:tcPr>
          <w:p>
            <w:pPr>
              <w:pStyle w:val="TableText"/>
            </w:pPr>
            <w:r>
              <w:t xml:space="preserve">CIRC005_PART_REPRESENTATION_V1</w:t>
            </w:r>
          </w:p>
        </w:tc>
        <w:tc>
          <w:tcPr>
            <w:tcW w:w="1700" w:type="dxa"/>
            <w:shd w:val="clear" w:color="auto" w:fill="FFFFFF"/>
            <w:tcMar>
              <w:top w:w="80" w:type="dxa"/>
              <w:left w:w="100" w:type="dxa"/>
              <w:bottom w:w="80" w:type="dxa"/>
              <w:right w:w="100" w:type="dxa"/>
            </w:tcMar>
          </w:tcPr>
          <w:p>
            <w:pPr>
              <w:pStyle w:val="TableText"/>
            </w:pPr>
            <w:r>
              <w:t xml:space="preserve">PENDING_LEGAL_REVIEW</w:t>
            </w:r>
          </w:p>
        </w:tc>
      </w:tr>
      <w:tr>
        <w:trPr>
          <w:cantSplit/>
        </w:trPr>
        <w:tc>
          <w:tcPr>
            <w:tcW w:w="1300" w:type="dxa"/>
            <w:shd w:val="clear" w:color="auto" w:fill="FFFFFF"/>
            <w:tcMar>
              <w:top w:w="80" w:type="dxa"/>
              <w:left w:w="100" w:type="dxa"/>
              <w:bottom w:w="80" w:type="dxa"/>
              <w:right w:w="100" w:type="dxa"/>
            </w:tcMar>
          </w:tcPr>
          <w:p>
            <w:pPr>
              <w:pStyle w:val="TableText"/>
            </w:pPr>
            <w:r>
              <w:t xml:space="preserve">CMP-0035</w:t>
            </w:r>
          </w:p>
        </w:tc>
        <w:tc>
          <w:tcPr>
            <w:tcW w:w="2300" w:type="dxa"/>
            <w:shd w:val="clear" w:color="auto" w:fill="FFFFFF"/>
            <w:tcMar>
              <w:top w:w="80" w:type="dxa"/>
              <w:left w:w="100" w:type="dxa"/>
              <w:bottom w:w="80" w:type="dxa"/>
              <w:right w:w="100" w:type="dxa"/>
            </w:tcMar>
          </w:tcPr>
          <w:p>
            <w:pPr>
              <w:pStyle w:val="TableText"/>
            </w:pPr>
            <w:r>
              <w:t xml:space="preserve">1.10 Nature et caractéristiques des parts</w:t>
            </w:r>
          </w:p>
        </w:tc>
        <w:tc>
          <w:tcPr>
            <w:tcW w:w="3200" w:type="dxa"/>
            <w:shd w:val="clear" w:color="auto" w:fill="FFFFFF"/>
            <w:tcMar>
              <w:top w:w="80" w:type="dxa"/>
              <w:left w:w="100" w:type="dxa"/>
              <w:bottom w:w="80" w:type="dxa"/>
              <w:right w:w="100" w:type="dxa"/>
            </w:tcMar>
          </w:tcPr>
          <w:p>
            <w:pPr>
              <w:pStyle w:val="TableText"/>
            </w:pPr>
            <w:r>
              <w:t xml:space="preserve">CIRC005_1_10_C_FCP_FORM_COUPONS</w:t>
            </w:r>
          </w:p>
        </w:tc>
        <w:tc>
          <w:tcPr>
            <w:tcW w:w="1800" w:type="dxa"/>
            <w:shd w:val="clear" w:color="auto" w:fill="FFFFFF"/>
            <w:tcMar>
              <w:top w:w="80" w:type="dxa"/>
              <w:left w:w="100" w:type="dxa"/>
              <w:bottom w:w="80" w:type="dxa"/>
              <w:right w:w="100" w:type="dxa"/>
            </w:tcMar>
          </w:tcPr>
          <w:p>
            <w:pPr>
              <w:pStyle w:val="TableText"/>
            </w:pPr>
            <w:r>
              <w:t xml:space="preserve">CIRC005_PART_FORM_COUPONS_V1</w:t>
            </w:r>
          </w:p>
        </w:tc>
        <w:tc>
          <w:tcPr>
            <w:tcW w:w="1700" w:type="dxa"/>
            <w:shd w:val="clear" w:color="auto" w:fill="FFFFFF"/>
            <w:tcMar>
              <w:top w:w="80" w:type="dxa"/>
              <w:left w:w="100" w:type="dxa"/>
              <w:bottom w:w="80" w:type="dxa"/>
              <w:right w:w="100" w:type="dxa"/>
            </w:tcMar>
          </w:tcPr>
          <w:p>
            <w:pPr>
              <w:pStyle w:val="TableText"/>
            </w:pPr>
            <w:r>
              <w:t xml:space="preserve">PENDING_LEGAL_REVIEW</w:t>
            </w:r>
          </w:p>
        </w:tc>
      </w:tr>
      <w:tr>
        <w:trPr>
          <w:cantSplit/>
        </w:trPr>
        <w:tc>
          <w:tcPr>
            <w:tcW w:w="1300" w:type="dxa"/>
            <w:shd w:val="clear" w:color="auto" w:fill="FFFFFF"/>
            <w:tcMar>
              <w:top w:w="80" w:type="dxa"/>
              <w:left w:w="100" w:type="dxa"/>
              <w:bottom w:w="80" w:type="dxa"/>
              <w:right w:w="100" w:type="dxa"/>
            </w:tcMar>
          </w:tcPr>
          <w:p>
            <w:pPr>
              <w:pStyle w:val="TableText"/>
            </w:pPr>
            <w:r>
              <w:t xml:space="preserve">CMP-0036</w:t>
            </w:r>
          </w:p>
        </w:tc>
        <w:tc>
          <w:tcPr>
            <w:tcW w:w="2300" w:type="dxa"/>
            <w:shd w:val="clear" w:color="auto" w:fill="FFFFFF"/>
            <w:tcMar>
              <w:top w:w="80" w:type="dxa"/>
              <w:left w:w="100" w:type="dxa"/>
              <w:bottom w:w="80" w:type="dxa"/>
              <w:right w:w="100" w:type="dxa"/>
            </w:tcMar>
          </w:tcPr>
          <w:p>
            <w:pPr>
              <w:pStyle w:val="TableText"/>
            </w:pPr>
            <w:r>
              <w:t xml:space="preserve">1.10 Nature et caractéristiques des parts</w:t>
            </w:r>
          </w:p>
        </w:tc>
        <w:tc>
          <w:tcPr>
            <w:tcW w:w="3200" w:type="dxa"/>
            <w:shd w:val="clear" w:color="auto" w:fill="FFFFFF"/>
            <w:tcMar>
              <w:top w:w="80" w:type="dxa"/>
              <w:left w:w="100" w:type="dxa"/>
              <w:bottom w:w="80" w:type="dxa"/>
              <w:right w:w="100" w:type="dxa"/>
            </w:tcMar>
          </w:tcPr>
          <w:p>
            <w:pPr>
              <w:pStyle w:val="TableText"/>
            </w:pPr>
            <w:r>
              <w:t xml:space="preserve">CIRC005_1_10_E_FCP_LIQUIDATION_CIRCUMSTANCES</w:t>
            </w:r>
          </w:p>
        </w:tc>
        <w:tc>
          <w:tcPr>
            <w:tcW w:w="1800" w:type="dxa"/>
            <w:shd w:val="clear" w:color="auto" w:fill="FFFFFF"/>
            <w:tcMar>
              <w:top w:w="80" w:type="dxa"/>
              <w:left w:w="100" w:type="dxa"/>
              <w:bottom w:w="80" w:type="dxa"/>
              <w:right w:w="100" w:type="dxa"/>
            </w:tcMar>
          </w:tcPr>
          <w:p>
            <w:pPr>
              <w:pStyle w:val="TableText"/>
            </w:pPr>
            <w:r>
              <w:t xml:space="preserve">CIRC005_LIQUIDATION_CIRCUMSTANCES_PENDING_V1</w:t>
            </w:r>
          </w:p>
        </w:tc>
        <w:tc>
          <w:tcPr>
            <w:tcW w:w="1700" w:type="dxa"/>
            <w:shd w:val="clear" w:color="auto" w:fill="FFFFFF"/>
            <w:tcMar>
              <w:top w:w="80" w:type="dxa"/>
              <w:left w:w="100" w:type="dxa"/>
              <w:bottom w:w="80" w:type="dxa"/>
              <w:right w:w="100" w:type="dxa"/>
            </w:tcMar>
          </w:tcPr>
          <w:p>
            <w:pPr>
              <w:pStyle w:val="TableText"/>
            </w:pPr>
            <w:r>
              <w:t xml:space="preserve">PENDING_CONFIRMATION</w:t>
            </w:r>
          </w:p>
        </w:tc>
      </w:tr>
      <w:tr>
        <w:trPr>
          <w:cantSplit/>
        </w:trPr>
        <w:tc>
          <w:tcPr>
            <w:tcW w:w="1300" w:type="dxa"/>
            <w:shd w:val="clear" w:color="auto" w:fill="FFFFFF"/>
            <w:tcMar>
              <w:top w:w="80" w:type="dxa"/>
              <w:left w:w="100" w:type="dxa"/>
              <w:bottom w:w="80" w:type="dxa"/>
              <w:right w:w="100" w:type="dxa"/>
            </w:tcMar>
          </w:tcPr>
          <w:p>
            <w:pPr>
              <w:pStyle w:val="TableText"/>
            </w:pPr>
            <w:r>
              <w:t xml:space="preserve">CMP-0037</w:t>
            </w:r>
          </w:p>
        </w:tc>
        <w:tc>
          <w:tcPr>
            <w:tcW w:w="2300" w:type="dxa"/>
            <w:shd w:val="clear" w:color="auto" w:fill="FFFFFF"/>
            <w:tcMar>
              <w:top w:w="80" w:type="dxa"/>
              <w:left w:w="100" w:type="dxa"/>
              <w:bottom w:w="80" w:type="dxa"/>
              <w:right w:w="100" w:type="dxa"/>
            </w:tcMar>
          </w:tcPr>
          <w:p>
            <w:pPr>
              <w:pStyle w:val="TableText"/>
            </w:pPr>
            <w:r>
              <w:t xml:space="preserve">1.10 Nature et caractéristiques des parts</w:t>
            </w:r>
          </w:p>
        </w:tc>
        <w:tc>
          <w:tcPr>
            <w:tcW w:w="3200" w:type="dxa"/>
            <w:shd w:val="clear" w:color="auto" w:fill="FFFFFF"/>
            <w:tcMar>
              <w:top w:w="80" w:type="dxa"/>
              <w:left w:w="100" w:type="dxa"/>
              <w:bottom w:w="80" w:type="dxa"/>
              <w:right w:w="100" w:type="dxa"/>
            </w:tcMar>
          </w:tcPr>
          <w:p>
            <w:pPr>
              <w:pStyle w:val="TableText"/>
            </w:pPr>
            <w:r>
              <w:t xml:space="preserve">CIRC005_1_10_F_FCP_LIQUIDATION_HOLDER_RIGHTS</w:t>
            </w:r>
          </w:p>
        </w:tc>
        <w:tc>
          <w:tcPr>
            <w:tcW w:w="1800" w:type="dxa"/>
            <w:shd w:val="clear" w:color="auto" w:fill="FFFFFF"/>
            <w:tcMar>
              <w:top w:w="80" w:type="dxa"/>
              <w:left w:w="100" w:type="dxa"/>
              <w:bottom w:w="80" w:type="dxa"/>
              <w:right w:w="100" w:type="dxa"/>
            </w:tcMar>
          </w:tcPr>
          <w:p>
            <w:pPr>
              <w:pStyle w:val="TableText"/>
            </w:pPr>
            <w:r>
              <w:t xml:space="preserve">CIRC005_LIQUIDATION_RIGHTS_PENDING_V1</w:t>
            </w:r>
          </w:p>
        </w:tc>
        <w:tc>
          <w:tcPr>
            <w:tcW w:w="1700" w:type="dxa"/>
            <w:shd w:val="clear" w:color="auto" w:fill="FFFFFF"/>
            <w:tcMar>
              <w:top w:w="80" w:type="dxa"/>
              <w:left w:w="100" w:type="dxa"/>
              <w:bottom w:w="80" w:type="dxa"/>
              <w:right w:w="100" w:type="dxa"/>
            </w:tcMar>
          </w:tcPr>
          <w:p>
            <w:pPr>
              <w:pStyle w:val="TableText"/>
            </w:pPr>
            <w:r>
              <w:t xml:space="preserve">PENDING_CONFIRMATION</w:t>
            </w:r>
          </w:p>
        </w:tc>
      </w:tr>
      <w:tr>
        <w:trPr>
          <w:cantSplit/>
        </w:trPr>
        <w:tc>
          <w:tcPr>
            <w:tcW w:w="1300" w:type="dxa"/>
            <w:shd w:val="clear" w:color="auto" w:fill="FFFFFF"/>
            <w:tcMar>
              <w:top w:w="80" w:type="dxa"/>
              <w:left w:w="100" w:type="dxa"/>
              <w:bottom w:w="80" w:type="dxa"/>
              <w:right w:w="100" w:type="dxa"/>
            </w:tcMar>
          </w:tcPr>
          <w:p>
            <w:pPr>
              <w:pStyle w:val="TableText"/>
            </w:pPr>
            <w:r>
              <w:t xml:space="preserve">CMP-0008</w:t>
            </w:r>
          </w:p>
        </w:tc>
        <w:tc>
          <w:tcPr>
            <w:tcW w:w="2300" w:type="dxa"/>
            <w:shd w:val="clear" w:color="auto" w:fill="FFFFFF"/>
            <w:tcMar>
              <w:top w:w="80" w:type="dxa"/>
              <w:left w:w="100" w:type="dxa"/>
              <w:bottom w:w="80" w:type="dxa"/>
              <w:right w:w="100" w:type="dxa"/>
            </w:tcMar>
          </w:tcPr>
          <w:p>
            <w:pPr>
              <w:pStyle w:val="TableText"/>
            </w:pPr>
            <w:r>
              <w:t xml:space="preserve">1.11 Cotation ou négociation</w:t>
            </w:r>
          </w:p>
        </w:tc>
        <w:tc>
          <w:tcPr>
            <w:tcW w:w="3200" w:type="dxa"/>
            <w:shd w:val="clear" w:color="auto" w:fill="FFFFFF"/>
            <w:tcMar>
              <w:top w:w="80" w:type="dxa"/>
              <w:left w:w="100" w:type="dxa"/>
              <w:bottom w:w="80" w:type="dxa"/>
              <w:right w:w="100" w:type="dxa"/>
            </w:tcMar>
          </w:tcPr>
          <w:p>
            <w:pPr>
              <w:pStyle w:val="TableText"/>
            </w:pPr>
            <w:r>
              <w:t xml:space="preserve">CIRC005_1_11_FCP_LISTING_TRADING</w:t>
            </w:r>
          </w:p>
        </w:tc>
        <w:tc>
          <w:tcPr>
            <w:tcW w:w="1800" w:type="dxa"/>
            <w:shd w:val="clear" w:color="auto" w:fill="FFFFFF"/>
            <w:tcMar>
              <w:top w:w="80" w:type="dxa"/>
              <w:left w:w="100" w:type="dxa"/>
              <w:bottom w:w="80" w:type="dxa"/>
              <w:right w:w="100" w:type="dxa"/>
            </w:tcMar>
          </w:tcPr>
          <w:p>
            <w:pPr>
              <w:pStyle w:val="TableText"/>
            </w:pPr>
            <w:r>
              <w:t xml:space="preserve">UMOA_FCP_NOT_LISTED_V1</w:t>
            </w:r>
          </w:p>
        </w:tc>
        <w:tc>
          <w:tcPr>
            <w:tcW w:w="1700" w:type="dxa"/>
            <w:shd w:val="clear" w:color="auto" w:fill="FFFFFF"/>
            <w:tcMar>
              <w:top w:w="80" w:type="dxa"/>
              <w:left w:w="100" w:type="dxa"/>
              <w:bottom w:w="80" w:type="dxa"/>
              <w:right w:w="100" w:type="dxa"/>
            </w:tcMar>
          </w:tcPr>
          <w:p>
            <w:pPr>
              <w:pStyle w:val="TableText"/>
            </w:pPr>
            <w:r>
              <w:t xml:space="preserve">PENDING_LEGAL_REVIEW</w:t>
            </w:r>
          </w:p>
        </w:tc>
      </w:tr>
      <w:tr>
        <w:trPr>
          <w:cantSplit/>
        </w:trPr>
        <w:tc>
          <w:tcPr>
            <w:tcW w:w="1300" w:type="dxa"/>
            <w:shd w:val="clear" w:color="auto" w:fill="FFFFFF"/>
            <w:tcMar>
              <w:top w:w="80" w:type="dxa"/>
              <w:left w:w="100" w:type="dxa"/>
              <w:bottom w:w="80" w:type="dxa"/>
              <w:right w:w="100" w:type="dxa"/>
            </w:tcMar>
          </w:tcPr>
          <w:p>
            <w:pPr>
              <w:pStyle w:val="TableText"/>
            </w:pPr>
            <w:r>
              <w:t xml:space="preserve">CMP-0038</w:t>
            </w:r>
          </w:p>
        </w:tc>
        <w:tc>
          <w:tcPr>
            <w:tcW w:w="2300" w:type="dxa"/>
            <w:shd w:val="clear" w:color="auto" w:fill="FFFFFF"/>
            <w:tcMar>
              <w:top w:w="80" w:type="dxa"/>
              <w:left w:w="100" w:type="dxa"/>
              <w:bottom w:w="80" w:type="dxa"/>
              <w:right w:w="100" w:type="dxa"/>
            </w:tcMar>
          </w:tcPr>
          <w:p>
            <w:pPr>
              <w:pStyle w:val="TableText"/>
            </w:pPr>
            <w:r>
              <w:t xml:space="preserve">1.12 Émission et vente</w:t>
            </w:r>
          </w:p>
        </w:tc>
        <w:tc>
          <w:tcPr>
            <w:tcW w:w="3200" w:type="dxa"/>
            <w:shd w:val="clear" w:color="auto" w:fill="FFFFFF"/>
            <w:tcMar>
              <w:top w:w="80" w:type="dxa"/>
              <w:left w:w="100" w:type="dxa"/>
              <w:bottom w:w="80" w:type="dxa"/>
              <w:right w:w="100" w:type="dxa"/>
            </w:tcMar>
          </w:tcPr>
          <w:p>
            <w:pPr>
              <w:pStyle w:val="TableText"/>
            </w:pPr>
            <w:r>
              <w:t xml:space="preserve">CIRC005_1_12_FCP_ISSUE_SALE</w:t>
            </w:r>
          </w:p>
        </w:tc>
        <w:tc>
          <w:tcPr>
            <w:tcW w:w="1800" w:type="dxa"/>
            <w:shd w:val="clear" w:color="auto" w:fill="FFFFFF"/>
            <w:tcMar>
              <w:top w:w="80" w:type="dxa"/>
              <w:left w:w="100" w:type="dxa"/>
              <w:bottom w:w="80" w:type="dxa"/>
              <w:right w:w="100" w:type="dxa"/>
            </w:tcMar>
          </w:tcPr>
          <w:p>
            <w:pPr>
              <w:pStyle w:val="TableText"/>
            </w:pPr>
            <w:r>
              <w:t xml:space="preserve">CIRC005_ISSUE_AND_SALE_V1</w:t>
            </w:r>
          </w:p>
        </w:tc>
        <w:tc>
          <w:tcPr>
            <w:tcW w:w="1700" w:type="dxa"/>
            <w:shd w:val="clear" w:color="auto" w:fill="FFFFFF"/>
            <w:tcMar>
              <w:top w:w="80" w:type="dxa"/>
              <w:left w:w="100" w:type="dxa"/>
              <w:bottom w:w="80" w:type="dxa"/>
              <w:right w:w="100" w:type="dxa"/>
            </w:tcMar>
          </w:tcPr>
          <w:p>
            <w:pPr>
              <w:pStyle w:val="TableText"/>
            </w:pPr>
            <w:r>
              <w:t xml:space="preserve">PENDING_LEGAL_REVIEW</w:t>
            </w:r>
          </w:p>
        </w:tc>
      </w:tr>
      <w:tr>
        <w:trPr>
          <w:cantSplit/>
        </w:trPr>
        <w:tc>
          <w:tcPr>
            <w:tcW w:w="1300" w:type="dxa"/>
            <w:shd w:val="clear" w:color="auto" w:fill="FFFFFF"/>
            <w:tcMar>
              <w:top w:w="80" w:type="dxa"/>
              <w:left w:w="100" w:type="dxa"/>
              <w:bottom w:w="80" w:type="dxa"/>
              <w:right w:w="100" w:type="dxa"/>
            </w:tcMar>
          </w:tcPr>
          <w:p>
            <w:pPr>
              <w:pStyle w:val="TableText"/>
            </w:pPr>
            <w:r>
              <w:t xml:space="preserve">CMP-0013</w:t>
            </w:r>
          </w:p>
        </w:tc>
        <w:tc>
          <w:tcPr>
            <w:tcW w:w="2300" w:type="dxa"/>
            <w:shd w:val="clear" w:color="auto" w:fill="FFFFFF"/>
            <w:tcMar>
              <w:top w:w="80" w:type="dxa"/>
              <w:left w:w="100" w:type="dxa"/>
              <w:bottom w:w="80" w:type="dxa"/>
              <w:right w:w="100" w:type="dxa"/>
            </w:tcMar>
          </w:tcPr>
          <w:p>
            <w:pPr>
              <w:pStyle w:val="TableText"/>
            </w:pPr>
            <w:r>
              <w:t xml:space="preserve">1.13 Rachat, remboursement et suspension</w:t>
            </w:r>
          </w:p>
        </w:tc>
        <w:tc>
          <w:tcPr>
            <w:tcW w:w="3200" w:type="dxa"/>
            <w:shd w:val="clear" w:color="auto" w:fill="FFFFFF"/>
            <w:tcMar>
              <w:top w:w="80" w:type="dxa"/>
              <w:left w:w="100" w:type="dxa"/>
              <w:bottom w:w="80" w:type="dxa"/>
              <w:right w:w="100" w:type="dxa"/>
            </w:tcMar>
          </w:tcPr>
          <w:p>
            <w:pPr>
              <w:pStyle w:val="TableText"/>
            </w:pPr>
            <w:r>
              <w:t xml:space="preserve">CIRC005_1_13_FCP_REDEMPTION_REIMBURSEMENT</w:t>
            </w:r>
          </w:p>
        </w:tc>
        <w:tc>
          <w:tcPr>
            <w:tcW w:w="1800" w:type="dxa"/>
            <w:shd w:val="clear" w:color="auto" w:fill="FFFFFF"/>
            <w:tcMar>
              <w:top w:w="80" w:type="dxa"/>
              <w:left w:w="100" w:type="dxa"/>
              <w:bottom w:w="80" w:type="dxa"/>
              <w:right w:w="100" w:type="dxa"/>
            </w:tcMar>
          </w:tcPr>
          <w:p>
            <w:pPr>
              <w:pStyle w:val="TableText"/>
            </w:pPr>
            <w:r>
              <w:t xml:space="preserve">UMOA_FCP_REDEMPTION_V1</w:t>
            </w:r>
          </w:p>
        </w:tc>
        <w:tc>
          <w:tcPr>
            <w:tcW w:w="1700" w:type="dxa"/>
            <w:shd w:val="clear" w:color="auto" w:fill="FFFFFF"/>
            <w:tcMar>
              <w:top w:w="80" w:type="dxa"/>
              <w:left w:w="100" w:type="dxa"/>
              <w:bottom w:w="80" w:type="dxa"/>
              <w:right w:w="100" w:type="dxa"/>
            </w:tcMar>
          </w:tcPr>
          <w:p>
            <w:pPr>
              <w:pStyle w:val="TableText"/>
            </w:pPr>
            <w:r>
              <w:t xml:space="preserve">PENDING_LEGAL_REVIEW</w:t>
            </w:r>
          </w:p>
        </w:tc>
      </w:tr>
      <w:tr>
        <w:trPr>
          <w:cantSplit/>
        </w:trPr>
        <w:tc>
          <w:tcPr>
            <w:tcW w:w="1300" w:type="dxa"/>
            <w:shd w:val="clear" w:color="auto" w:fill="FFFFFF"/>
            <w:tcMar>
              <w:top w:w="80" w:type="dxa"/>
              <w:left w:w="100" w:type="dxa"/>
              <w:bottom w:w="80" w:type="dxa"/>
              <w:right w:w="100" w:type="dxa"/>
            </w:tcMar>
          </w:tcPr>
          <w:p>
            <w:pPr>
              <w:pStyle w:val="TableText"/>
            </w:pPr>
            <w:r>
              <w:t xml:space="preserve">CMP-0014</w:t>
            </w:r>
          </w:p>
        </w:tc>
        <w:tc>
          <w:tcPr>
            <w:tcW w:w="2300" w:type="dxa"/>
            <w:shd w:val="clear" w:color="auto" w:fill="FFFFFF"/>
            <w:tcMar>
              <w:top w:w="80" w:type="dxa"/>
              <w:left w:w="100" w:type="dxa"/>
              <w:bottom w:w="80" w:type="dxa"/>
              <w:right w:w="100" w:type="dxa"/>
            </w:tcMar>
          </w:tcPr>
          <w:p>
            <w:pPr>
              <w:pStyle w:val="TableText"/>
            </w:pPr>
            <w:r>
              <w:t xml:space="preserve">1.13 Rachat, remboursement et suspension</w:t>
            </w:r>
          </w:p>
        </w:tc>
        <w:tc>
          <w:tcPr>
            <w:tcW w:w="3200" w:type="dxa"/>
            <w:shd w:val="clear" w:color="auto" w:fill="FFFFFF"/>
            <w:tcMar>
              <w:top w:w="80" w:type="dxa"/>
              <w:left w:w="100" w:type="dxa"/>
              <w:bottom w:w="80" w:type="dxa"/>
              <w:right w:w="100" w:type="dxa"/>
            </w:tcMar>
          </w:tcPr>
          <w:p>
            <w:pPr>
              <w:pStyle w:val="TableText"/>
            </w:pPr>
            <w:r>
              <w:t xml:space="preserve">CIRC005_1_13_FCP_SUSPENSION</w:t>
            </w:r>
          </w:p>
        </w:tc>
        <w:tc>
          <w:tcPr>
            <w:tcW w:w="1800" w:type="dxa"/>
            <w:shd w:val="clear" w:color="auto" w:fill="FFFFFF"/>
            <w:tcMar>
              <w:top w:w="80" w:type="dxa"/>
              <w:left w:w="100" w:type="dxa"/>
              <w:bottom w:w="80" w:type="dxa"/>
              <w:right w:w="100" w:type="dxa"/>
            </w:tcMar>
          </w:tcPr>
          <w:p>
            <w:pPr>
              <w:pStyle w:val="TableText"/>
            </w:pPr>
            <w:r>
              <w:t xml:space="preserve">UMOA_FCP_REDEMPTION_SUSPENSION_V1</w:t>
            </w:r>
          </w:p>
        </w:tc>
        <w:tc>
          <w:tcPr>
            <w:tcW w:w="1700" w:type="dxa"/>
            <w:shd w:val="clear" w:color="auto" w:fill="FFFFFF"/>
            <w:tcMar>
              <w:top w:w="80" w:type="dxa"/>
              <w:left w:w="100" w:type="dxa"/>
              <w:bottom w:w="80" w:type="dxa"/>
              <w:right w:w="100" w:type="dxa"/>
            </w:tcMar>
          </w:tcPr>
          <w:p>
            <w:pPr>
              <w:pStyle w:val="TableText"/>
            </w:pPr>
            <w:r>
              <w:t xml:space="preserve">PENDING_LEGAL_REVIEW</w:t>
            </w:r>
          </w:p>
        </w:tc>
      </w:tr>
      <w:tr>
        <w:trPr>
          <w:cantSplit/>
        </w:trPr>
        <w:tc>
          <w:tcPr>
            <w:tcW w:w="1300" w:type="dxa"/>
            <w:shd w:val="clear" w:color="auto" w:fill="FFFFFF"/>
            <w:tcMar>
              <w:top w:w="80" w:type="dxa"/>
              <w:left w:w="100" w:type="dxa"/>
              <w:bottom w:w="80" w:type="dxa"/>
              <w:right w:w="100" w:type="dxa"/>
            </w:tcMar>
          </w:tcPr>
          <w:p>
            <w:pPr>
              <w:pStyle w:val="TableText"/>
            </w:pPr>
            <w:r>
              <w:t xml:space="preserve">CMP-0015</w:t>
            </w:r>
          </w:p>
        </w:tc>
        <w:tc>
          <w:tcPr>
            <w:tcW w:w="2300" w:type="dxa"/>
            <w:shd w:val="clear" w:color="auto" w:fill="FFFFFF"/>
            <w:tcMar>
              <w:top w:w="80" w:type="dxa"/>
              <w:left w:w="100" w:type="dxa"/>
              <w:bottom w:w="80" w:type="dxa"/>
              <w:right w:w="100" w:type="dxa"/>
            </w:tcMar>
          </w:tcPr>
          <w:p>
            <w:pPr>
              <w:pStyle w:val="TableText"/>
            </w:pPr>
            <w:r>
              <w:t xml:space="preserve">1.13 Rachat, remboursement et suspension</w:t>
            </w:r>
          </w:p>
        </w:tc>
        <w:tc>
          <w:tcPr>
            <w:tcW w:w="3200" w:type="dxa"/>
            <w:shd w:val="clear" w:color="auto" w:fill="FFFFFF"/>
            <w:tcMar>
              <w:top w:w="80" w:type="dxa"/>
              <w:left w:w="100" w:type="dxa"/>
              <w:bottom w:w="80" w:type="dxa"/>
              <w:right w:w="100" w:type="dxa"/>
            </w:tcMar>
          </w:tcPr>
          <w:p>
            <w:pPr>
              <w:pStyle w:val="TableText"/>
            </w:pPr>
            <w:r>
              <w:t xml:space="preserve">CIRC005_1_13_FCP_REDEMPTION_REIMBURSEMENT, CIRC005_1_13_FCP_SUSPENSION</w:t>
            </w:r>
          </w:p>
        </w:tc>
        <w:tc>
          <w:tcPr>
            <w:tcW w:w="1800" w:type="dxa"/>
            <w:shd w:val="clear" w:color="auto" w:fill="FFFFFF"/>
            <w:tcMar>
              <w:top w:w="80" w:type="dxa"/>
              <w:left w:w="100" w:type="dxa"/>
              <w:bottom w:w="80" w:type="dxa"/>
              <w:right w:w="100" w:type="dxa"/>
            </w:tcMar>
          </w:tcPr>
          <w:p>
            <w:pPr>
              <w:pStyle w:val="TableText"/>
            </w:pPr>
            <w:r>
              <w:t xml:space="preserve">UMOA_FCP_REDEMPTION_GATE_V1</w:t>
            </w:r>
          </w:p>
        </w:tc>
        <w:tc>
          <w:tcPr>
            <w:tcW w:w="1700" w:type="dxa"/>
            <w:shd w:val="clear" w:color="auto" w:fill="FFFFFF"/>
            <w:tcMar>
              <w:top w:w="80" w:type="dxa"/>
              <w:left w:w="100" w:type="dxa"/>
              <w:bottom w:w="80" w:type="dxa"/>
              <w:right w:w="100" w:type="dxa"/>
            </w:tcMar>
          </w:tcPr>
          <w:p>
            <w:pPr>
              <w:pStyle w:val="TableText"/>
            </w:pPr>
            <w:r>
              <w:t xml:space="preserve">PENDING_LEGAL_REVIEW</w:t>
            </w:r>
          </w:p>
        </w:tc>
      </w:tr>
      <w:tr>
        <w:trPr>
          <w:cantSplit/>
        </w:trPr>
        <w:tc>
          <w:tcPr>
            <w:tcW w:w="1300" w:type="dxa"/>
            <w:shd w:val="clear" w:color="auto" w:fill="FFFFFF"/>
            <w:tcMar>
              <w:top w:w="80" w:type="dxa"/>
              <w:left w:w="100" w:type="dxa"/>
              <w:bottom w:w="80" w:type="dxa"/>
              <w:right w:w="100" w:type="dxa"/>
            </w:tcMar>
          </w:tcPr>
          <w:p>
            <w:pPr>
              <w:pStyle w:val="TableText"/>
            </w:pPr>
            <w:r>
              <w:t xml:space="preserve">CMP-0009</w:t>
            </w:r>
          </w:p>
        </w:tc>
        <w:tc>
          <w:tcPr>
            <w:tcW w:w="2300" w:type="dxa"/>
            <w:shd w:val="clear" w:color="auto" w:fill="FFFFFF"/>
            <w:tcMar>
              <w:top w:w="80" w:type="dxa"/>
              <w:left w:w="100" w:type="dxa"/>
              <w:bottom w:w="80" w:type="dxa"/>
              <w:right w:w="100" w:type="dxa"/>
            </w:tcMar>
          </w:tcPr>
          <w:p>
            <w:pPr>
              <w:pStyle w:val="TableText"/>
            </w:pPr>
            <w:r>
              <w:t xml:space="preserve">1.14 Détermination et affectation des revenus</w:t>
            </w:r>
          </w:p>
        </w:tc>
        <w:tc>
          <w:tcPr>
            <w:tcW w:w="3200" w:type="dxa"/>
            <w:shd w:val="clear" w:color="auto" w:fill="FFFFFF"/>
            <w:tcMar>
              <w:top w:w="80" w:type="dxa"/>
              <w:left w:w="100" w:type="dxa"/>
              <w:bottom w:w="80" w:type="dxa"/>
              <w:right w:w="100" w:type="dxa"/>
            </w:tcMar>
          </w:tcPr>
          <w:p>
            <w:pPr>
              <w:pStyle w:val="TableText"/>
            </w:pPr>
            <w:r>
              <w:t xml:space="preserve">CIRC005_1_14_FCP_INCOME_DETERMINATION, CIRC005_1_14_FCP_INCOME_ALLOCATION, CIRC005_1_6_FCP_DISTRIBUTION_DATES</w:t>
            </w:r>
          </w:p>
        </w:tc>
        <w:tc>
          <w:tcPr>
            <w:tcW w:w="1800" w:type="dxa"/>
            <w:shd w:val="clear" w:color="auto" w:fill="FFFFFF"/>
            <w:tcMar>
              <w:top w:w="80" w:type="dxa"/>
              <w:left w:w="100" w:type="dxa"/>
              <w:bottom w:w="80" w:type="dxa"/>
              <w:right w:w="100" w:type="dxa"/>
            </w:tcMar>
          </w:tcPr>
          <w:p>
            <w:pPr>
              <w:pStyle w:val="TableText"/>
            </w:pPr>
            <w:r>
              <w:t xml:space="preserve">UMOA_FCP_CAPITALIZATION_V1</w:t>
            </w:r>
          </w:p>
        </w:tc>
        <w:tc>
          <w:tcPr>
            <w:tcW w:w="1700" w:type="dxa"/>
            <w:shd w:val="clear" w:color="auto" w:fill="FFFFFF"/>
            <w:tcMar>
              <w:top w:w="80" w:type="dxa"/>
              <w:left w:w="100" w:type="dxa"/>
              <w:bottom w:w="80" w:type="dxa"/>
              <w:right w:w="100" w:type="dxa"/>
            </w:tcMar>
          </w:tcPr>
          <w:p>
            <w:pPr>
              <w:pStyle w:val="TableText"/>
            </w:pPr>
            <w:r>
              <w:t xml:space="preserve">PENDING_LEGAL_REVIEW</w:t>
            </w:r>
          </w:p>
        </w:tc>
      </w:tr>
      <w:tr>
        <w:trPr>
          <w:cantSplit/>
        </w:trPr>
        <w:tc>
          <w:tcPr>
            <w:tcW w:w="1300" w:type="dxa"/>
            <w:shd w:val="clear" w:color="auto" w:fill="FFFFFF"/>
            <w:tcMar>
              <w:top w:w="80" w:type="dxa"/>
              <w:left w:w="100" w:type="dxa"/>
              <w:bottom w:w="80" w:type="dxa"/>
              <w:right w:w="100" w:type="dxa"/>
            </w:tcMar>
          </w:tcPr>
          <w:p>
            <w:pPr>
              <w:pStyle w:val="TableText"/>
            </w:pPr>
            <w:r>
              <w:t xml:space="preserve">CMP-0010</w:t>
            </w:r>
          </w:p>
        </w:tc>
        <w:tc>
          <w:tcPr>
            <w:tcW w:w="2300" w:type="dxa"/>
            <w:shd w:val="clear" w:color="auto" w:fill="FFFFFF"/>
            <w:tcMar>
              <w:top w:w="80" w:type="dxa"/>
              <w:left w:w="100" w:type="dxa"/>
              <w:bottom w:w="80" w:type="dxa"/>
              <w:right w:w="100" w:type="dxa"/>
            </w:tcMar>
          </w:tcPr>
          <w:p>
            <w:pPr>
              <w:pStyle w:val="TableText"/>
            </w:pPr>
            <w:r>
              <w:t xml:space="preserve">1.15 Objectifs et politique d’investissement</w:t>
            </w:r>
          </w:p>
        </w:tc>
        <w:tc>
          <w:tcPr>
            <w:tcW w:w="3200" w:type="dxa"/>
            <w:shd w:val="clear" w:color="auto" w:fill="FFFFFF"/>
            <w:tcMar>
              <w:top w:w="80" w:type="dxa"/>
              <w:left w:w="100" w:type="dxa"/>
              <w:bottom w:w="80" w:type="dxa"/>
              <w:right w:w="100" w:type="dxa"/>
            </w:tcMar>
          </w:tcPr>
          <w:p>
            <w:pPr>
              <w:pStyle w:val="TableText"/>
            </w:pPr>
            <w:r>
              <w:t xml:space="preserve">CIRC005_1_15_A_FCP_FINANCIAL_OBJECTIVES, CIRC005_1_15_B_FCP_PLACEMENT_POLICY</w:t>
            </w:r>
          </w:p>
        </w:tc>
        <w:tc>
          <w:tcPr>
            <w:tcW w:w="1800" w:type="dxa"/>
            <w:shd w:val="clear" w:color="auto" w:fill="FFFFFF"/>
            <w:tcMar>
              <w:top w:w="80" w:type="dxa"/>
              <w:left w:w="100" w:type="dxa"/>
              <w:bottom w:w="80" w:type="dxa"/>
              <w:right w:w="100" w:type="dxa"/>
            </w:tcMar>
          </w:tcPr>
          <w:p>
            <w:pPr>
              <w:pStyle w:val="TableText"/>
            </w:pPr>
            <w:r>
              <w:t xml:space="preserve">UMOA_FCP_ACTIVE_MANAGEMENT_V1</w:t>
            </w:r>
          </w:p>
        </w:tc>
        <w:tc>
          <w:tcPr>
            <w:tcW w:w="1700" w:type="dxa"/>
            <w:shd w:val="clear" w:color="auto" w:fill="FFFFFF"/>
            <w:tcMar>
              <w:top w:w="80" w:type="dxa"/>
              <w:left w:w="100" w:type="dxa"/>
              <w:bottom w:w="80" w:type="dxa"/>
              <w:right w:w="100" w:type="dxa"/>
            </w:tcMar>
          </w:tcPr>
          <w:p>
            <w:pPr>
              <w:pStyle w:val="TableText"/>
            </w:pPr>
            <w:r>
              <w:t xml:space="preserve">PENDING_LEGAL_REVIEW</w:t>
            </w:r>
          </w:p>
        </w:tc>
      </w:tr>
      <w:tr>
        <w:trPr>
          <w:cantSplit/>
        </w:trPr>
        <w:tc>
          <w:tcPr>
            <w:tcW w:w="1300" w:type="dxa"/>
            <w:shd w:val="clear" w:color="auto" w:fill="FFFFFF"/>
            <w:tcMar>
              <w:top w:w="80" w:type="dxa"/>
              <w:left w:w="100" w:type="dxa"/>
              <w:bottom w:w="80" w:type="dxa"/>
              <w:right w:w="100" w:type="dxa"/>
            </w:tcMar>
          </w:tcPr>
          <w:p>
            <w:pPr>
              <w:pStyle w:val="TableText"/>
            </w:pPr>
            <w:r>
              <w:t xml:space="preserve">CMP-0011</w:t>
            </w:r>
          </w:p>
        </w:tc>
        <w:tc>
          <w:tcPr>
            <w:tcW w:w="2300" w:type="dxa"/>
            <w:shd w:val="clear" w:color="auto" w:fill="FFFFFF"/>
            <w:tcMar>
              <w:top w:w="80" w:type="dxa"/>
              <w:left w:w="100" w:type="dxa"/>
              <w:bottom w:w="80" w:type="dxa"/>
              <w:right w:w="100" w:type="dxa"/>
            </w:tcMar>
          </w:tcPr>
          <w:p>
            <w:pPr>
              <w:pStyle w:val="TableText"/>
            </w:pPr>
            <w:r>
              <w:t xml:space="preserve">1.15 Objectifs et politique d’investissement</w:t>
            </w:r>
          </w:p>
        </w:tc>
        <w:tc>
          <w:tcPr>
            <w:tcW w:w="3200" w:type="dxa"/>
            <w:shd w:val="clear" w:color="auto" w:fill="FFFFFF"/>
            <w:tcMar>
              <w:top w:w="80" w:type="dxa"/>
              <w:left w:w="100" w:type="dxa"/>
              <w:bottom w:w="80" w:type="dxa"/>
              <w:right w:w="100" w:type="dxa"/>
            </w:tcMar>
          </w:tcPr>
          <w:p>
            <w:pPr>
              <w:pStyle w:val="TableText"/>
            </w:pPr>
            <w:r>
              <w:t xml:space="preserve">CIRC005_1_15_A_FCP_FINANCIAL_OBJECTIVES</w:t>
            </w:r>
          </w:p>
        </w:tc>
        <w:tc>
          <w:tcPr>
            <w:tcW w:w="1800" w:type="dxa"/>
            <w:shd w:val="clear" w:color="auto" w:fill="FFFFFF"/>
            <w:tcMar>
              <w:top w:w="80" w:type="dxa"/>
              <w:left w:w="100" w:type="dxa"/>
              <w:bottom w:w="80" w:type="dxa"/>
              <w:right w:w="100" w:type="dxa"/>
            </w:tcMar>
          </w:tcPr>
          <w:p>
            <w:pPr>
              <w:pStyle w:val="TableText"/>
            </w:pPr>
            <w:r>
              <w:t xml:space="preserve">UMOA_FCP_BENCHMARK_V1</w:t>
            </w:r>
          </w:p>
        </w:tc>
        <w:tc>
          <w:tcPr>
            <w:tcW w:w="1700" w:type="dxa"/>
            <w:shd w:val="clear" w:color="auto" w:fill="FFFFFF"/>
            <w:tcMar>
              <w:top w:w="80" w:type="dxa"/>
              <w:left w:w="100" w:type="dxa"/>
              <w:bottom w:w="80" w:type="dxa"/>
              <w:right w:w="100" w:type="dxa"/>
            </w:tcMar>
          </w:tcPr>
          <w:p>
            <w:pPr>
              <w:pStyle w:val="TableText"/>
            </w:pPr>
            <w:r>
              <w:t xml:space="preserve">PENDING_LEGAL_REVIEW</w:t>
            </w:r>
          </w:p>
        </w:tc>
      </w:tr>
      <w:tr>
        <w:trPr>
          <w:cantSplit/>
        </w:trPr>
        <w:tc>
          <w:tcPr>
            <w:tcW w:w="1300" w:type="dxa"/>
            <w:shd w:val="clear" w:color="auto" w:fill="FFFFFF"/>
            <w:tcMar>
              <w:top w:w="80" w:type="dxa"/>
              <w:left w:w="100" w:type="dxa"/>
              <w:bottom w:w="80" w:type="dxa"/>
              <w:right w:w="100" w:type="dxa"/>
            </w:tcMar>
          </w:tcPr>
          <w:p>
            <w:pPr>
              <w:pStyle w:val="TableText"/>
            </w:pPr>
            <w:r>
              <w:t xml:space="preserve">CMP-0012</w:t>
            </w:r>
          </w:p>
        </w:tc>
        <w:tc>
          <w:tcPr>
            <w:tcW w:w="2300" w:type="dxa"/>
            <w:shd w:val="clear" w:color="auto" w:fill="FFFFFF"/>
            <w:tcMar>
              <w:top w:w="80" w:type="dxa"/>
              <w:left w:w="100" w:type="dxa"/>
              <w:bottom w:w="80" w:type="dxa"/>
              <w:right w:w="100" w:type="dxa"/>
            </w:tcMar>
          </w:tcPr>
          <w:p>
            <w:pPr>
              <w:pStyle w:val="TableText"/>
            </w:pPr>
            <w:r>
              <w:t xml:space="preserve">1.15 Objectifs et politique d’investissement</w:t>
            </w:r>
          </w:p>
        </w:tc>
        <w:tc>
          <w:tcPr>
            <w:tcW w:w="3200" w:type="dxa"/>
            <w:shd w:val="clear" w:color="auto" w:fill="FFFFFF"/>
            <w:tcMar>
              <w:top w:w="80" w:type="dxa"/>
              <w:left w:w="100" w:type="dxa"/>
              <w:bottom w:w="80" w:type="dxa"/>
              <w:right w:w="100" w:type="dxa"/>
            </w:tcMar>
          </w:tcPr>
          <w:p>
            <w:pPr>
              <w:pStyle w:val="TableText"/>
            </w:pPr>
            <w:r>
              <w:t xml:space="preserve">CIRC005_1_15_F_FCP_BORROWING_CAPACITY</w:t>
            </w:r>
          </w:p>
        </w:tc>
        <w:tc>
          <w:tcPr>
            <w:tcW w:w="1800" w:type="dxa"/>
            <w:shd w:val="clear" w:color="auto" w:fill="FFFFFF"/>
            <w:tcMar>
              <w:top w:w="80" w:type="dxa"/>
              <w:left w:w="100" w:type="dxa"/>
              <w:bottom w:w="80" w:type="dxa"/>
              <w:right w:w="100" w:type="dxa"/>
            </w:tcMar>
          </w:tcPr>
          <w:p>
            <w:pPr>
              <w:pStyle w:val="TableText"/>
            </w:pPr>
            <w:r>
              <w:t xml:space="preserve">UMOA_FCP_BORROWING_V1</w:t>
            </w:r>
          </w:p>
        </w:tc>
        <w:tc>
          <w:tcPr>
            <w:tcW w:w="1700" w:type="dxa"/>
            <w:shd w:val="clear" w:color="auto" w:fill="FFFFFF"/>
            <w:tcMar>
              <w:top w:w="80" w:type="dxa"/>
              <w:left w:w="100" w:type="dxa"/>
              <w:bottom w:w="80" w:type="dxa"/>
              <w:right w:w="100" w:type="dxa"/>
            </w:tcMar>
          </w:tcPr>
          <w:p>
            <w:pPr>
              <w:pStyle w:val="TableText"/>
            </w:pPr>
            <w:r>
              <w:t xml:space="preserve">PENDING_LEGAL_REVIEW</w:t>
            </w:r>
          </w:p>
        </w:tc>
      </w:tr>
      <w:tr>
        <w:trPr>
          <w:cantSplit/>
        </w:trPr>
        <w:tc>
          <w:tcPr>
            <w:tcW w:w="1300" w:type="dxa"/>
            <w:shd w:val="clear" w:color="auto" w:fill="FFFFFF"/>
            <w:tcMar>
              <w:top w:w="80" w:type="dxa"/>
              <w:left w:w="100" w:type="dxa"/>
              <w:bottom w:w="80" w:type="dxa"/>
              <w:right w:w="100" w:type="dxa"/>
            </w:tcMar>
          </w:tcPr>
          <w:p>
            <w:pPr>
              <w:pStyle w:val="TableText"/>
            </w:pPr>
            <w:r>
              <w:t xml:space="preserve">CMP-0022</w:t>
            </w:r>
          </w:p>
        </w:tc>
        <w:tc>
          <w:tcPr>
            <w:tcW w:w="2300" w:type="dxa"/>
            <w:shd w:val="clear" w:color="auto" w:fill="FFFFFF"/>
            <w:tcMar>
              <w:top w:w="80" w:type="dxa"/>
              <w:left w:w="100" w:type="dxa"/>
              <w:bottom w:w="80" w:type="dxa"/>
              <w:right w:w="100" w:type="dxa"/>
            </w:tcMar>
          </w:tcPr>
          <w:p>
            <w:pPr>
              <w:pStyle w:val="TableText"/>
            </w:pPr>
            <w:r>
              <w:t xml:space="preserve">1.15 Objectifs et politique d’investissement</w:t>
            </w:r>
          </w:p>
        </w:tc>
        <w:tc>
          <w:tcPr>
            <w:tcW w:w="3200" w:type="dxa"/>
            <w:shd w:val="clear" w:color="auto" w:fill="FFFFFF"/>
            <w:tcMar>
              <w:top w:w="80" w:type="dxa"/>
              <w:left w:w="100" w:type="dxa"/>
              <w:bottom w:w="80" w:type="dxa"/>
              <w:right w:w="100" w:type="dxa"/>
            </w:tcMar>
          </w:tcPr>
          <w:p>
            <w:pPr>
              <w:pStyle w:val="TableText"/>
            </w:pPr>
            <w:r>
              <w:t xml:space="preserve">CIRC005_1_15_B_FCP_PLACEMENT_POLICY, CIRC005_1_15_D_FCP_POLICY_LIMITS, CIRC005_1_15_E_FCP_TECHNIQUES_INSTRUMENTS</w:t>
            </w:r>
          </w:p>
        </w:tc>
        <w:tc>
          <w:tcPr>
            <w:tcW w:w="1800" w:type="dxa"/>
            <w:shd w:val="clear" w:color="auto" w:fill="FFFFFF"/>
            <w:tcMar>
              <w:top w:w="80" w:type="dxa"/>
              <w:left w:w="100" w:type="dxa"/>
              <w:bottom w:w="80" w:type="dxa"/>
              <w:right w:w="100" w:type="dxa"/>
            </w:tcMar>
          </w:tcPr>
          <w:p>
            <w:pPr>
              <w:pStyle w:val="TableText"/>
            </w:pPr>
            <w:r>
              <w:t xml:space="preserve">—</w:t>
            </w:r>
          </w:p>
        </w:tc>
        <w:tc>
          <w:tcPr>
            <w:tcW w:w="1700" w:type="dxa"/>
            <w:shd w:val="clear" w:color="auto" w:fill="FFFFFF"/>
            <w:tcMar>
              <w:top w:w="80" w:type="dxa"/>
              <w:left w:w="100" w:type="dxa"/>
              <w:bottom w:w="80" w:type="dxa"/>
              <w:right w:w="100" w:type="dxa"/>
            </w:tcMar>
          </w:tcPr>
          <w:p>
            <w:pPr>
              <w:pStyle w:val="TableText"/>
            </w:pPr>
            <w:r>
              <w:t xml:space="preserve">PENDING_RISK_AND_COMPLIANCE_REVIEW</w:t>
            </w:r>
          </w:p>
        </w:tc>
      </w:tr>
      <w:tr>
        <w:trPr>
          <w:cantSplit/>
        </w:trPr>
        <w:tc>
          <w:tcPr>
            <w:tcW w:w="1300" w:type="dxa"/>
            <w:shd w:val="clear" w:color="auto" w:fill="FFFFFF"/>
            <w:tcMar>
              <w:top w:w="80" w:type="dxa"/>
              <w:left w:w="100" w:type="dxa"/>
              <w:bottom w:w="80" w:type="dxa"/>
              <w:right w:w="100" w:type="dxa"/>
            </w:tcMar>
          </w:tcPr>
          <w:p>
            <w:pPr>
              <w:pStyle w:val="TableText"/>
            </w:pPr>
            <w:r>
              <w:t xml:space="preserve">CMP-0023</w:t>
            </w:r>
          </w:p>
        </w:tc>
        <w:tc>
          <w:tcPr>
            <w:tcW w:w="2300" w:type="dxa"/>
            <w:shd w:val="clear" w:color="auto" w:fill="FFFFFF"/>
            <w:tcMar>
              <w:top w:w="80" w:type="dxa"/>
              <w:left w:w="100" w:type="dxa"/>
              <w:bottom w:w="80" w:type="dxa"/>
              <w:right w:w="100" w:type="dxa"/>
            </w:tcMar>
          </w:tcPr>
          <w:p>
            <w:pPr>
              <w:pStyle w:val="TableText"/>
            </w:pPr>
            <w:r>
              <w:t xml:space="preserve">1.15 Objectifs et politique d’investissement</w:t>
            </w:r>
          </w:p>
        </w:tc>
        <w:tc>
          <w:tcPr>
            <w:tcW w:w="3200" w:type="dxa"/>
            <w:shd w:val="clear" w:color="auto" w:fill="FFFFFF"/>
            <w:tcMar>
              <w:top w:w="80" w:type="dxa"/>
              <w:left w:w="100" w:type="dxa"/>
              <w:bottom w:w="80" w:type="dxa"/>
              <w:right w:w="100" w:type="dxa"/>
            </w:tcMar>
          </w:tcPr>
          <w:p>
            <w:pPr>
              <w:pStyle w:val="TableText"/>
            </w:pPr>
            <w:r>
              <w:t xml:space="preserve">CIRC005_1_15_FCP_INVESTMENT_OBJECTIVES_POLICY</w:t>
            </w:r>
          </w:p>
        </w:tc>
        <w:tc>
          <w:tcPr>
            <w:tcW w:w="1800" w:type="dxa"/>
            <w:shd w:val="clear" w:color="auto" w:fill="FFFFFF"/>
            <w:tcMar>
              <w:top w:w="80" w:type="dxa"/>
              <w:left w:w="100" w:type="dxa"/>
              <w:bottom w:w="80" w:type="dxa"/>
              <w:right w:w="100" w:type="dxa"/>
            </w:tcMar>
          </w:tcPr>
          <w:p>
            <w:pPr>
              <w:pStyle w:val="TableText"/>
            </w:pPr>
            <w:r>
              <w:t xml:space="preserve">—</w:t>
            </w:r>
          </w:p>
        </w:tc>
        <w:tc>
          <w:tcPr>
            <w:tcW w:w="1700" w:type="dxa"/>
            <w:shd w:val="clear" w:color="auto" w:fill="FFFFFF"/>
            <w:tcMar>
              <w:top w:w="80" w:type="dxa"/>
              <w:left w:w="100" w:type="dxa"/>
              <w:bottom w:w="80" w:type="dxa"/>
              <w:right w:w="100" w:type="dxa"/>
            </w:tcMar>
          </w:tcPr>
          <w:p>
            <w:pPr>
              <w:pStyle w:val="TableText"/>
            </w:pPr>
            <w:r>
              <w:t xml:space="preserve">PENDING_RISK_AND_COMPLIANCE_REVIEW</w:t>
            </w:r>
          </w:p>
        </w:tc>
      </w:tr>
      <w:tr>
        <w:trPr>
          <w:cantSplit/>
        </w:trPr>
        <w:tc>
          <w:tcPr>
            <w:tcW w:w="1300" w:type="dxa"/>
            <w:shd w:val="clear" w:color="auto" w:fill="FFFFFF"/>
            <w:tcMar>
              <w:top w:w="80" w:type="dxa"/>
              <w:left w:w="100" w:type="dxa"/>
              <w:bottom w:w="80" w:type="dxa"/>
              <w:right w:w="100" w:type="dxa"/>
            </w:tcMar>
          </w:tcPr>
          <w:p>
            <w:pPr>
              <w:pStyle w:val="TableText"/>
            </w:pPr>
            <w:r>
              <w:t xml:space="preserve">CMP-0039</w:t>
            </w:r>
          </w:p>
        </w:tc>
        <w:tc>
          <w:tcPr>
            <w:tcW w:w="2300" w:type="dxa"/>
            <w:shd w:val="clear" w:color="auto" w:fill="FFFFFF"/>
            <w:tcMar>
              <w:top w:w="80" w:type="dxa"/>
              <w:left w:w="100" w:type="dxa"/>
              <w:bottom w:w="80" w:type="dxa"/>
              <w:right w:w="100" w:type="dxa"/>
            </w:tcMar>
          </w:tcPr>
          <w:p>
            <w:pPr>
              <w:pStyle w:val="TableText"/>
            </w:pPr>
            <w:r>
              <w:t xml:space="preserve">1.15 Objectifs et politique d’investissement</w:t>
            </w:r>
          </w:p>
        </w:tc>
        <w:tc>
          <w:tcPr>
            <w:tcW w:w="3200" w:type="dxa"/>
            <w:shd w:val="clear" w:color="auto" w:fill="FFFFFF"/>
            <w:tcMar>
              <w:top w:w="80" w:type="dxa"/>
              <w:left w:w="100" w:type="dxa"/>
              <w:bottom w:w="80" w:type="dxa"/>
              <w:right w:w="100" w:type="dxa"/>
            </w:tcMar>
          </w:tcPr>
          <w:p>
            <w:pPr>
              <w:pStyle w:val="TableText"/>
            </w:pPr>
            <w:r>
              <w:t xml:space="preserve">CIRC005_1_15_C_FCP_GEOGRAPHIC_SECTOR_SPECIALIZATION</w:t>
            </w:r>
          </w:p>
        </w:tc>
        <w:tc>
          <w:tcPr>
            <w:tcW w:w="1800" w:type="dxa"/>
            <w:shd w:val="clear" w:color="auto" w:fill="FFFFFF"/>
            <w:tcMar>
              <w:top w:w="80" w:type="dxa"/>
              <w:left w:w="100" w:type="dxa"/>
              <w:bottom w:w="80" w:type="dxa"/>
              <w:right w:w="100" w:type="dxa"/>
            </w:tcMar>
          </w:tcPr>
          <w:p>
            <w:pPr>
              <w:pStyle w:val="TableText"/>
            </w:pPr>
            <w:r>
              <w:t xml:space="preserve">CIRC005_SPECIALIZATION_PENDING_V1</w:t>
            </w:r>
          </w:p>
        </w:tc>
        <w:tc>
          <w:tcPr>
            <w:tcW w:w="1700" w:type="dxa"/>
            <w:shd w:val="clear" w:color="auto" w:fill="FFFFFF"/>
            <w:tcMar>
              <w:top w:w="80" w:type="dxa"/>
              <w:left w:w="100" w:type="dxa"/>
              <w:bottom w:w="80" w:type="dxa"/>
              <w:right w:w="100" w:type="dxa"/>
            </w:tcMar>
          </w:tcPr>
          <w:p>
            <w:pPr>
              <w:pStyle w:val="TableText"/>
            </w:pPr>
            <w:r>
              <w:t xml:space="preserve">PENDING_CONFIRMATION</w:t>
            </w:r>
          </w:p>
        </w:tc>
      </w:tr>
      <w:tr>
        <w:trPr>
          <w:cantSplit/>
        </w:trPr>
        <w:tc>
          <w:tcPr>
            <w:tcW w:w="1300" w:type="dxa"/>
            <w:shd w:val="clear" w:color="auto" w:fill="FFFFFF"/>
            <w:tcMar>
              <w:top w:w="80" w:type="dxa"/>
              <w:left w:w="100" w:type="dxa"/>
              <w:bottom w:w="80" w:type="dxa"/>
              <w:right w:w="100" w:type="dxa"/>
            </w:tcMar>
          </w:tcPr>
          <w:p>
            <w:pPr>
              <w:pStyle w:val="TableText"/>
            </w:pPr>
            <w:r>
              <w:t xml:space="preserve">CMP-0024</w:t>
            </w:r>
          </w:p>
        </w:tc>
        <w:tc>
          <w:tcPr>
            <w:tcW w:w="2300" w:type="dxa"/>
            <w:shd w:val="clear" w:color="auto" w:fill="FFFFFF"/>
            <w:tcMar>
              <w:top w:w="80" w:type="dxa"/>
              <w:left w:w="100" w:type="dxa"/>
              <w:bottom w:w="80" w:type="dxa"/>
              <w:right w:w="100" w:type="dxa"/>
            </w:tcMar>
          </w:tcPr>
          <w:p>
            <w:pPr>
              <w:pStyle w:val="TableText"/>
            </w:pPr>
            <w:r>
              <w:t xml:space="preserve">1.16 Évaluation des actifs</w:t>
            </w:r>
          </w:p>
        </w:tc>
        <w:tc>
          <w:tcPr>
            <w:tcW w:w="3200" w:type="dxa"/>
            <w:shd w:val="clear" w:color="auto" w:fill="FFFFFF"/>
            <w:tcMar>
              <w:top w:w="80" w:type="dxa"/>
              <w:left w:w="100" w:type="dxa"/>
              <w:bottom w:w="80" w:type="dxa"/>
              <w:right w:w="100" w:type="dxa"/>
            </w:tcMar>
          </w:tcPr>
          <w:p>
            <w:pPr>
              <w:pStyle w:val="TableText"/>
            </w:pPr>
            <w:r>
              <w:t xml:space="preserve">CIRC005_1_16_FCP_ASSET_VALUATION</w:t>
            </w:r>
          </w:p>
        </w:tc>
        <w:tc>
          <w:tcPr>
            <w:tcW w:w="1800" w:type="dxa"/>
            <w:shd w:val="clear" w:color="auto" w:fill="FFFFFF"/>
            <w:tcMar>
              <w:top w:w="80" w:type="dxa"/>
              <w:left w:w="100" w:type="dxa"/>
              <w:bottom w:w="80" w:type="dxa"/>
              <w:right w:w="100" w:type="dxa"/>
            </w:tcMar>
          </w:tcPr>
          <w:p>
            <w:pPr>
              <w:pStyle w:val="TableText"/>
            </w:pPr>
            <w:r>
              <w:t xml:space="preserve">—</w:t>
            </w:r>
          </w:p>
        </w:tc>
        <w:tc>
          <w:tcPr>
            <w:tcW w:w="1700" w:type="dxa"/>
            <w:shd w:val="clear" w:color="auto" w:fill="FFFFFF"/>
            <w:tcMar>
              <w:top w:w="80" w:type="dxa"/>
              <w:left w:w="100" w:type="dxa"/>
              <w:bottom w:w="80" w:type="dxa"/>
              <w:right w:w="100" w:type="dxa"/>
            </w:tcMar>
          </w:tcPr>
          <w:p>
            <w:pPr>
              <w:pStyle w:val="TableText"/>
            </w:pPr>
            <w:r>
              <w:t xml:space="preserve">PENDING_RISK_AND_COMPLIANCE_REVIEW</w:t>
            </w:r>
          </w:p>
        </w:tc>
      </w:tr>
      <w:tr>
        <w:trPr>
          <w:cantSplit/>
        </w:trPr>
        <w:tc>
          <w:tcPr>
            <w:tcW w:w="1300" w:type="dxa"/>
            <w:shd w:val="clear" w:color="auto" w:fill="FFFFFF"/>
            <w:tcMar>
              <w:top w:w="80" w:type="dxa"/>
              <w:left w:w="100" w:type="dxa"/>
              <w:bottom w:w="80" w:type="dxa"/>
              <w:right w:w="100" w:type="dxa"/>
            </w:tcMar>
          </w:tcPr>
          <w:p>
            <w:pPr>
              <w:pStyle w:val="TableText"/>
            </w:pPr>
            <w:r>
              <w:t xml:space="preserve">CMP-0025</w:t>
            </w:r>
          </w:p>
        </w:tc>
        <w:tc>
          <w:tcPr>
            <w:tcW w:w="2300" w:type="dxa"/>
            <w:shd w:val="clear" w:color="auto" w:fill="FFFFFF"/>
            <w:tcMar>
              <w:top w:w="80" w:type="dxa"/>
              <w:left w:w="100" w:type="dxa"/>
              <w:bottom w:w="80" w:type="dxa"/>
              <w:right w:w="100" w:type="dxa"/>
            </w:tcMar>
          </w:tcPr>
          <w:p>
            <w:pPr>
              <w:pStyle w:val="TableText"/>
            </w:pPr>
            <w:r>
              <w:t xml:space="preserve">1.17 Détermination et publication des prix</w:t>
            </w:r>
          </w:p>
        </w:tc>
        <w:tc>
          <w:tcPr>
            <w:tcW w:w="3200" w:type="dxa"/>
            <w:shd w:val="clear" w:color="auto" w:fill="FFFFFF"/>
            <w:tcMar>
              <w:top w:w="80" w:type="dxa"/>
              <w:left w:w="100" w:type="dxa"/>
              <w:bottom w:w="80" w:type="dxa"/>
              <w:right w:w="100" w:type="dxa"/>
            </w:tcMar>
          </w:tcPr>
          <w:p>
            <w:pPr>
              <w:pStyle w:val="TableText"/>
            </w:pPr>
            <w:r>
              <w:t xml:space="preserve">CIRC005_1_17_FCP_PRICE_DETERMINATION, CIRC005_1_17_A_FCP_PRICE_METHOD_FREQUENCY, CIRC005_1_17_C_FCP_PRICE_PUBLICATION</w:t>
            </w:r>
          </w:p>
        </w:tc>
        <w:tc>
          <w:tcPr>
            <w:tcW w:w="1800" w:type="dxa"/>
            <w:shd w:val="clear" w:color="auto" w:fill="FFFFFF"/>
            <w:tcMar>
              <w:top w:w="80" w:type="dxa"/>
              <w:left w:w="100" w:type="dxa"/>
              <w:bottom w:w="80" w:type="dxa"/>
              <w:right w:w="100" w:type="dxa"/>
            </w:tcMar>
          </w:tcPr>
          <w:p>
            <w:pPr>
              <w:pStyle w:val="TableText"/>
            </w:pPr>
            <w:r>
              <w:t xml:space="preserve">—</w:t>
            </w:r>
          </w:p>
        </w:tc>
        <w:tc>
          <w:tcPr>
            <w:tcW w:w="1700" w:type="dxa"/>
            <w:shd w:val="clear" w:color="auto" w:fill="FFFFFF"/>
            <w:tcMar>
              <w:top w:w="80" w:type="dxa"/>
              <w:left w:w="100" w:type="dxa"/>
              <w:bottom w:w="80" w:type="dxa"/>
              <w:right w:w="100" w:type="dxa"/>
            </w:tcMar>
          </w:tcPr>
          <w:p>
            <w:pPr>
              <w:pStyle w:val="TableText"/>
            </w:pPr>
            <w:r>
              <w:t xml:space="preserve">PENDING_LEGAL_REVIEW</w:t>
            </w:r>
          </w:p>
        </w:tc>
      </w:tr>
      <w:tr>
        <w:trPr>
          <w:cantSplit/>
        </w:trPr>
        <w:tc>
          <w:tcPr>
            <w:tcW w:w="1300" w:type="dxa"/>
            <w:shd w:val="clear" w:color="auto" w:fill="FFFFFF"/>
            <w:tcMar>
              <w:top w:w="80" w:type="dxa"/>
              <w:left w:w="100" w:type="dxa"/>
              <w:bottom w:w="80" w:type="dxa"/>
              <w:right w:w="100" w:type="dxa"/>
            </w:tcMar>
          </w:tcPr>
          <w:p>
            <w:pPr>
              <w:pStyle w:val="TableText"/>
            </w:pPr>
            <w:r>
              <w:t xml:space="preserve">CMP-0026</w:t>
            </w:r>
          </w:p>
        </w:tc>
        <w:tc>
          <w:tcPr>
            <w:tcW w:w="2300" w:type="dxa"/>
            <w:shd w:val="clear" w:color="auto" w:fill="FFFFFF"/>
            <w:tcMar>
              <w:top w:w="80" w:type="dxa"/>
              <w:left w:w="100" w:type="dxa"/>
              <w:bottom w:w="80" w:type="dxa"/>
              <w:right w:w="100" w:type="dxa"/>
            </w:tcMar>
          </w:tcPr>
          <w:p>
            <w:pPr>
              <w:pStyle w:val="TableText"/>
            </w:pPr>
            <w:r>
              <w:t xml:space="preserve">1.18 Rémunérations et remboursements de frais</w:t>
            </w:r>
          </w:p>
        </w:tc>
        <w:tc>
          <w:tcPr>
            <w:tcW w:w="3200" w:type="dxa"/>
            <w:shd w:val="clear" w:color="auto" w:fill="FFFFFF"/>
            <w:tcMar>
              <w:top w:w="80" w:type="dxa"/>
              <w:left w:w="100" w:type="dxa"/>
              <w:bottom w:w="80" w:type="dxa"/>
              <w:right w:w="100" w:type="dxa"/>
            </w:tcMar>
          </w:tcPr>
          <w:p>
            <w:pPr>
              <w:pStyle w:val="TableText"/>
            </w:pPr>
            <w:r>
              <w:t xml:space="preserve">CIRC005_1_17_B_FCP_TRANSACTION_FEES, CIRC005_1_18_FCP_REMUNERATION_REIMBURSEMENT, CIRC005_1_18_A_FCP_REMUNERATION_MODE_AMOUNT_CALCULATION, CIRC005_5_4_OTHER_EXPENSES_FUND_ASSETS</w:t>
            </w:r>
          </w:p>
        </w:tc>
        <w:tc>
          <w:tcPr>
            <w:tcW w:w="1800" w:type="dxa"/>
            <w:shd w:val="clear" w:color="auto" w:fill="FFFFFF"/>
            <w:tcMar>
              <w:top w:w="80" w:type="dxa"/>
              <w:left w:w="100" w:type="dxa"/>
              <w:bottom w:w="80" w:type="dxa"/>
              <w:right w:w="100" w:type="dxa"/>
            </w:tcMar>
          </w:tcPr>
          <w:p>
            <w:pPr>
              <w:pStyle w:val="TableText"/>
            </w:pPr>
            <w:r>
              <w:t xml:space="preserve">—</w:t>
            </w:r>
          </w:p>
        </w:tc>
        <w:tc>
          <w:tcPr>
            <w:tcW w:w="1700" w:type="dxa"/>
            <w:shd w:val="clear" w:color="auto" w:fill="FFFFFF"/>
            <w:tcMar>
              <w:top w:w="80" w:type="dxa"/>
              <w:left w:w="100" w:type="dxa"/>
              <w:bottom w:w="80" w:type="dxa"/>
              <w:right w:w="100" w:type="dxa"/>
            </w:tcMar>
          </w:tcPr>
          <w:p>
            <w:pPr>
              <w:pStyle w:val="TableText"/>
            </w:pPr>
            <w:r>
              <w:t xml:space="preserve">PENDING_COMPLIANCE_REVIEW</w:t>
            </w:r>
          </w:p>
        </w:tc>
      </w:tr>
      <w:tr>
        <w:trPr>
          <w:cantSplit/>
        </w:trPr>
        <w:tc>
          <w:tcPr>
            <w:tcW w:w="1300" w:type="dxa"/>
            <w:shd w:val="clear" w:color="auto" w:fill="FFFFFF"/>
            <w:tcMar>
              <w:top w:w="80" w:type="dxa"/>
              <w:left w:w="100" w:type="dxa"/>
              <w:bottom w:w="80" w:type="dxa"/>
              <w:right w:w="100" w:type="dxa"/>
            </w:tcMar>
          </w:tcPr>
          <w:p>
            <w:pPr>
              <w:pStyle w:val="TableText"/>
            </w:pPr>
            <w:r>
              <w:t xml:space="preserve">CMP-0040</w:t>
            </w:r>
          </w:p>
        </w:tc>
        <w:tc>
          <w:tcPr>
            <w:tcW w:w="2300" w:type="dxa"/>
            <w:shd w:val="clear" w:color="auto" w:fill="FFFFFF"/>
            <w:tcMar>
              <w:top w:w="80" w:type="dxa"/>
              <w:left w:w="100" w:type="dxa"/>
              <w:bottom w:w="80" w:type="dxa"/>
              <w:right w:w="100" w:type="dxa"/>
            </w:tcMar>
          </w:tcPr>
          <w:p>
            <w:pPr>
              <w:pStyle w:val="TableText"/>
            </w:pPr>
            <w:r>
              <w:t xml:space="preserve">1.18 Rémunérations et remboursements de frais</w:t>
            </w:r>
          </w:p>
        </w:tc>
        <w:tc>
          <w:tcPr>
            <w:tcW w:w="3200" w:type="dxa"/>
            <w:shd w:val="clear" w:color="auto" w:fill="FFFFFF"/>
            <w:tcMar>
              <w:top w:w="80" w:type="dxa"/>
              <w:left w:w="100" w:type="dxa"/>
              <w:bottom w:w="80" w:type="dxa"/>
              <w:right w:w="100" w:type="dxa"/>
            </w:tcMar>
          </w:tcPr>
          <w:p>
            <w:pPr>
              <w:pStyle w:val="TableText"/>
            </w:pPr>
            <w:r>
              <w:t xml:space="preserve">CIRC005_1_18_B_FCP_EXPENSE_REIMBURSEMENT</w:t>
            </w:r>
          </w:p>
        </w:tc>
        <w:tc>
          <w:tcPr>
            <w:tcW w:w="1800" w:type="dxa"/>
            <w:shd w:val="clear" w:color="auto" w:fill="FFFFFF"/>
            <w:tcMar>
              <w:top w:w="80" w:type="dxa"/>
              <w:left w:w="100" w:type="dxa"/>
              <w:bottom w:w="80" w:type="dxa"/>
              <w:right w:w="100" w:type="dxa"/>
            </w:tcMar>
          </w:tcPr>
          <w:p>
            <w:pPr>
              <w:pStyle w:val="TableText"/>
            </w:pPr>
            <w:r>
              <w:t xml:space="preserve">CIRC005_EXPENSE_REIMBURSEMENT_PENDING_V1</w:t>
            </w:r>
          </w:p>
        </w:tc>
        <w:tc>
          <w:tcPr>
            <w:tcW w:w="1700" w:type="dxa"/>
            <w:shd w:val="clear" w:color="auto" w:fill="FFFFFF"/>
            <w:tcMar>
              <w:top w:w="80" w:type="dxa"/>
              <w:left w:w="100" w:type="dxa"/>
              <w:bottom w:w="80" w:type="dxa"/>
              <w:right w:w="100" w:type="dxa"/>
            </w:tcMar>
          </w:tcPr>
          <w:p>
            <w:pPr>
              <w:pStyle w:val="TableText"/>
            </w:pPr>
            <w:r>
              <w:t xml:space="preserve">PENDING_CONFIRMATION</w:t>
            </w:r>
          </w:p>
        </w:tc>
      </w:tr>
      <w:tr>
        <w:trPr>
          <w:cantSplit/>
        </w:trPr>
        <w:tc>
          <w:tcPr>
            <w:tcW w:w="1300" w:type="dxa"/>
            <w:shd w:val="clear" w:color="auto" w:fill="FFFFFF"/>
            <w:tcMar>
              <w:top w:w="80" w:type="dxa"/>
              <w:left w:w="100" w:type="dxa"/>
              <w:bottom w:w="80" w:type="dxa"/>
              <w:right w:w="100" w:type="dxa"/>
            </w:tcMar>
          </w:tcPr>
          <w:p>
            <w:pPr>
              <w:pStyle w:val="TableText"/>
            </w:pPr>
            <w:r>
              <w:t xml:space="preserve">CMP-0016</w:t>
            </w:r>
          </w:p>
        </w:tc>
        <w:tc>
          <w:tcPr>
            <w:tcW w:w="2300" w:type="dxa"/>
            <w:shd w:val="clear" w:color="auto" w:fill="FFFFFF"/>
            <w:tcMar>
              <w:top w:w="80" w:type="dxa"/>
              <w:left w:w="100" w:type="dxa"/>
              <w:bottom w:w="80" w:type="dxa"/>
              <w:right w:w="100" w:type="dxa"/>
            </w:tcMar>
          </w:tcPr>
          <w:p>
            <w:pPr>
              <w:pStyle w:val="TableText"/>
            </w:pPr>
            <w:r>
              <w:t xml:space="preserve">Société de gestion</w:t>
            </w:r>
          </w:p>
        </w:tc>
        <w:tc>
          <w:tcPr>
            <w:tcW w:w="3200" w:type="dxa"/>
            <w:shd w:val="clear" w:color="auto" w:fill="FFFFFF"/>
            <w:tcMar>
              <w:top w:w="80" w:type="dxa"/>
              <w:left w:w="100" w:type="dxa"/>
              <w:bottom w:w="80" w:type="dxa"/>
              <w:right w:w="100" w:type="dxa"/>
            </w:tcMar>
          </w:tcPr>
          <w:p>
            <w:pPr>
              <w:pStyle w:val="TableText"/>
            </w:pPr>
            <w:r>
              <w:t xml:space="preserve">CIRC005_1_1_SGO_IDENTITY, CIRC005_1_2_SGO_CONSTITUTION_DATE, CIRC005_1_9_A_SGO_SUBSCRIBED_CAPITAL, CIRC005_1_9_B_SGO_PAID_UP_CAPITAL</w:t>
            </w:r>
          </w:p>
        </w:tc>
        <w:tc>
          <w:tcPr>
            <w:tcW w:w="1800" w:type="dxa"/>
            <w:shd w:val="clear" w:color="auto" w:fill="FFFFFF"/>
            <w:tcMar>
              <w:top w:w="80" w:type="dxa"/>
              <w:left w:w="100" w:type="dxa"/>
              <w:bottom w:w="80" w:type="dxa"/>
              <w:right w:w="100" w:type="dxa"/>
            </w:tcMar>
          </w:tcPr>
          <w:p>
            <w:pPr>
              <w:pStyle w:val="TableText"/>
            </w:pPr>
            <w:r>
              <w:t xml:space="preserve">UMOA_FCP_MANAGER_IDENTITY_V1</w:t>
            </w:r>
          </w:p>
        </w:tc>
        <w:tc>
          <w:tcPr>
            <w:tcW w:w="1700" w:type="dxa"/>
            <w:shd w:val="clear" w:color="auto" w:fill="FFFFFF"/>
            <w:tcMar>
              <w:top w:w="80" w:type="dxa"/>
              <w:left w:w="100" w:type="dxa"/>
              <w:bottom w:w="80" w:type="dxa"/>
              <w:right w:w="100" w:type="dxa"/>
            </w:tcMar>
          </w:tcPr>
          <w:p>
            <w:pPr>
              <w:pStyle w:val="TableText"/>
            </w:pPr>
            <w:r>
              <w:t xml:space="preserve">PENDING_LEGAL_REVIEW</w:t>
            </w:r>
          </w:p>
        </w:tc>
      </w:tr>
      <w:tr>
        <w:trPr>
          <w:cantSplit/>
        </w:trPr>
        <w:tc>
          <w:tcPr>
            <w:tcW w:w="1300" w:type="dxa"/>
            <w:shd w:val="clear" w:color="auto" w:fill="FFFFFF"/>
            <w:tcMar>
              <w:top w:w="80" w:type="dxa"/>
              <w:left w:w="100" w:type="dxa"/>
              <w:bottom w:w="80" w:type="dxa"/>
              <w:right w:w="100" w:type="dxa"/>
            </w:tcMar>
          </w:tcPr>
          <w:p>
            <w:pPr>
              <w:pStyle w:val="TableText"/>
            </w:pPr>
            <w:r>
              <w:t xml:space="preserve">CMP-0041</w:t>
            </w:r>
          </w:p>
        </w:tc>
        <w:tc>
          <w:tcPr>
            <w:tcW w:w="2300" w:type="dxa"/>
            <w:shd w:val="clear" w:color="auto" w:fill="FFFFFF"/>
            <w:tcMar>
              <w:top w:w="80" w:type="dxa"/>
              <w:left w:w="100" w:type="dxa"/>
              <w:bottom w:w="80" w:type="dxa"/>
              <w:right w:w="100" w:type="dxa"/>
            </w:tcMar>
          </w:tcPr>
          <w:p>
            <w:pPr>
              <w:pStyle w:val="TableText"/>
            </w:pPr>
            <w:r>
              <w:t xml:space="preserve">Autres OPC gérés</w:t>
            </w:r>
          </w:p>
        </w:tc>
        <w:tc>
          <w:tcPr>
            <w:tcW w:w="3200" w:type="dxa"/>
            <w:shd w:val="clear" w:color="auto" w:fill="FFFFFF"/>
            <w:tcMar>
              <w:top w:w="80" w:type="dxa"/>
              <w:left w:w="100" w:type="dxa"/>
              <w:bottom w:w="80" w:type="dxa"/>
              <w:right w:w="100" w:type="dxa"/>
            </w:tcMar>
          </w:tcPr>
          <w:p>
            <w:pPr>
              <w:pStyle w:val="TableText"/>
            </w:pPr>
            <w:r>
              <w:t xml:space="preserve">CIRC005_1_3_SGO_OTHER_FUNDS</w:t>
            </w:r>
          </w:p>
        </w:tc>
        <w:tc>
          <w:tcPr>
            <w:tcW w:w="1800" w:type="dxa"/>
            <w:shd w:val="clear" w:color="auto" w:fill="FFFFFF"/>
            <w:tcMar>
              <w:top w:w="80" w:type="dxa"/>
              <w:left w:w="100" w:type="dxa"/>
              <w:bottom w:w="80" w:type="dxa"/>
              <w:right w:w="100" w:type="dxa"/>
            </w:tcMar>
          </w:tcPr>
          <w:p>
            <w:pPr>
              <w:pStyle w:val="TableText"/>
            </w:pPr>
            <w:r>
              <w:t xml:space="preserve">CIRC005_MANAGER_OTHER_FUNDS_PENDING_V1</w:t>
            </w:r>
          </w:p>
        </w:tc>
        <w:tc>
          <w:tcPr>
            <w:tcW w:w="1700" w:type="dxa"/>
            <w:shd w:val="clear" w:color="auto" w:fill="FFFFFF"/>
            <w:tcMar>
              <w:top w:w="80" w:type="dxa"/>
              <w:left w:w="100" w:type="dxa"/>
              <w:bottom w:w="80" w:type="dxa"/>
              <w:right w:w="100" w:type="dxa"/>
            </w:tcMar>
          </w:tcPr>
          <w:p>
            <w:pPr>
              <w:pStyle w:val="TableText"/>
            </w:pPr>
            <w:r>
              <w:t xml:space="preserve">PENDING_CONFIRMATION</w:t>
            </w:r>
          </w:p>
        </w:tc>
      </w:tr>
      <w:tr>
        <w:trPr>
          <w:cantSplit/>
        </w:trPr>
        <w:tc>
          <w:tcPr>
            <w:tcW w:w="1300" w:type="dxa"/>
            <w:shd w:val="clear" w:color="auto" w:fill="FFFFFF"/>
            <w:tcMar>
              <w:top w:w="80" w:type="dxa"/>
              <w:left w:w="100" w:type="dxa"/>
              <w:bottom w:w="80" w:type="dxa"/>
              <w:right w:w="100" w:type="dxa"/>
            </w:tcMar>
          </w:tcPr>
          <w:p>
            <w:pPr>
              <w:pStyle w:val="TableText"/>
            </w:pPr>
            <w:r>
              <w:t xml:space="preserve">CMP-0042</w:t>
            </w:r>
          </w:p>
        </w:tc>
        <w:tc>
          <w:tcPr>
            <w:tcW w:w="2300" w:type="dxa"/>
            <w:shd w:val="clear" w:color="auto" w:fill="FFFFFF"/>
            <w:tcMar>
              <w:top w:w="80" w:type="dxa"/>
              <w:left w:w="100" w:type="dxa"/>
              <w:bottom w:w="80" w:type="dxa"/>
              <w:right w:w="100" w:type="dxa"/>
            </w:tcMar>
          </w:tcPr>
          <w:p>
            <w:pPr>
              <w:pStyle w:val="TableText"/>
            </w:pPr>
            <w:r>
              <w:t xml:space="preserve">Gouvernance de la société de gestion</w:t>
            </w:r>
          </w:p>
        </w:tc>
        <w:tc>
          <w:tcPr>
            <w:tcW w:w="3200" w:type="dxa"/>
            <w:shd w:val="clear" w:color="auto" w:fill="FFFFFF"/>
            <w:tcMar>
              <w:top w:w="80" w:type="dxa"/>
              <w:left w:w="100" w:type="dxa"/>
              <w:bottom w:w="80" w:type="dxa"/>
              <w:right w:w="100" w:type="dxa"/>
            </w:tcMar>
          </w:tcPr>
          <w:p>
            <w:pPr>
              <w:pStyle w:val="TableText"/>
            </w:pPr>
            <w:r>
              <w:t xml:space="preserve">CIRC005_1_8_A_SGO_GOVERNANCE_MEMBERS</w:t>
            </w:r>
          </w:p>
        </w:tc>
        <w:tc>
          <w:tcPr>
            <w:tcW w:w="1800" w:type="dxa"/>
            <w:shd w:val="clear" w:color="auto" w:fill="FFFFFF"/>
            <w:tcMar>
              <w:top w:w="80" w:type="dxa"/>
              <w:left w:w="100" w:type="dxa"/>
              <w:bottom w:w="80" w:type="dxa"/>
              <w:right w:w="100" w:type="dxa"/>
            </w:tcMar>
          </w:tcPr>
          <w:p>
            <w:pPr>
              <w:pStyle w:val="TableText"/>
            </w:pPr>
            <w:r>
              <w:t xml:space="preserve">CIRC005_MANAGER_GOVERNANCE_PENDING_V1</w:t>
            </w:r>
          </w:p>
        </w:tc>
        <w:tc>
          <w:tcPr>
            <w:tcW w:w="1700" w:type="dxa"/>
            <w:shd w:val="clear" w:color="auto" w:fill="FFFFFF"/>
            <w:tcMar>
              <w:top w:w="80" w:type="dxa"/>
              <w:left w:w="100" w:type="dxa"/>
              <w:bottom w:w="80" w:type="dxa"/>
              <w:right w:w="100" w:type="dxa"/>
            </w:tcMar>
          </w:tcPr>
          <w:p>
            <w:pPr>
              <w:pStyle w:val="TableText"/>
            </w:pPr>
            <w:r>
              <w:t xml:space="preserve">PENDING_CONFIRMATION</w:t>
            </w:r>
          </w:p>
        </w:tc>
      </w:tr>
      <w:tr>
        <w:trPr>
          <w:cantSplit/>
        </w:trPr>
        <w:tc>
          <w:tcPr>
            <w:tcW w:w="1300" w:type="dxa"/>
            <w:shd w:val="clear" w:color="auto" w:fill="FFFFFF"/>
            <w:tcMar>
              <w:top w:w="80" w:type="dxa"/>
              <w:left w:w="100" w:type="dxa"/>
              <w:bottom w:w="80" w:type="dxa"/>
              <w:right w:w="100" w:type="dxa"/>
            </w:tcMar>
          </w:tcPr>
          <w:p>
            <w:pPr>
              <w:pStyle w:val="TableText"/>
            </w:pPr>
            <w:r>
              <w:t xml:space="preserve">CMP-0043</w:t>
            </w:r>
          </w:p>
        </w:tc>
        <w:tc>
          <w:tcPr>
            <w:tcW w:w="2300" w:type="dxa"/>
            <w:shd w:val="clear" w:color="auto" w:fill="FFFFFF"/>
            <w:tcMar>
              <w:top w:w="80" w:type="dxa"/>
              <w:left w:w="100" w:type="dxa"/>
              <w:bottom w:w="80" w:type="dxa"/>
              <w:right w:w="100" w:type="dxa"/>
            </w:tcMar>
          </w:tcPr>
          <w:p>
            <w:pPr>
              <w:pStyle w:val="TableText"/>
            </w:pPr>
            <w:r>
              <w:t xml:space="preserve">Gouvernance de la société de gestion</w:t>
            </w:r>
          </w:p>
        </w:tc>
        <w:tc>
          <w:tcPr>
            <w:tcW w:w="3200" w:type="dxa"/>
            <w:shd w:val="clear" w:color="auto" w:fill="FFFFFF"/>
            <w:tcMar>
              <w:top w:w="80" w:type="dxa"/>
              <w:left w:w="100" w:type="dxa"/>
              <w:bottom w:w="80" w:type="dxa"/>
              <w:right w:w="100" w:type="dxa"/>
            </w:tcMar>
          </w:tcPr>
          <w:p>
            <w:pPr>
              <w:pStyle w:val="TableText"/>
            </w:pPr>
            <w:r>
              <w:t xml:space="preserve">CIRC005_1_8_B_SGO_EXTERNAL_ACTIVITIES</w:t>
            </w:r>
          </w:p>
        </w:tc>
        <w:tc>
          <w:tcPr>
            <w:tcW w:w="1800" w:type="dxa"/>
            <w:shd w:val="clear" w:color="auto" w:fill="FFFFFF"/>
            <w:tcMar>
              <w:top w:w="80" w:type="dxa"/>
              <w:left w:w="100" w:type="dxa"/>
              <w:bottom w:w="80" w:type="dxa"/>
              <w:right w:w="100" w:type="dxa"/>
            </w:tcMar>
          </w:tcPr>
          <w:p>
            <w:pPr>
              <w:pStyle w:val="TableText"/>
            </w:pPr>
            <w:r>
              <w:t xml:space="preserve">CIRC005_MANAGER_EXTERNAL_ACTIVITIES_PENDING_V1</w:t>
            </w:r>
          </w:p>
        </w:tc>
        <w:tc>
          <w:tcPr>
            <w:tcW w:w="1700" w:type="dxa"/>
            <w:shd w:val="clear" w:color="auto" w:fill="FFFFFF"/>
            <w:tcMar>
              <w:top w:w="80" w:type="dxa"/>
              <w:left w:w="100" w:type="dxa"/>
              <w:bottom w:w="80" w:type="dxa"/>
              <w:right w:w="100" w:type="dxa"/>
            </w:tcMar>
          </w:tcPr>
          <w:p>
            <w:pPr>
              <w:pStyle w:val="TableText"/>
            </w:pPr>
            <w:r>
              <w:t xml:space="preserve">PENDING_CONFIRMATION</w:t>
            </w:r>
          </w:p>
        </w:tc>
      </w:tr>
      <w:tr>
        <w:trPr>
          <w:cantSplit/>
        </w:trPr>
        <w:tc>
          <w:tcPr>
            <w:tcW w:w="1300" w:type="dxa"/>
            <w:shd w:val="clear" w:color="auto" w:fill="FFFFFF"/>
            <w:tcMar>
              <w:top w:w="80" w:type="dxa"/>
              <w:left w:w="100" w:type="dxa"/>
              <w:bottom w:w="80" w:type="dxa"/>
              <w:right w:w="100" w:type="dxa"/>
            </w:tcMar>
          </w:tcPr>
          <w:p>
            <w:pPr>
              <w:pStyle w:val="TableText"/>
            </w:pPr>
            <w:r>
              <w:t xml:space="preserve">CMP-0017</w:t>
            </w:r>
          </w:p>
        </w:tc>
        <w:tc>
          <w:tcPr>
            <w:tcW w:w="2300" w:type="dxa"/>
            <w:shd w:val="clear" w:color="auto" w:fill="FFFFFF"/>
            <w:tcMar>
              <w:top w:w="80" w:type="dxa"/>
              <w:left w:w="100" w:type="dxa"/>
              <w:bottom w:w="80" w:type="dxa"/>
              <w:right w:w="100" w:type="dxa"/>
            </w:tcMar>
          </w:tcPr>
          <w:p>
            <w:pPr>
              <w:pStyle w:val="TableText"/>
            </w:pPr>
            <w:r>
              <w:t xml:space="preserve">2. Dépositaire</w:t>
            </w:r>
          </w:p>
        </w:tc>
        <w:tc>
          <w:tcPr>
            <w:tcW w:w="3200" w:type="dxa"/>
            <w:shd w:val="clear" w:color="auto" w:fill="FFFFFF"/>
            <w:tcMar>
              <w:top w:w="80" w:type="dxa"/>
              <w:left w:w="100" w:type="dxa"/>
              <w:bottom w:w="80" w:type="dxa"/>
              <w:right w:w="100" w:type="dxa"/>
            </w:tcMar>
          </w:tcPr>
          <w:p>
            <w:pPr>
              <w:pStyle w:val="TableText"/>
            </w:pPr>
            <w:r>
              <w:t xml:space="preserve">CIRC005_2_1_DEPOSITARY_IDENTITY, CIRC005_2_2_DEPOSITARY_MAIN_ACTIVITY</w:t>
            </w:r>
          </w:p>
        </w:tc>
        <w:tc>
          <w:tcPr>
            <w:tcW w:w="1800" w:type="dxa"/>
            <w:shd w:val="clear" w:color="auto" w:fill="FFFFFF"/>
            <w:tcMar>
              <w:top w:w="80" w:type="dxa"/>
              <w:left w:w="100" w:type="dxa"/>
              <w:bottom w:w="80" w:type="dxa"/>
              <w:right w:w="100" w:type="dxa"/>
            </w:tcMar>
          </w:tcPr>
          <w:p>
            <w:pPr>
              <w:pStyle w:val="TableText"/>
            </w:pPr>
            <w:r>
              <w:t xml:space="preserve">UMOA_FCP_DEPOSITARY_IDENTITY_V1</w:t>
            </w:r>
          </w:p>
        </w:tc>
        <w:tc>
          <w:tcPr>
            <w:tcW w:w="1700" w:type="dxa"/>
            <w:shd w:val="clear" w:color="auto" w:fill="FFFFFF"/>
            <w:tcMar>
              <w:top w:w="80" w:type="dxa"/>
              <w:left w:w="100" w:type="dxa"/>
              <w:bottom w:w="80" w:type="dxa"/>
              <w:right w:w="100" w:type="dxa"/>
            </w:tcMar>
          </w:tcPr>
          <w:p>
            <w:pPr>
              <w:pStyle w:val="TableText"/>
            </w:pPr>
            <w:r>
              <w:t xml:space="preserve">PENDING_LEGAL_REVIEW</w:t>
            </w:r>
          </w:p>
        </w:tc>
      </w:tr>
      <w:tr>
        <w:trPr>
          <w:cantSplit/>
        </w:trPr>
        <w:tc>
          <w:tcPr>
            <w:tcW w:w="1300" w:type="dxa"/>
            <w:shd w:val="clear" w:color="auto" w:fill="FFFFFF"/>
            <w:tcMar>
              <w:top w:w="80" w:type="dxa"/>
              <w:left w:w="100" w:type="dxa"/>
              <w:bottom w:w="80" w:type="dxa"/>
              <w:right w:w="100" w:type="dxa"/>
            </w:tcMar>
          </w:tcPr>
          <w:p>
            <w:pPr>
              <w:pStyle w:val="TableText"/>
            </w:pPr>
            <w:r>
              <w:t xml:space="preserve">CMP-0018</w:t>
            </w:r>
          </w:p>
        </w:tc>
        <w:tc>
          <w:tcPr>
            <w:tcW w:w="2300" w:type="dxa"/>
            <w:shd w:val="clear" w:color="auto" w:fill="FFFFFF"/>
            <w:tcMar>
              <w:top w:w="80" w:type="dxa"/>
              <w:left w:w="100" w:type="dxa"/>
              <w:bottom w:w="80" w:type="dxa"/>
              <w:right w:w="100" w:type="dxa"/>
            </w:tcMar>
          </w:tcPr>
          <w:p>
            <w:pPr>
              <w:pStyle w:val="TableText"/>
            </w:pPr>
            <w:r>
              <w:t xml:space="preserve">3. Conseillers externes</w:t>
            </w:r>
          </w:p>
        </w:tc>
        <w:tc>
          <w:tcPr>
            <w:tcW w:w="3200" w:type="dxa"/>
            <w:shd w:val="clear" w:color="auto" w:fill="FFFFFF"/>
            <w:tcMar>
              <w:top w:w="80" w:type="dxa"/>
              <w:left w:w="100" w:type="dxa"/>
              <w:bottom w:w="80" w:type="dxa"/>
              <w:right w:w="100" w:type="dxa"/>
            </w:tcMar>
          </w:tcPr>
          <w:p>
            <w:pPr>
              <w:pStyle w:val="TableText"/>
            </w:pPr>
            <w:r>
              <w:t xml:space="preserve">CIRC005_3_1_EXTERNAL_ADVISER_IDENTITY, CIRC005_3_2_EXTERNAL_ADVISER_CONTRACT_CLAUSES, CIRC005_3_3_EXTERNAL_ADVISER_OTHER_ACTIVITIES</w:t>
            </w:r>
          </w:p>
        </w:tc>
        <w:tc>
          <w:tcPr>
            <w:tcW w:w="1800" w:type="dxa"/>
            <w:shd w:val="clear" w:color="auto" w:fill="FFFFFF"/>
            <w:tcMar>
              <w:top w:w="80" w:type="dxa"/>
              <w:left w:w="100" w:type="dxa"/>
              <w:bottom w:w="80" w:type="dxa"/>
              <w:right w:w="100" w:type="dxa"/>
            </w:tcMar>
          </w:tcPr>
          <w:p>
            <w:pPr>
              <w:pStyle w:val="TableText"/>
            </w:pPr>
            <w:r>
              <w:t xml:space="preserve">UMOA_FCP_NO_EXTERNAL_ADVISER_V1</w:t>
            </w:r>
          </w:p>
        </w:tc>
        <w:tc>
          <w:tcPr>
            <w:tcW w:w="1700" w:type="dxa"/>
            <w:shd w:val="clear" w:color="auto" w:fill="FFFFFF"/>
            <w:tcMar>
              <w:top w:w="80" w:type="dxa"/>
              <w:left w:w="100" w:type="dxa"/>
              <w:bottom w:w="80" w:type="dxa"/>
              <w:right w:w="100" w:type="dxa"/>
            </w:tcMar>
          </w:tcPr>
          <w:p>
            <w:pPr>
              <w:pStyle w:val="TableText"/>
            </w:pPr>
            <w:r>
              <w:t xml:space="preserve">PENDING_LEGAL_REVIEW</w:t>
            </w:r>
          </w:p>
        </w:tc>
      </w:tr>
      <w:tr>
        <w:trPr>
          <w:cantSplit/>
        </w:trPr>
        <w:tc>
          <w:tcPr>
            <w:tcW w:w="1300" w:type="dxa"/>
            <w:shd w:val="clear" w:color="auto" w:fill="FFFFFF"/>
            <w:tcMar>
              <w:top w:w="80" w:type="dxa"/>
              <w:left w:w="100" w:type="dxa"/>
              <w:bottom w:w="80" w:type="dxa"/>
              <w:right w:w="100" w:type="dxa"/>
            </w:tcMar>
          </w:tcPr>
          <w:p>
            <w:pPr>
              <w:pStyle w:val="TableText"/>
            </w:pPr>
            <w:r>
              <w:t xml:space="preserve">CMP-0027</w:t>
            </w:r>
          </w:p>
        </w:tc>
        <w:tc>
          <w:tcPr>
            <w:tcW w:w="2300" w:type="dxa"/>
            <w:shd w:val="clear" w:color="auto" w:fill="FFFFFF"/>
            <w:tcMar>
              <w:top w:w="80" w:type="dxa"/>
              <w:left w:w="100" w:type="dxa"/>
              <w:bottom w:w="80" w:type="dxa"/>
              <w:right w:w="100" w:type="dxa"/>
            </w:tcMar>
          </w:tcPr>
          <w:p>
            <w:pPr>
              <w:pStyle w:val="TableText"/>
            </w:pPr>
            <w:r>
              <w:t xml:space="preserve">4. Paiements, rachats et diffusion de l’information</w:t>
            </w:r>
          </w:p>
        </w:tc>
        <w:tc>
          <w:tcPr>
            <w:tcW w:w="3200" w:type="dxa"/>
            <w:shd w:val="clear" w:color="auto" w:fill="FFFFFF"/>
            <w:tcMar>
              <w:top w:w="80" w:type="dxa"/>
              <w:left w:w="100" w:type="dxa"/>
              <w:bottom w:w="80" w:type="dxa"/>
              <w:right w:w="100" w:type="dxa"/>
            </w:tcMar>
          </w:tcPr>
          <w:p>
            <w:pPr>
              <w:pStyle w:val="TableText"/>
            </w:pPr>
            <w:r>
              <w:t xml:space="preserve">CIRC005_4_HOME_STATE_ARRANGEMENTS</w:t>
            </w:r>
          </w:p>
        </w:tc>
        <w:tc>
          <w:tcPr>
            <w:tcW w:w="1800" w:type="dxa"/>
            <w:shd w:val="clear" w:color="auto" w:fill="FFFFFF"/>
            <w:tcMar>
              <w:top w:w="80" w:type="dxa"/>
              <w:left w:w="100" w:type="dxa"/>
              <w:bottom w:w="80" w:type="dxa"/>
              <w:right w:w="100" w:type="dxa"/>
            </w:tcMar>
          </w:tcPr>
          <w:p>
            <w:pPr>
              <w:pStyle w:val="TableText"/>
            </w:pPr>
            <w:r>
              <w:t xml:space="preserve">—</w:t>
            </w:r>
          </w:p>
        </w:tc>
        <w:tc>
          <w:tcPr>
            <w:tcW w:w="1700" w:type="dxa"/>
            <w:shd w:val="clear" w:color="auto" w:fill="FFFFFF"/>
            <w:tcMar>
              <w:top w:w="80" w:type="dxa"/>
              <w:left w:w="100" w:type="dxa"/>
              <w:bottom w:w="80" w:type="dxa"/>
              <w:right w:w="100" w:type="dxa"/>
            </w:tcMar>
          </w:tcPr>
          <w:p>
            <w:pPr>
              <w:pStyle w:val="TableText"/>
            </w:pPr>
            <w:r>
              <w:t xml:space="preserve">PENDING_LEGAL_REVIEW</w:t>
            </w:r>
          </w:p>
        </w:tc>
      </w:tr>
      <w:tr>
        <w:trPr>
          <w:cantSplit/>
        </w:trPr>
        <w:tc>
          <w:tcPr>
            <w:tcW w:w="1300" w:type="dxa"/>
            <w:shd w:val="clear" w:color="auto" w:fill="FFFFFF"/>
            <w:tcMar>
              <w:top w:w="80" w:type="dxa"/>
              <w:left w:w="100" w:type="dxa"/>
              <w:bottom w:w="80" w:type="dxa"/>
              <w:right w:w="100" w:type="dxa"/>
            </w:tcMar>
          </w:tcPr>
          <w:p>
            <w:pPr>
              <w:pStyle w:val="TableText"/>
            </w:pPr>
            <w:r>
              <w:t xml:space="preserve">CMP-0019</w:t>
            </w:r>
          </w:p>
        </w:tc>
        <w:tc>
          <w:tcPr>
            <w:tcW w:w="2300" w:type="dxa"/>
            <w:shd w:val="clear" w:color="auto" w:fill="FFFFFF"/>
            <w:tcMar>
              <w:top w:w="80" w:type="dxa"/>
              <w:left w:w="100" w:type="dxa"/>
              <w:bottom w:w="80" w:type="dxa"/>
              <w:right w:w="100" w:type="dxa"/>
            </w:tcMar>
          </w:tcPr>
          <w:p>
            <w:pPr>
              <w:pStyle w:val="TableText"/>
            </w:pPr>
            <w:r>
              <w:t xml:space="preserve">5.1 Performances historiques</w:t>
            </w:r>
          </w:p>
        </w:tc>
        <w:tc>
          <w:tcPr>
            <w:tcW w:w="3200" w:type="dxa"/>
            <w:shd w:val="clear" w:color="auto" w:fill="FFFFFF"/>
            <w:tcMar>
              <w:top w:w="80" w:type="dxa"/>
              <w:left w:w="100" w:type="dxa"/>
              <w:bottom w:w="80" w:type="dxa"/>
              <w:right w:w="100" w:type="dxa"/>
            </w:tcMar>
          </w:tcPr>
          <w:p>
            <w:pPr>
              <w:pStyle w:val="TableText"/>
            </w:pPr>
            <w:r>
              <w:t xml:space="preserve">CIRC005_5_1_HISTORICAL_PERFORMANCE</w:t>
            </w:r>
          </w:p>
        </w:tc>
        <w:tc>
          <w:tcPr>
            <w:tcW w:w="1800" w:type="dxa"/>
            <w:shd w:val="clear" w:color="auto" w:fill="FFFFFF"/>
            <w:tcMar>
              <w:top w:w="80" w:type="dxa"/>
              <w:left w:w="100" w:type="dxa"/>
              <w:bottom w:w="80" w:type="dxa"/>
              <w:right w:w="100" w:type="dxa"/>
            </w:tcMar>
          </w:tcPr>
          <w:p>
            <w:pPr>
              <w:pStyle w:val="TableText"/>
            </w:pPr>
            <w:r>
              <w:t xml:space="preserve">UMOA_FCP_NO_HISTORICAL_PERFORMANCE_V1</w:t>
            </w:r>
          </w:p>
        </w:tc>
        <w:tc>
          <w:tcPr>
            <w:tcW w:w="1700" w:type="dxa"/>
            <w:shd w:val="clear" w:color="auto" w:fill="FFFFFF"/>
            <w:tcMar>
              <w:top w:w="80" w:type="dxa"/>
              <w:left w:w="100" w:type="dxa"/>
              <w:bottom w:w="80" w:type="dxa"/>
              <w:right w:w="100" w:type="dxa"/>
            </w:tcMar>
          </w:tcPr>
          <w:p>
            <w:pPr>
              <w:pStyle w:val="TableText"/>
            </w:pPr>
            <w:r>
              <w:t xml:space="preserve">PENDING_LEGAL_REVIEW</w:t>
            </w:r>
          </w:p>
        </w:tc>
      </w:tr>
      <w:tr>
        <w:trPr>
          <w:cantSplit/>
        </w:trPr>
        <w:tc>
          <w:tcPr>
            <w:tcW w:w="1300" w:type="dxa"/>
            <w:shd w:val="clear" w:color="auto" w:fill="FFFFFF"/>
            <w:tcMar>
              <w:top w:w="80" w:type="dxa"/>
              <w:left w:w="100" w:type="dxa"/>
              <w:bottom w:w="80" w:type="dxa"/>
              <w:right w:w="100" w:type="dxa"/>
            </w:tcMar>
          </w:tcPr>
          <w:p>
            <w:pPr>
              <w:pStyle w:val="TableText"/>
            </w:pPr>
            <w:r>
              <w:t xml:space="preserve">CMP-0020</w:t>
            </w:r>
          </w:p>
        </w:tc>
        <w:tc>
          <w:tcPr>
            <w:tcW w:w="2300" w:type="dxa"/>
            <w:shd w:val="clear" w:color="auto" w:fill="FFFFFF"/>
            <w:tcMar>
              <w:top w:w="80" w:type="dxa"/>
              <w:left w:w="100" w:type="dxa"/>
              <w:bottom w:w="80" w:type="dxa"/>
              <w:right w:w="100" w:type="dxa"/>
            </w:tcMar>
          </w:tcPr>
          <w:p>
            <w:pPr>
              <w:pStyle w:val="TableText"/>
            </w:pPr>
            <w:r>
              <w:t xml:space="preserve">5.2 Investisseur-type</w:t>
            </w:r>
          </w:p>
        </w:tc>
        <w:tc>
          <w:tcPr>
            <w:tcW w:w="3200" w:type="dxa"/>
            <w:shd w:val="clear" w:color="auto" w:fill="FFFFFF"/>
            <w:tcMar>
              <w:top w:w="80" w:type="dxa"/>
              <w:left w:w="100" w:type="dxa"/>
              <w:bottom w:w="80" w:type="dxa"/>
              <w:right w:w="100" w:type="dxa"/>
            </w:tcMar>
          </w:tcPr>
          <w:p>
            <w:pPr>
              <w:pStyle w:val="TableText"/>
            </w:pPr>
            <w:r>
              <w:t xml:space="preserve">CIRC005_5_2_TARGET_INVESTOR</w:t>
            </w:r>
          </w:p>
        </w:tc>
        <w:tc>
          <w:tcPr>
            <w:tcW w:w="1800" w:type="dxa"/>
            <w:shd w:val="clear" w:color="auto" w:fill="FFFFFF"/>
            <w:tcMar>
              <w:top w:w="80" w:type="dxa"/>
              <w:left w:w="100" w:type="dxa"/>
              <w:bottom w:w="80" w:type="dxa"/>
              <w:right w:w="100" w:type="dxa"/>
            </w:tcMar>
          </w:tcPr>
          <w:p>
            <w:pPr>
              <w:pStyle w:val="TableText"/>
            </w:pPr>
            <w:r>
              <w:t xml:space="preserve">UMOA_FCP_TARGET_INVESTOR_V1</w:t>
            </w:r>
          </w:p>
        </w:tc>
        <w:tc>
          <w:tcPr>
            <w:tcW w:w="1700" w:type="dxa"/>
            <w:shd w:val="clear" w:color="auto" w:fill="FFFFFF"/>
            <w:tcMar>
              <w:top w:w="80" w:type="dxa"/>
              <w:left w:w="100" w:type="dxa"/>
              <w:bottom w:w="80" w:type="dxa"/>
              <w:right w:w="100" w:type="dxa"/>
            </w:tcMar>
          </w:tcPr>
          <w:p>
            <w:pPr>
              <w:pStyle w:val="TableText"/>
            </w:pPr>
            <w:r>
              <w:t xml:space="preserve">PENDING_LEGAL_REVIEW</w:t>
            </w:r>
          </w:p>
        </w:tc>
      </w:tr>
      <w:tr>
        <w:trPr>
          <w:cantSplit/>
        </w:trPr>
        <w:tc>
          <w:tcPr>
            <w:tcW w:w="1300" w:type="dxa"/>
            <w:shd w:val="clear" w:color="auto" w:fill="FFFFFF"/>
            <w:tcMar>
              <w:top w:w="80" w:type="dxa"/>
              <w:left w:w="100" w:type="dxa"/>
              <w:bottom w:w="80" w:type="dxa"/>
              <w:right w:w="100" w:type="dxa"/>
            </w:tcMar>
          </w:tcPr>
          <w:p>
            <w:pPr>
              <w:pStyle w:val="TableText"/>
            </w:pPr>
            <w:r>
              <w:t xml:space="preserve">CMP-0029</w:t>
            </w:r>
          </w:p>
        </w:tc>
        <w:tc>
          <w:tcPr>
            <w:tcW w:w="2300" w:type="dxa"/>
            <w:shd w:val="clear" w:color="auto" w:fill="FFFFFF"/>
            <w:tcMar>
              <w:top w:w="80" w:type="dxa"/>
              <w:left w:w="100" w:type="dxa"/>
              <w:bottom w:w="80" w:type="dxa"/>
              <w:right w:w="100" w:type="dxa"/>
            </w:tcMar>
          </w:tcPr>
          <w:p>
            <w:pPr>
              <w:pStyle w:val="TableText"/>
            </w:pPr>
            <w:r>
              <w:t xml:space="preserve">5.3 Informations d’ordre économique</w:t>
            </w:r>
          </w:p>
        </w:tc>
        <w:tc>
          <w:tcPr>
            <w:tcW w:w="3200" w:type="dxa"/>
            <w:shd w:val="clear" w:color="auto" w:fill="FFFFFF"/>
            <w:tcMar>
              <w:top w:w="80" w:type="dxa"/>
              <w:left w:w="100" w:type="dxa"/>
              <w:bottom w:w="80" w:type="dxa"/>
              <w:right w:w="100" w:type="dxa"/>
            </w:tcMar>
          </w:tcPr>
          <w:p>
            <w:pPr>
              <w:pStyle w:val="TableText"/>
            </w:pPr>
            <w:r>
              <w:t xml:space="preserve">CIRC005_5_3_ECONOMIC_INFORMATION</w:t>
            </w:r>
          </w:p>
        </w:tc>
        <w:tc>
          <w:tcPr>
            <w:tcW w:w="1800" w:type="dxa"/>
            <w:shd w:val="clear" w:color="auto" w:fill="FFFFFF"/>
            <w:tcMar>
              <w:top w:w="80" w:type="dxa"/>
              <w:left w:w="100" w:type="dxa"/>
              <w:bottom w:w="80" w:type="dxa"/>
              <w:right w:w="100" w:type="dxa"/>
            </w:tcMar>
          </w:tcPr>
          <w:p>
            <w:pPr>
              <w:pStyle w:val="TableText"/>
            </w:pPr>
            <w:r>
              <w:t xml:space="preserve">—</w:t>
            </w:r>
          </w:p>
        </w:tc>
        <w:tc>
          <w:tcPr>
            <w:tcW w:w="1700" w:type="dxa"/>
            <w:shd w:val="clear" w:color="auto" w:fill="FFFFFF"/>
            <w:tcMar>
              <w:top w:w="80" w:type="dxa"/>
              <w:left w:w="100" w:type="dxa"/>
              <w:bottom w:w="80" w:type="dxa"/>
              <w:right w:w="100" w:type="dxa"/>
            </w:tcMar>
          </w:tcPr>
          <w:p>
            <w:pPr>
              <w:pStyle w:val="TableText"/>
            </w:pPr>
            <w:r>
              <w:t xml:space="preserve">LEGAL_REVIEW_REQUIRED</w:t>
            </w:r>
          </w:p>
        </w:tc>
      </w:tr>
      <w:tr>
        <w:trPr>
          <w:cantSplit/>
        </w:trPr>
        <w:tc>
          <w:tcPr>
            <w:tcW w:w="1300" w:type="dxa"/>
            <w:shd w:val="clear" w:color="auto" w:fill="FFFFFF"/>
            <w:tcMar>
              <w:top w:w="80" w:type="dxa"/>
              <w:left w:w="100" w:type="dxa"/>
              <w:bottom w:w="80" w:type="dxa"/>
              <w:right w:w="100" w:type="dxa"/>
            </w:tcMar>
          </w:tcPr>
          <w:p>
            <w:pPr>
              <w:pStyle w:val="TableText"/>
            </w:pPr>
            <w:r>
              <w:t xml:space="preserve">CMP-0044</w:t>
            </w:r>
          </w:p>
        </w:tc>
        <w:tc>
          <w:tcPr>
            <w:tcW w:w="2300" w:type="dxa"/>
            <w:shd w:val="clear" w:color="auto" w:fill="FFFFFF"/>
            <w:tcMar>
              <w:top w:w="80" w:type="dxa"/>
              <w:left w:w="100" w:type="dxa"/>
              <w:bottom w:w="80" w:type="dxa"/>
              <w:right w:w="100" w:type="dxa"/>
            </w:tcMar>
          </w:tcPr>
          <w:p>
            <w:pPr>
              <w:pStyle w:val="TableText"/>
            </w:pPr>
            <w:r>
              <w:t xml:space="preserve">5.4 Autres dépenses et commissions</w:t>
            </w:r>
          </w:p>
        </w:tc>
        <w:tc>
          <w:tcPr>
            <w:tcW w:w="3200" w:type="dxa"/>
            <w:shd w:val="clear" w:color="auto" w:fill="FFFFFF"/>
            <w:tcMar>
              <w:top w:w="80" w:type="dxa"/>
              <w:left w:w="100" w:type="dxa"/>
              <w:bottom w:w="80" w:type="dxa"/>
              <w:right w:w="100" w:type="dxa"/>
            </w:tcMar>
          </w:tcPr>
          <w:p>
            <w:pPr>
              <w:pStyle w:val="TableText"/>
            </w:pPr>
            <w:r>
              <w:t xml:space="preserve">CIRC005_5_4_OTHER_EXPENSES_HOLDER</w:t>
            </w:r>
          </w:p>
        </w:tc>
        <w:tc>
          <w:tcPr>
            <w:tcW w:w="1800" w:type="dxa"/>
            <w:shd w:val="clear" w:color="auto" w:fill="FFFFFF"/>
            <w:tcMar>
              <w:top w:w="80" w:type="dxa"/>
              <w:left w:w="100" w:type="dxa"/>
              <w:bottom w:w="80" w:type="dxa"/>
              <w:right w:w="100" w:type="dxa"/>
            </w:tcMar>
          </w:tcPr>
          <w:p>
            <w:pPr>
              <w:pStyle w:val="TableText"/>
            </w:pPr>
            <w:r>
              <w:t xml:space="preserve">CIRC005_HOLDER_EXPENSES_V1</w:t>
            </w:r>
          </w:p>
        </w:tc>
        <w:tc>
          <w:tcPr>
            <w:tcW w:w="1700" w:type="dxa"/>
            <w:shd w:val="clear" w:color="auto" w:fill="FFFFFF"/>
            <w:tcMar>
              <w:top w:w="80" w:type="dxa"/>
              <w:left w:w="100" w:type="dxa"/>
              <w:bottom w:w="80" w:type="dxa"/>
              <w:right w:w="100" w:type="dxa"/>
            </w:tcMar>
          </w:tcPr>
          <w:p>
            <w:pPr>
              <w:pStyle w:val="TableText"/>
            </w:pPr>
            <w:r>
              <w:t xml:space="preserve">PENDING_LEGAL_REVIEW</w:t>
            </w:r>
          </w:p>
        </w:tc>
      </w:tr>
    </w:tbl>
    <w:p/>
    <w:p>
      <w:r>
        <w:br w:type="page"/>
      </w:r>
    </w:p>
    <w:p>
      <w:pPr>
        <w:pStyle w:val="Heading1"/>
      </w:pPr>
      <w:r>
        <w:t xml:space="preserve">État de pré-conformité</w:t>
      </w:r>
    </w:p>
    <w:tbl>
      <w:tblPr>
        <w:tblStyle w:val="TableGrid"/>
        <w:tblW w:w="0" w:type="auto"/>
        <w:tblLayout w:type="fixed"/>
      </w:tblPr>
      <w:tblGrid>
        <w:gridCol w:w="3000"/>
        <w:gridCol w:w="6000"/>
      </w:tblGrid>
      <w:tr>
        <w:trPr>
          <w:tblHeader/>
          <w:cantSplit/>
        </w:trPr>
        <w:tc>
          <w:tcPr>
            <w:tcW w:w="3000" w:type="dxa"/>
            <w:shd w:val="clear" w:color="auto" w:fill="D9EAF7"/>
            <w:tcMar>
              <w:top w:w="80" w:type="dxa"/>
              <w:left w:w="100" w:type="dxa"/>
              <w:bottom w:w="80" w:type="dxa"/>
              <w:right w:w="100" w:type="dxa"/>
            </w:tcMar>
          </w:tcPr>
          <w:p>
            <w:pPr>
              <w:pStyle w:val="TableText"/>
            </w:pPr>
            <w:r>
              <w:rPr>
                <w:b/>
              </w:rPr>
              <w:t xml:space="preserve">Champ</w:t>
            </w:r>
          </w:p>
        </w:tc>
        <w:tc>
          <w:tcPr>
            <w:tcW w:w="6000" w:type="dxa"/>
            <w:shd w:val="clear" w:color="auto" w:fill="D9EAF7"/>
            <w:tcMar>
              <w:top w:w="80" w:type="dxa"/>
              <w:left w:w="100" w:type="dxa"/>
              <w:bottom w:w="80" w:type="dxa"/>
              <w:right w:w="100" w:type="dxa"/>
            </w:tcMar>
          </w:tcPr>
          <w:p>
            <w:pPr>
              <w:pStyle w:val="TableText"/>
            </w:pPr>
            <w:r>
              <w:rPr>
                <w:b/>
              </w:rPr>
              <w:t xml:space="preserve">Valeur</w:t>
            </w:r>
          </w:p>
        </w:tc>
      </w:tr>
      <w:tr>
        <w:trPr>
          <w:cantSplit/>
        </w:trPr>
        <w:tc>
          <w:tcPr>
            <w:tcW w:w="3000" w:type="dxa"/>
            <w:shd w:val="clear" w:color="auto" w:fill="FFFFFF"/>
            <w:tcMar>
              <w:top w:w="80" w:type="dxa"/>
              <w:left w:w="100" w:type="dxa"/>
              <w:bottom w:w="80" w:type="dxa"/>
              <w:right w:w="100" w:type="dxa"/>
            </w:tcMar>
          </w:tcPr>
          <w:p>
            <w:pPr>
              <w:pStyle w:val="TableText"/>
            </w:pPr>
            <w:r>
              <w:t xml:space="preserve">Exigences analysées</w:t>
            </w:r>
          </w:p>
        </w:tc>
        <w:tc>
          <w:tcPr>
            <w:tcW w:w="6000" w:type="dxa"/>
            <w:shd w:val="clear" w:color="auto" w:fill="FFFFFF"/>
            <w:tcMar>
              <w:top w:w="80" w:type="dxa"/>
              <w:left w:w="100" w:type="dxa"/>
              <w:bottom w:w="80" w:type="dxa"/>
              <w:right w:w="100" w:type="dxa"/>
            </w:tcMar>
          </w:tcPr>
          <w:p>
            <w:pPr>
              <w:pStyle w:val="TableText"/>
            </w:pPr>
            <w:r>
              <w:t xml:space="preserve">62</w:t>
            </w:r>
          </w:p>
        </w:tc>
      </w:tr>
      <w:tr>
        <w:trPr>
          <w:cantSplit/>
        </w:trPr>
        <w:tc>
          <w:tcPr>
            <w:tcW w:w="3000" w:type="dxa"/>
            <w:shd w:val="clear" w:color="auto" w:fill="FFFFFF"/>
            <w:tcMar>
              <w:top w:w="80" w:type="dxa"/>
              <w:left w:w="100" w:type="dxa"/>
              <w:bottom w:w="80" w:type="dxa"/>
              <w:right w:w="100" w:type="dxa"/>
            </w:tcMar>
          </w:tcPr>
          <w:p>
            <w:pPr>
              <w:pStyle w:val="TableText"/>
            </w:pPr>
            <w:r>
              <w:t xml:space="preserve">Couvertes dans le prospectus</w:t>
            </w:r>
          </w:p>
        </w:tc>
        <w:tc>
          <w:tcPr>
            <w:tcW w:w="6000" w:type="dxa"/>
            <w:shd w:val="clear" w:color="auto" w:fill="FFFFFF"/>
            <w:tcMar>
              <w:top w:w="80" w:type="dxa"/>
              <w:left w:w="100" w:type="dxa"/>
              <w:bottom w:w="80" w:type="dxa"/>
              <w:right w:w="100" w:type="dxa"/>
            </w:tcMar>
          </w:tcPr>
          <w:p>
            <w:pPr>
              <w:pStyle w:val="TableText"/>
            </w:pPr>
            <w:r>
              <w:t xml:space="preserve">40</w:t>
            </w:r>
          </w:p>
        </w:tc>
      </w:tr>
      <w:tr>
        <w:trPr>
          <w:cantSplit/>
        </w:trPr>
        <w:tc>
          <w:tcPr>
            <w:tcW w:w="3000" w:type="dxa"/>
            <w:shd w:val="clear" w:color="auto" w:fill="FFFFFF"/>
            <w:tcMar>
              <w:top w:w="80" w:type="dxa"/>
              <w:left w:w="100" w:type="dxa"/>
              <w:bottom w:w="80" w:type="dxa"/>
              <w:right w:w="100" w:type="dxa"/>
            </w:tcMar>
          </w:tcPr>
          <w:p>
            <w:pPr>
              <w:pStyle w:val="TableText"/>
            </w:pPr>
            <w:r>
              <w:t xml:space="preserve">En attente de revue</w:t>
            </w:r>
          </w:p>
        </w:tc>
        <w:tc>
          <w:tcPr>
            <w:tcW w:w="6000" w:type="dxa"/>
            <w:shd w:val="clear" w:color="auto" w:fill="FFFFFF"/>
            <w:tcMar>
              <w:top w:w="80" w:type="dxa"/>
              <w:left w:w="100" w:type="dxa"/>
              <w:bottom w:w="80" w:type="dxa"/>
              <w:right w:w="100" w:type="dxa"/>
            </w:tcMar>
          </w:tcPr>
          <w:p>
            <w:pPr>
              <w:pStyle w:val="TableText"/>
            </w:pPr>
            <w:r>
              <w:t xml:space="preserve">20</w:t>
            </w:r>
          </w:p>
        </w:tc>
      </w:tr>
      <w:tr>
        <w:trPr>
          <w:cantSplit/>
        </w:trPr>
        <w:tc>
          <w:tcPr>
            <w:tcW w:w="3000" w:type="dxa"/>
            <w:shd w:val="clear" w:color="auto" w:fill="FFFFFF"/>
            <w:tcMar>
              <w:top w:w="80" w:type="dxa"/>
              <w:left w:w="100" w:type="dxa"/>
              <w:bottom w:w="80" w:type="dxa"/>
              <w:right w:w="100" w:type="dxa"/>
            </w:tcMar>
          </w:tcPr>
          <w:p>
            <w:pPr>
              <w:pStyle w:val="TableText"/>
            </w:pPr>
            <w:r>
              <w:t xml:space="preserve">Manquantes</w:t>
            </w:r>
          </w:p>
        </w:tc>
        <w:tc>
          <w:tcPr>
            <w:tcW w:w="6000" w:type="dxa"/>
            <w:shd w:val="clear" w:color="auto" w:fill="FFFFFF"/>
            <w:tcMar>
              <w:top w:w="80" w:type="dxa"/>
              <w:left w:w="100" w:type="dxa"/>
              <w:bottom w:w="80" w:type="dxa"/>
              <w:right w:w="100" w:type="dxa"/>
            </w:tcMar>
          </w:tcPr>
          <w:p>
            <w:pPr>
              <w:pStyle w:val="TableText"/>
            </w:pPr>
            <w:r>
              <w:t xml:space="preserve">0</w:t>
            </w:r>
          </w:p>
        </w:tc>
      </w:tr>
      <w:tr>
        <w:trPr>
          <w:cantSplit/>
        </w:trPr>
        <w:tc>
          <w:tcPr>
            <w:tcW w:w="3000" w:type="dxa"/>
            <w:shd w:val="clear" w:color="auto" w:fill="FFFFFF"/>
            <w:tcMar>
              <w:top w:w="80" w:type="dxa"/>
              <w:left w:w="100" w:type="dxa"/>
              <w:bottom w:w="80" w:type="dxa"/>
              <w:right w:w="100" w:type="dxa"/>
            </w:tcMar>
          </w:tcPr>
          <w:p>
            <w:pPr>
              <w:pStyle w:val="TableText"/>
            </w:pPr>
            <w:r>
              <w:t xml:space="preserve">Non applicables</w:t>
            </w:r>
          </w:p>
        </w:tc>
        <w:tc>
          <w:tcPr>
            <w:tcW w:w="6000" w:type="dxa"/>
            <w:shd w:val="clear" w:color="auto" w:fill="FFFFFF"/>
            <w:tcMar>
              <w:top w:w="80" w:type="dxa"/>
              <w:left w:w="100" w:type="dxa"/>
              <w:bottom w:w="80" w:type="dxa"/>
              <w:right w:w="100" w:type="dxa"/>
            </w:tcMar>
          </w:tcPr>
          <w:p>
            <w:pPr>
              <w:pStyle w:val="TableText"/>
            </w:pPr>
            <w:r>
              <w:t xml:space="preserve">1</w:t>
            </w:r>
          </w:p>
        </w:tc>
      </w:tr>
      <w:tr>
        <w:trPr>
          <w:cantSplit/>
        </w:trPr>
        <w:tc>
          <w:tcPr>
            <w:tcW w:w="3000" w:type="dxa"/>
            <w:shd w:val="clear" w:color="auto" w:fill="FFFFFF"/>
            <w:tcMar>
              <w:top w:w="80" w:type="dxa"/>
              <w:left w:w="100" w:type="dxa"/>
              <w:bottom w:w="80" w:type="dxa"/>
              <w:right w:w="100" w:type="dxa"/>
            </w:tcMar>
          </w:tcPr>
          <w:p>
            <w:pPr>
              <w:pStyle w:val="TableText"/>
            </w:pPr>
            <w:r>
              <w:t xml:space="preserve">Métadonnées système</w:t>
            </w:r>
          </w:p>
        </w:tc>
        <w:tc>
          <w:tcPr>
            <w:tcW w:w="6000" w:type="dxa"/>
            <w:shd w:val="clear" w:color="auto" w:fill="FFFFFF"/>
            <w:tcMar>
              <w:top w:w="80" w:type="dxa"/>
              <w:left w:w="100" w:type="dxa"/>
              <w:bottom w:w="80" w:type="dxa"/>
              <w:right w:w="100" w:type="dxa"/>
            </w:tcMar>
          </w:tcPr>
          <w:p>
            <w:pPr>
              <w:pStyle w:val="TableText"/>
            </w:pPr>
            <w:r>
              <w:t xml:space="preserve">1</w:t>
            </w:r>
          </w:p>
        </w:tc>
      </w:tr>
      <w:tr>
        <w:trPr>
          <w:cantSplit/>
        </w:trPr>
        <w:tc>
          <w:tcPr>
            <w:tcW w:w="3000" w:type="dxa"/>
            <w:shd w:val="clear" w:color="auto" w:fill="FFFFFF"/>
            <w:tcMar>
              <w:top w:w="80" w:type="dxa"/>
              <w:left w:w="100" w:type="dxa"/>
              <w:bottom w:w="80" w:type="dxa"/>
              <w:right w:w="100" w:type="dxa"/>
            </w:tcMar>
          </w:tcPr>
          <w:p>
            <w:pPr>
              <w:pStyle w:val="TableText"/>
            </w:pPr>
            <w:r>
              <w:t xml:space="preserve">Prêt pour revue conformité</w:t>
            </w:r>
          </w:p>
        </w:tc>
        <w:tc>
          <w:tcPr>
            <w:tcW w:w="6000" w:type="dxa"/>
            <w:shd w:val="clear" w:color="auto" w:fill="FFFFFF"/>
            <w:tcMar>
              <w:top w:w="80" w:type="dxa"/>
              <w:left w:w="100" w:type="dxa"/>
              <w:bottom w:w="80" w:type="dxa"/>
              <w:right w:w="100" w:type="dxa"/>
            </w:tcMar>
          </w:tcPr>
          <w:p>
            <w:pPr>
              <w:pStyle w:val="TableText"/>
            </w:pPr>
            <w:r>
              <w:t xml:space="preserve">Non</w:t>
            </w:r>
          </w:p>
        </w:tc>
      </w:tr>
      <w:tr>
        <w:trPr>
          <w:cantSplit/>
        </w:trPr>
        <w:tc>
          <w:tcPr>
            <w:tcW w:w="3000" w:type="dxa"/>
            <w:shd w:val="clear" w:color="auto" w:fill="FFFFFF"/>
            <w:tcMar>
              <w:top w:w="80" w:type="dxa"/>
              <w:left w:w="100" w:type="dxa"/>
              <w:bottom w:w="80" w:type="dxa"/>
              <w:right w:w="100" w:type="dxa"/>
            </w:tcMar>
          </w:tcPr>
          <w:p>
            <w:pPr>
              <w:pStyle w:val="TableText"/>
            </w:pPr>
            <w:r>
              <w:t xml:space="preserve">Prêt pour soumission</w:t>
            </w:r>
          </w:p>
        </w:tc>
        <w:tc>
          <w:tcPr>
            <w:tcW w:w="6000" w:type="dxa"/>
            <w:shd w:val="clear" w:color="auto" w:fill="FFFFFF"/>
            <w:tcMar>
              <w:top w:w="80" w:type="dxa"/>
              <w:left w:w="100" w:type="dxa"/>
              <w:bottom w:w="80" w:type="dxa"/>
              <w:right w:w="100" w:type="dxa"/>
            </w:tcMar>
          </w:tcPr>
          <w:p>
            <w:pPr>
              <w:pStyle w:val="TableText"/>
            </w:pPr>
            <w:r>
              <w:t xml:space="preserve">Non</w:t>
            </w:r>
          </w:p>
        </w:tc>
      </w:tr>
    </w:tbl>
    <w:p/>
    <w:p>
      <w:pPr>
        <w:pStyle w:val="Warning"/>
      </w:pPr>
      <w:r>
        <w:rPr>
          <w:b/>
        </w:rPr>
        <w:t>AVERTISSEMENT — </w:t>
      </w:r>
      <w:r>
        <w:t xml:space="preserve">Zéro exigence manquante ne vaut ni validation juridique, ni validation conformité, ni décision du régulateur. Les rubriques PENDING_REVIEW doivent être confirmées.</w:t>
      </w:r>
    </w:p>
    <w:sectPr>
      <w:pgSz w:w="11906" w:h="16838"/>
      <w:pgMar w:top="1134" w:right="1134" w:bottom="1134" w:left="1134" w:header="567" w:footer="567" w:gutter="0"/>
      <w:footerReference w:type="default" r:id="rIdFooter1"/>
    </w:sectPr>
  </w:body>
</w:document>
</file>

<file path=word/footer1.xml><?xml version="1.0" encoding="utf-8"?>
<w:ftr xmlns:w="http://schemas.openxmlformats.org/wordprocessingml/2006/main">
  <w:p>
    <w:pPr>
      <w:jc w:val="center"/>
    </w:pPr>
    <w:r>
      <w:rPr>
        <w:sz w:val="16"/>
        <w:color w:val="666666"/>
      </w:rPr>
      <w:t>Document de pré-conformité — non visé, non approuvé, non soumis</w:t>
    </w:r>
  </w:p>
</w:ftr>
</file>

<file path=word/settings.xml><?xml version="1.0" encoding="utf-8"?>
<w:settings xmlns:w="http://schemas.openxmlformats.org/wordprocessingml/2006/main">
  <w:zoom w:percent="100"/>
  <w:defaultTabStop w:val="720"/>
  <w:updateFields w:val="true"/>
</w:settings>
</file>

<file path=word/styles.xml><?xml version="1.0" encoding="utf-8"?>
<w:styles xmlns:w="http://schemas.openxmlformats.org/wordprocessingml/2006/main">
  <w:docDefaults>
    <w:rPrDefault>
      <w:rPr>
        <w:rFonts w:ascii="Arial" w:hAnsi="Arial"/>
        <w:sz w:val="20"/>
        <w:lang w:val="fr-FR"/>
      </w:rPr>
    </w:rPrDefault>
    <w:pPrDefault>
      <w:pPr>
        <w:spacing w:after="140" w:line="276" w:lineRule="auto"/>
      </w:pPr>
    </w:pPrDefault>
  </w:docDefaults>
  <w:style w:type="paragraph" w:default="1" w:styleId="Normal">
    <w:name w:val="Normal"/>
    <w:qFormat/>
  </w:style>
  <w:style w:type="paragraph" w:styleId="Title">
    <w:name w:val="Title"/>
    <w:basedOn w:val="Normal"/>
    <w:next w:val="Subtitle"/>
    <w:qFormat/>
    <w:pPr>
      <w:jc w:val="center"/>
      <w:spacing w:before="900" w:after="240"/>
    </w:pPr>
    <w:rPr>
      <w:b/>
      <w:color w:val="17365D"/>
      <w:sz w:val="36"/>
    </w:rPr>
  </w:style>
  <w:style w:type="paragraph" w:styleId="Subtitle">
    <w:name w:val="Subtitle"/>
    <w:basedOn w:val="Normal"/>
    <w:qFormat/>
    <w:pPr>
      <w:jc w:val="center"/>
      <w:spacing w:after="360"/>
    </w:pPr>
    <w:rPr>
      <w:i/>
      <w:color w:val="4F81BD"/>
      <w:sz w:val="24"/>
    </w:rPr>
  </w:style>
  <w:style w:type="paragraph" w:styleId="Heading1">
    <w:name w:val="heading 1"/>
    <w:basedOn w:val="Normal"/>
    <w:next w:val="Normal"/>
    <w:qFormat/>
    <w:pPr>
      <w:keepNext/>
      <w:pageBreakBefore w:val="0"/>
      <w:spacing w:before="360" w:after="160"/>
    </w:pPr>
    <w:rPr>
      <w:b/>
      <w:color w:val="17365D"/>
      <w:sz w:val="28"/>
    </w:rPr>
  </w:style>
  <w:style w:type="paragraph" w:styleId="Warning">
    <w:name w:val="Warning"/>
    <w:basedOn w:val="Normal"/>
    <w:qFormat/>
    <w:pPr>
      <w:shd w:val="clear" w:color="auto" w:fill="FFF2CC"/>
      <w:ind w:left="240" w:right="240"/>
      <w:spacing w:before="120" w:after="180"/>
    </w:pPr>
    <w:rPr>
      <w:color w:val="7F6000"/>
    </w:rPr>
  </w:style>
  <w:style w:type="paragraph" w:styleId="ListBullet">
    <w:name w:val="List Bullet"/>
    <w:basedOn w:val="Normal"/>
    <w:pPr>
      <w:ind w:left="540" w:hanging="240"/>
    </w:pPr>
  </w:style>
  <w:style w:type="paragraph" w:styleId="TableText">
    <w:name w:val="Table Text"/>
    <w:basedOn w:val="Normal"/>
    <w:pPr>
      <w:spacing w:after="0" w:line="220" w:lineRule="auto"/>
    </w:pPr>
    <w:rPr>
      <w:sz w:val="17"/>
    </w:rPr>
  </w:style>
  <w:style w:type="table" w:styleId="TableGrid">
    <w:name w:val="Table Grid"/>
    <w:tblPr>
      <w:tblBorders>
        <w:top w:val="single" w:sz="4" w:color="B4C6E7"/>
        <w:left w:val="single" w:sz="4" w:color="B4C6E7"/>
        <w:bottom w:val="single" w:sz="4" w:color="B4C6E7"/>
        <w:right w:val="single" w:sz="4" w:color="B4C6E7"/>
        <w:insideH w:val="single" w:sz="4" w:color="D9E2F3"/>
        <w:insideV w:val="single" w:sz="4" w:color="D9E2F3"/>
      </w:tblBorders>
    </w:tbl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Settings" Type="http://schemas.openxmlformats.org/officeDocument/2006/relationships/settings" Target="settings.xml"/>
  <Relationship Id="rIdFooter1" Type="http://schemas.openxmlformats.org/officeDocument/2006/relationships/footer" Target="footer1.xml"/>
</Relationships>
</file>

<file path=docProps/app.xml><?xml version="1.0" encoding="utf-8"?>
<Properties xmlns="http://schemas.openxmlformats.org/officeDocument/2006/extended-properties" xmlns:vt="http://schemas.openxmlformats.org/officeDocument/2006/docPropsVTypes">
  <Application>Regulatory Prospectus Composer</Application>
  <AppVersion>0.1.0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Prospectus FCP — document de pré-conformité</dc:title>
  <dc:subject>GEN-D23C08F9167F2780</dc:subject>
  <dc:creator>Regulatory Prospectus Composer</dc:creator>
  <cp:lastModifiedBy>Regulatory Prospectus Composer</cp:lastModifiedBy>
  <dcterms:created xsi:type="dcterms:W3CDTF">2026-08-05T00:00:00Z</dcterms:created>
  <dcterms:modified xsi:type="dcterms:W3CDTF">2026-08-05T00:00:00Z</dcterms:modified>
</cp:coreProperties>
</file>