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Noto Serif" w:cs="Noto Serif" w:eastAsia="Noto Serif" w:hAnsi="Noto Serif"/>
          <w:b/>
          <w:bCs/>
          <w:color w:val="45636B"/>
          <w:sz w:val="52"/>
          <w:szCs w:val="52"/>
        </w:rPr>
        <w:t xml:space="preserve">REHAB-ATLAS</w:t>
      </w:r>
    </w:p>
    <w:p>
      <w:pPr>
        <w:spacing w:after="80"/>
        <w:jc w:val="center"/>
      </w:pPr>
      <w:r>
        <w:rPr>
          <w:rFonts w:ascii="Inter" w:cs="Inter" w:eastAsia="Inter" w:hAnsi="Inter"/>
          <w:i/>
          <w:iCs/>
          <w:color w:val="A0C4CE"/>
          <w:sz w:val="22"/>
          <w:szCs w:val="22"/>
        </w:rPr>
        <w:t xml:space="preserve">A Digital Sanctuary for Recovery</w:t>
      </w:r>
    </w:p>
    <w:p>
      <w:pPr>
        <w:spacing w:after="80"/>
      </w:pPr>
    </w:p>
    <w:p>
      <w:pPr>
        <w:spacing w:after="200"/>
        <w:jc w:val="center"/>
      </w:pPr>
      <w:r>
        <w:rPr>
          <w:color w:val="45636B"/>
          <w:sz w:val="20"/>
          <w:szCs w:val="20"/>
        </w:rPr>
        <w:t xml:space="preserve">──────────────────────────────</w:t>
      </w:r>
    </w:p>
    <w:p>
      <w:pPr>
        <w:spacing w:after="60"/>
        <w:jc w:val="center"/>
      </w:pPr>
      <w:r>
        <w:rPr>
          <w:rFonts w:ascii="Noto Serif" w:cs="Noto Serif" w:eastAsia="Noto Serif" w:hAnsi="Noto Serif"/>
          <w:b/>
          <w:bCs/>
          <w:color w:val="1A2E35"/>
          <w:sz w:val="40"/>
          <w:szCs w:val="40"/>
        </w:rPr>
        <w:t xml:space="preserve">OVERSEA AGENT CONTRACT</w:t>
      </w:r>
    </w:p>
    <w:p>
      <w:pPr>
        <w:spacing w:after="200"/>
        <w:jc w:val="center"/>
      </w:pPr>
      <w:r>
        <w:rPr>
          <w:rFonts w:ascii="Inter" w:cs="Inter" w:eastAsia="Inter" w:hAnsi="Inter"/>
          <w:color w:val="45636B"/>
          <w:sz w:val="24"/>
          <w:szCs w:val="24"/>
        </w:rPr>
        <w:t xml:space="preserve">International Referral Partnership Agreement</w:t>
      </w:r>
    </w:p>
    <w:p>
      <w:pPr>
        <w:spacing w:after="400"/>
        <w:jc w:val="center"/>
      </w:pPr>
      <w:r>
        <w:rPr>
          <w:color w:val="45636B"/>
          <w:sz w:val="20"/>
          <w:szCs w:val="20"/>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Inter" w:cs="Inter" w:eastAsia="Inter" w:hAnsi="Inter"/>
                <w:b/>
                <w:bCs/>
                <w:color w:val="45636B"/>
                <w:sz w:val="20"/>
                <w:szCs w:val="20"/>
              </w:rPr>
              <w:t xml:space="preserve">Contract No.</w:t>
            </w:r>
          </w:p>
        </w:tc>
        <w:tc>
          <w:tcPr>
            <w:tcW w:type="dxa" w:w="3600"/>
            <w:tcBorders>
              <w:top w:val="none" w:color="FFFFFF" w:sz="0"/>
              <w:left w:val="none" w:color="FFFFFF" w:sz="0"/>
              <w:bottom w:val="none" w:color="FFFFFF" w:sz="0"/>
              <w:right w:val="none" w:color="FFFFFF" w:sz="0"/>
            </w:tcBorders>
          </w:tcPr>
          <w:p>
            <w:r>
              <w:rPr>
                <w:rFonts w:ascii="Inter" w:cs="Inter" w:eastAsia="Inter" w:hAnsi="Inter"/>
                <w:color w:val="1A2E35"/>
                <w:sz w:val="20"/>
                <w:szCs w:val="20"/>
              </w:rPr>
              <w:t xml:space="preserve">[RA-YYYY-XXX]</w:t>
            </w:r>
          </w:p>
        </w:tc>
      </w:tr>
      <w:tr>
        <w:tc>
          <w:tcPr>
            <w:tcW w:type="dxa" w:w="2400"/>
            <w:tcBorders>
              <w:top w:val="none" w:color="FFFFFF" w:sz="0"/>
              <w:left w:val="none" w:color="FFFFFF" w:sz="0"/>
              <w:bottom w:val="none" w:color="FFFFFF" w:sz="0"/>
              <w:right w:val="none" w:color="FFFFFF" w:sz="0"/>
            </w:tcBorders>
          </w:tcPr>
          <w:p>
            <w:r>
              <w:rPr>
                <w:rFonts w:ascii="Inter" w:cs="Inter" w:eastAsia="Inter" w:hAnsi="Inter"/>
                <w:b/>
                <w:bCs/>
                <w:color w:val="45636B"/>
                <w:sz w:val="20"/>
                <w:szCs w:val="20"/>
              </w:rPr>
              <w:t xml:space="preserve">Effective Date</w:t>
            </w:r>
          </w:p>
        </w:tc>
        <w:tc>
          <w:tcPr>
            <w:tcW w:type="dxa" w:w="3600"/>
            <w:tcBorders>
              <w:top w:val="none" w:color="FFFFFF" w:sz="0"/>
              <w:left w:val="none" w:color="FFFFFF" w:sz="0"/>
              <w:bottom w:val="none" w:color="FFFFFF" w:sz="0"/>
              <w:right w:val="none" w:color="FFFFFF" w:sz="0"/>
            </w:tcBorders>
          </w:tcPr>
          <w:p>
            <w:r>
              <w:rPr>
                <w:rFonts w:ascii="Inter" w:cs="Inter" w:eastAsia="Inter" w:hAnsi="Inter"/>
                <w:color w:val="1A2E35"/>
                <w:sz w:val="20"/>
                <w:szCs w:val="20"/>
              </w:rPr>
              <w:t xml:space="preserve">[DD / MM / YYYY]</w:t>
            </w:r>
          </w:p>
        </w:tc>
      </w:tr>
      <w:tr>
        <w:tc>
          <w:tcPr>
            <w:tcW w:type="dxa" w:w="2400"/>
            <w:tcBorders>
              <w:top w:val="none" w:color="FFFFFF" w:sz="0"/>
              <w:left w:val="none" w:color="FFFFFF" w:sz="0"/>
              <w:bottom w:val="none" w:color="FFFFFF" w:sz="0"/>
              <w:right w:val="none" w:color="FFFFFF" w:sz="0"/>
            </w:tcBorders>
          </w:tcPr>
          <w:p>
            <w:r>
              <w:rPr>
                <w:rFonts w:ascii="Inter" w:cs="Inter" w:eastAsia="Inter" w:hAnsi="Inter"/>
                <w:b/>
                <w:bCs/>
                <w:color w:val="45636B"/>
                <w:sz w:val="20"/>
                <w:szCs w:val="20"/>
              </w:rPr>
              <w:t xml:space="preserve">Template Version</w:t>
            </w:r>
          </w:p>
        </w:tc>
        <w:tc>
          <w:tcPr>
            <w:tcW w:type="dxa" w:w="3600"/>
            <w:tcBorders>
              <w:top w:val="none" w:color="FFFFFF" w:sz="0"/>
              <w:left w:val="none" w:color="FFFFFF" w:sz="0"/>
              <w:bottom w:val="none" w:color="FFFFFF" w:sz="0"/>
              <w:right w:val="none" w:color="FFFFFF" w:sz="0"/>
            </w:tcBorders>
          </w:tcPr>
          <w:p>
            <w:r>
              <w:rPr>
                <w:rFonts w:ascii="Inter" w:cs="Inter" w:eastAsia="Inter" w:hAnsi="Inter"/>
                <w:color w:val="1A2E35"/>
                <w:sz w:val="20"/>
                <w:szCs w:val="20"/>
              </w:rPr>
              <w:t xml:space="preserve">1.0 — March 2026</w:t>
            </w:r>
          </w:p>
        </w:tc>
      </w:tr>
    </w:tbl>
    <w:p>
      <w:pPr>
        <w:spacing w:after="80"/>
      </w:pPr>
    </w:p>
    <w:p>
      <w:pPr>
        <w:spacing w:after="80"/>
      </w:pPr>
    </w:p>
    <w:p>
      <w:pPr>
        <w:spacing w:after="80"/>
      </w:pPr>
    </w:p>
    <w:p>
      <w:pPr>
        <w:spacing w:after="80"/>
      </w:pPr>
    </w:p>
    <w:p>
      <w:pPr>
        <w:spacing w:after="40"/>
        <w:jc w:val="center"/>
      </w:pPr>
      <w:r>
        <w:rPr>
          <w:rFonts w:ascii="Inter" w:cs="Inter" w:eastAsia="Inter" w:hAnsi="Inter"/>
          <w:b/>
          <w:bCs/>
          <w:color w:val="45636B"/>
          <w:sz w:val="20"/>
          <w:szCs w:val="20"/>
        </w:rPr>
        <w:t xml:space="preserve">CONFIDENTIAL</w:t>
      </w:r>
    </w:p>
    <w:p>
      <w:pPr>
        <w:jc w:val="center"/>
      </w:pPr>
      <w:r>
        <w:rPr>
          <w:rFonts w:ascii="Inter" w:cs="Inter" w:eastAsia="Inter" w:hAnsi="Inter"/>
          <w:i/>
          <w:iCs/>
          <w:color w:val="A0C4CE"/>
          <w:sz w:val="18"/>
          <w:szCs w:val="18"/>
        </w:rPr>
        <w:t xml:space="preserve">This document contains proprietary information of Rehab-Atlas. Unauthorized disclosure is prohibited.</w:t>
      </w:r>
    </w:p>
    <w:p>
      <w:r>
        <w:br w:type="page"/>
      </w:r>
    </w:p>
    <w:p>
      <w:pPr>
        <w:spacing w:after="280"/>
      </w:pPr>
      <w:r>
        <w:rPr>
          <w:rFonts w:ascii="Noto Serif" w:cs="Noto Serif" w:eastAsia="Noto Serif" w:hAnsi="Noto Serif"/>
          <w:b/>
          <w:bCs/>
          <w:color w:val="45636B"/>
          <w:sz w:val="32"/>
          <w:szCs w:val="32"/>
        </w:rPr>
        <w:t xml:space="preserve">OVERSEA AGENT CONTRACT</w:t>
      </w:r>
    </w:p>
    <w:p>
      <w:pPr>
        <w:spacing w:after="160" w:line="276"/>
        <w:jc w:val="both"/>
      </w:pPr>
      <w:r>
        <w:t xml:space="preserve">This Oversea Agent Contract (hereinafter referred to as the “Contract”) is entered into as of the date last signed below (the “Effective Date”), by and between:</w:t>
      </w:r>
    </w:p>
    <w:p>
      <w:pPr>
        <w:spacing w:after="80"/>
      </w:pPr>
    </w:p>
    <w:p>
      <w:pPr>
        <w:spacing w:after="160" w:line="276"/>
        <w:jc w:val="both"/>
      </w:pPr>
      <w:r>
        <w:rPr>
          <w:rFonts w:ascii="Inter" w:cs="Inter" w:eastAsia="Inter" w:hAnsi="Inter"/>
          <w:b/>
          <w:bCs/>
          <w:sz w:val="21"/>
          <w:szCs w:val="21"/>
        </w:rPr>
        <w:t xml:space="preserve">PARTY A — THE AGENT</w:t>
      </w:r>
      <w:r>
        <w:rPr>
          <w:rFonts w:ascii="Inter" w:cs="Inter" w:eastAsia="Inter" w:hAnsi="Inte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Entity Name:</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Rehab-Atlas</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Registered Address:</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[Registered Address]</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Country:</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Thailand</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Contact Person:</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[Authorized Representative]</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Email:</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info@rehab-atlas.com</w:t>
            </w:r>
          </w:p>
        </w:tc>
      </w:tr>
    </w:tbl>
    <w:p>
      <w:pPr>
        <w:spacing w:after="80"/>
      </w:pPr>
    </w:p>
    <w:p>
      <w:pPr>
        <w:spacing w:after="160" w:line="276"/>
        <w:jc w:val="both"/>
      </w:pPr>
      <w:r>
        <w:rPr>
          <w:rFonts w:ascii="Inter" w:cs="Inter" w:eastAsia="Inter" w:hAnsi="Inter"/>
          <w:b/>
          <w:bCs/>
          <w:sz w:val="21"/>
          <w:szCs w:val="21"/>
        </w:rPr>
        <w:t xml:space="preserve">PARTY B — THE CENTER</w:t>
      </w:r>
      <w:r>
        <w:rPr>
          <w:rFonts w:ascii="Inter" w:cs="Inter" w:eastAsia="Inter" w:hAnsi="Inte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Center Name:</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[Center Legal Name]</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Registered Address:</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[Center Address]</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Country:</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[Country]</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Contact Person:</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[Authorized Representative]</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Email:</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[Center Email]</w:t>
            </w:r>
          </w:p>
        </w:tc>
      </w:tr>
      <w:tr>
        <w:tc>
          <w:tcPr>
            <w:tcW w:type="dxa" w:w="28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Inter" w:cs="Inter" w:eastAsia="Inter" w:hAnsi="Inter"/>
                <w:b/>
                <w:bCs/>
                <w:color w:val="45636B"/>
                <w:sz w:val="20"/>
                <w:szCs w:val="20"/>
              </w:rPr>
              <w:t xml:space="preserve">License/Registration No.:</w:t>
            </w:r>
          </w:p>
        </w:tc>
        <w:tc>
          <w:tcPr>
            <w:tcW w:type="dxa" w:w="65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Inter" w:cs="Inter" w:eastAsia="Inter" w:hAnsi="Inter"/>
                <w:sz w:val="20"/>
                <w:szCs w:val="20"/>
              </w:rPr>
              <w:t xml:space="preserve">[License Number]</w:t>
            </w:r>
          </w:p>
        </w:tc>
      </w:tr>
    </w:tbl>
    <w:p>
      <w:pPr>
        <w:spacing w:after="80"/>
      </w:pPr>
    </w:p>
    <w:p>
      <w:pPr>
        <w:spacing w:after="160" w:line="276"/>
        <w:jc w:val="both"/>
      </w:pPr>
      <w:r>
        <w:t xml:space="preserve">Collectively referred to as the “Parties” and individually as a “Party.”</w:t>
      </w:r>
    </w:p>
    <w:p>
      <w:pPr>
        <w:spacing w:after="160" w:line="276"/>
        <w:jc w:val="both"/>
      </w:pPr>
      <w:r>
        <w:t xml:space="preserve">WHEREAS, the Agent operates an international online platform (www.rehab-atlas.com) facilitating the discovery of and referral to rehabilitation and treatment centers worldwide; and</w:t>
      </w:r>
    </w:p>
    <w:p>
      <w:pPr>
        <w:spacing w:after="160" w:line="276"/>
        <w:jc w:val="both"/>
      </w:pPr>
      <w:r>
        <w:t xml:space="preserve">WHEREAS, the Center operates a licensed rehabilitation and/or treatment facility and desires to receive client referrals from the Agent;</w:t>
      </w:r>
    </w:p>
    <w:p>
      <w:pPr>
        <w:spacing w:after="160" w:line="276"/>
        <w:jc w:val="both"/>
      </w:pPr>
      <w:r>
        <w:t xml:space="preserve">NOW, THEREFORE, in consideration of the mutual covenants and agreements set forth herein, the Parties agree as follows:</w:t>
      </w:r>
    </w:p>
    <w:p>
      <w:pPr>
        <w:spacing w:after="200" w:before="360"/>
      </w:pPr>
      <w:r>
        <w:rPr>
          <w:rFonts w:ascii="Noto Serif" w:cs="Noto Serif" w:eastAsia="Noto Serif" w:hAnsi="Noto Serif"/>
          <w:b/>
          <w:bCs/>
          <w:color w:val="45636B"/>
          <w:sz w:val="24"/>
          <w:szCs w:val="24"/>
        </w:rPr>
        <w:t xml:space="preserve">1. DEFINITIONS</w:t>
      </w:r>
    </w:p>
    <w:p>
      <w:pPr>
        <w:spacing w:after="160" w:line="276"/>
        <w:jc w:val="both"/>
      </w:pPr>
      <w:r>
        <w:rPr>
          <w:rFonts w:ascii="Inter" w:cs="Inter" w:eastAsia="Inter" w:hAnsi="Inter"/>
          <w:b/>
          <w:bCs/>
          <w:sz w:val="21"/>
          <w:szCs w:val="21"/>
        </w:rPr>
        <w:t xml:space="preserve">“Referred Client” </w:t>
      </w:r>
      <w:r>
        <w:rPr>
          <w:rFonts w:ascii="Inter" w:cs="Inter" w:eastAsia="Inter" w:hAnsi="Inter"/>
          <w:sz w:val="21"/>
          <w:szCs w:val="21"/>
        </w:rPr>
        <w:t xml:space="preserve">means any individual who (a) was introduced to the Center through the Agent’s platform, marketing efforts, or direct referral; (b) whose inquiry, lead, or contact information was transmitted to the Center by the Agent; or (c) who identifies the Agent or www.rehab-atlas.com as the source of their referral, regardless of the time elapsed between the initial referral and admission.</w:t>
      </w:r>
    </w:p>
    <w:p>
      <w:pPr>
        <w:spacing w:after="160" w:line="276"/>
        <w:jc w:val="both"/>
      </w:pPr>
      <w:r>
        <w:rPr>
          <w:rFonts w:ascii="Inter" w:cs="Inter" w:eastAsia="Inter" w:hAnsi="Inter"/>
          <w:b/>
          <w:bCs/>
          <w:sz w:val="21"/>
          <w:szCs w:val="21"/>
        </w:rPr>
        <w:t xml:space="preserve">“Treatment Fee” </w:t>
      </w:r>
      <w:r>
        <w:rPr>
          <w:rFonts w:ascii="Inter" w:cs="Inter" w:eastAsia="Inter" w:hAnsi="Inter"/>
          <w:sz w:val="21"/>
          <w:szCs w:val="21"/>
        </w:rPr>
        <w:t xml:space="preserve">means the agreed price for each of the Center’s treatment programs as set out in Schedule B of this Contract. The Treatment Fee is the sole basis for Commission calculation. The Treatment Fee listed in Schedule B must match the price published on the Agent’s platform (www.rehab-atlas.com). Any change to the Treatment Fee requires a written amendment to this Contract in accordance with Section 4.6.</w:t>
      </w:r>
    </w:p>
    <w:p>
      <w:pPr>
        <w:spacing w:after="160" w:line="276"/>
        <w:jc w:val="both"/>
      </w:pPr>
      <w:r>
        <w:rPr>
          <w:rFonts w:ascii="Inter" w:cs="Inter" w:eastAsia="Inter" w:hAnsi="Inter"/>
          <w:b/>
          <w:bCs/>
          <w:sz w:val="21"/>
          <w:szCs w:val="21"/>
        </w:rPr>
        <w:t xml:space="preserve">“Commission” </w:t>
      </w:r>
      <w:r>
        <w:rPr>
          <w:rFonts w:ascii="Inter" w:cs="Inter" w:eastAsia="Inter" w:hAnsi="Inter"/>
          <w:sz w:val="21"/>
          <w:szCs w:val="21"/>
        </w:rPr>
        <w:t xml:space="preserve">means the percentage-based fee payable by the Center to the Agent as compensation for each successful referral, calculated on the Treatment Fee as detailed in Section 4.</w:t>
      </w:r>
    </w:p>
    <w:p>
      <w:pPr>
        <w:spacing w:after="160" w:line="276"/>
        <w:jc w:val="both"/>
      </w:pPr>
      <w:r>
        <w:rPr>
          <w:rFonts w:ascii="Inter" w:cs="Inter" w:eastAsia="Inter" w:hAnsi="Inter"/>
          <w:b/>
          <w:bCs/>
          <w:sz w:val="21"/>
          <w:szCs w:val="21"/>
        </w:rPr>
        <w:t xml:space="preserve">“Lead” </w:t>
      </w:r>
      <w:r>
        <w:rPr>
          <w:rFonts w:ascii="Inter" w:cs="Inter" w:eastAsia="Inter" w:hAnsi="Inter"/>
          <w:sz w:val="21"/>
          <w:szCs w:val="21"/>
        </w:rPr>
        <w:t xml:space="preserve">means any inquiry, contact form submission, assessment result, or communication from a prospective client transmitted to the Center through the Agent’s platform or by the Agent’s team.</w:t>
      </w:r>
    </w:p>
    <w:p>
      <w:pPr>
        <w:spacing w:after="160" w:line="276"/>
        <w:jc w:val="both"/>
      </w:pPr>
      <w:r>
        <w:rPr>
          <w:rFonts w:ascii="Inter" w:cs="Inter" w:eastAsia="Inter" w:hAnsi="Inter"/>
          <w:b/>
          <w:bCs/>
          <w:sz w:val="21"/>
          <w:szCs w:val="21"/>
        </w:rPr>
        <w:t xml:space="preserve">“Blog Content” </w:t>
      </w:r>
      <w:r>
        <w:rPr>
          <w:rFonts w:ascii="Inter" w:cs="Inter" w:eastAsia="Inter" w:hAnsi="Inter"/>
          <w:sz w:val="21"/>
          <w:szCs w:val="21"/>
        </w:rPr>
        <w:t xml:space="preserve">means original written articles submitted by the Center and published on the Agent’s platform in accordance with the Agent’s editorial guidelines.</w:t>
      </w:r>
    </w:p>
    <w:p>
      <w:pPr>
        <w:spacing w:after="160" w:line="276"/>
        <w:jc w:val="both"/>
      </w:pPr>
      <w:r>
        <w:rPr>
          <w:rFonts w:ascii="Inter" w:cs="Inter" w:eastAsia="Inter" w:hAnsi="Inter"/>
          <w:b/>
          <w:bCs/>
          <w:sz w:val="21"/>
          <w:szCs w:val="21"/>
        </w:rPr>
        <w:t xml:space="preserve">“Qualified Admission” </w:t>
      </w:r>
      <w:r>
        <w:rPr>
          <w:rFonts w:ascii="Inter" w:cs="Inter" w:eastAsia="Inter" w:hAnsi="Inter"/>
          <w:sz w:val="21"/>
          <w:szCs w:val="21"/>
        </w:rPr>
        <w:t xml:space="preserve">means a Referred Client who has been admitted to and commenced a treatment program at the Center.</w:t>
      </w:r>
    </w:p>
    <w:p>
      <w:pPr>
        <w:spacing w:after="200" w:before="360"/>
      </w:pPr>
      <w:r>
        <w:rPr>
          <w:rFonts w:ascii="Noto Serif" w:cs="Noto Serif" w:eastAsia="Noto Serif" w:hAnsi="Noto Serif"/>
          <w:b/>
          <w:bCs/>
          <w:color w:val="45636B"/>
          <w:sz w:val="24"/>
          <w:szCs w:val="24"/>
        </w:rPr>
        <w:t xml:space="preserve">2. SCOPE OF SERVICES</w:t>
      </w:r>
    </w:p>
    <w:p>
      <w:pPr>
        <w:spacing w:after="120" w:before="200"/>
      </w:pPr>
      <w:r>
        <w:rPr>
          <w:rFonts w:ascii="Inter" w:cs="Inter" w:eastAsia="Inter" w:hAnsi="Inter"/>
          <w:b/>
          <w:bCs/>
          <w:color w:val="1A2E35"/>
          <w:sz w:val="21"/>
          <w:szCs w:val="21"/>
        </w:rPr>
        <w:t xml:space="preserve">2.1 </w:t>
      </w:r>
      <w:r>
        <w:rPr>
          <w:rFonts w:ascii="Inter" w:cs="Inter" w:eastAsia="Inter" w:hAnsi="Inter"/>
          <w:b/>
          <w:bCs/>
          <w:color w:val="1A2E35"/>
          <w:sz w:val="21"/>
          <w:szCs w:val="21"/>
        </w:rPr>
        <w:t xml:space="preserve">Agent’s Obligations</w:t>
      </w:r>
    </w:p>
    <w:p>
      <w:pPr>
        <w:pStyle w:val="ListParagraph"/>
        <w:numPr>
          <w:ilvl w:val="0"/>
          <w:numId w:val="2"/>
        </w:numPr>
        <w:spacing w:after="80" w:line="276"/>
      </w:pPr>
      <w:r>
        <w:rPr>
          <w:rFonts w:ascii="Inter" w:cs="Inter" w:eastAsia="Inter" w:hAnsi="Inter"/>
          <w:sz w:val="21"/>
          <w:szCs w:val="21"/>
        </w:rPr>
        <w:t xml:space="preserve">Maintain and promote the Center’s profile on the Agent’s platform, including but not limited to center description, photos, treatment programs, and editorial reviews.</w:t>
      </w:r>
    </w:p>
    <w:p>
      <w:pPr>
        <w:pStyle w:val="ListParagraph"/>
        <w:numPr>
          <w:ilvl w:val="0"/>
          <w:numId w:val="2"/>
        </w:numPr>
        <w:spacing w:after="80" w:line="276"/>
      </w:pPr>
      <w:r>
        <w:rPr>
          <w:rFonts w:ascii="Inter" w:cs="Inter" w:eastAsia="Inter" w:hAnsi="Inter"/>
          <w:sz w:val="21"/>
          <w:szCs w:val="21"/>
        </w:rPr>
        <w:t xml:space="preserve">Route qualified leads and inquiries to the Center in a timely manner.</w:t>
      </w:r>
    </w:p>
    <w:p>
      <w:pPr>
        <w:pStyle w:val="ListParagraph"/>
        <w:numPr>
          <w:ilvl w:val="0"/>
          <w:numId w:val="2"/>
        </w:numPr>
        <w:spacing w:after="80" w:line="276"/>
      </w:pPr>
      <w:r>
        <w:rPr>
          <w:rFonts w:ascii="Inter" w:cs="Inter" w:eastAsia="Inter" w:hAnsi="Inter"/>
          <w:sz w:val="21"/>
          <w:szCs w:val="21"/>
        </w:rPr>
        <w:t xml:space="preserve">Provide the Center with access to the Agent’s partner dashboard for profile management, content submissions, and lead tracking.</w:t>
      </w:r>
    </w:p>
    <w:p>
      <w:pPr>
        <w:pStyle w:val="ListParagraph"/>
        <w:numPr>
          <w:ilvl w:val="0"/>
          <w:numId w:val="2"/>
        </w:numPr>
        <w:spacing w:after="80" w:line="276"/>
      </w:pPr>
      <w:r>
        <w:rPr>
          <w:rFonts w:ascii="Inter" w:cs="Inter" w:eastAsia="Inter" w:hAnsi="Inter"/>
          <w:sz w:val="21"/>
          <w:szCs w:val="21"/>
        </w:rPr>
        <w:t xml:space="preserve">Market the Center through the Agent’s digital channels, including organic search, paid campaigns, and content marketing, at the Agent’s discretion and expense.</w:t>
      </w:r>
    </w:p>
    <w:p>
      <w:pPr>
        <w:pStyle w:val="ListParagraph"/>
        <w:numPr>
          <w:ilvl w:val="0"/>
          <w:numId w:val="2"/>
        </w:numPr>
        <w:spacing w:after="80" w:line="276"/>
      </w:pPr>
      <w:r>
        <w:rPr>
          <w:rFonts w:ascii="Inter" w:cs="Inter" w:eastAsia="Inter" w:hAnsi="Inter"/>
          <w:sz w:val="21"/>
          <w:szCs w:val="21"/>
        </w:rPr>
        <w:t xml:space="preserve">Maintain the confidentiality and security of all client data in accordance with applicable data protection laws.</w:t>
      </w:r>
    </w:p>
    <w:p>
      <w:pPr>
        <w:spacing w:after="120" w:before="200"/>
      </w:pPr>
      <w:r>
        <w:rPr>
          <w:rFonts w:ascii="Inter" w:cs="Inter" w:eastAsia="Inter" w:hAnsi="Inter"/>
          <w:b/>
          <w:bCs/>
          <w:color w:val="1A2E35"/>
          <w:sz w:val="21"/>
          <w:szCs w:val="21"/>
        </w:rPr>
        <w:t xml:space="preserve">2.2 </w:t>
      </w:r>
      <w:r>
        <w:rPr>
          <w:rFonts w:ascii="Inter" w:cs="Inter" w:eastAsia="Inter" w:hAnsi="Inter"/>
          <w:b/>
          <w:bCs/>
          <w:color w:val="1A2E35"/>
          <w:sz w:val="21"/>
          <w:szCs w:val="21"/>
        </w:rPr>
        <w:t xml:space="preserve">Center’s Obligations</w:t>
      </w:r>
    </w:p>
    <w:p>
      <w:pPr>
        <w:pStyle w:val="ListParagraph"/>
        <w:numPr>
          <w:ilvl w:val="0"/>
          <w:numId w:val="2"/>
        </w:numPr>
        <w:spacing w:after="80" w:line="276"/>
      </w:pPr>
      <w:r>
        <w:rPr>
          <w:rFonts w:ascii="Inter" w:cs="Inter" w:eastAsia="Inter" w:hAnsi="Inter"/>
          <w:sz w:val="21"/>
          <w:szCs w:val="21"/>
        </w:rPr>
        <w:t xml:space="preserve">Maintain all necessary licenses, certifications, and accreditations required to operate a rehabilitation and/or treatment facility in its jurisdiction.</w:t>
      </w:r>
    </w:p>
    <w:p>
      <w:pPr>
        <w:pStyle w:val="ListParagraph"/>
        <w:numPr>
          <w:ilvl w:val="0"/>
          <w:numId w:val="2"/>
        </w:numPr>
        <w:spacing w:after="80" w:line="276"/>
      </w:pPr>
      <w:r>
        <w:rPr>
          <w:rFonts w:ascii="Inter" w:cs="Inter" w:eastAsia="Inter" w:hAnsi="Inter"/>
          <w:sz w:val="21"/>
          <w:szCs w:val="21"/>
        </w:rPr>
        <w:t xml:space="preserve">Provide accurate, current, and complete information about its services, pricing, staff qualifications, and facilities.</w:t>
      </w:r>
    </w:p>
    <w:p>
      <w:pPr>
        <w:pStyle w:val="ListParagraph"/>
        <w:numPr>
          <w:ilvl w:val="0"/>
          <w:numId w:val="2"/>
        </w:numPr>
        <w:spacing w:after="80" w:line="276"/>
      </w:pPr>
      <w:r>
        <w:rPr>
          <w:rFonts w:ascii="Inter" w:cs="Inter" w:eastAsia="Inter" w:hAnsi="Inter"/>
          <w:sz w:val="21"/>
          <w:szCs w:val="21"/>
        </w:rPr>
        <w:t xml:space="preserve">Respond to referred leads within forty-eight (48) hours of receipt.</w:t>
      </w:r>
    </w:p>
    <w:p>
      <w:pPr>
        <w:pStyle w:val="ListParagraph"/>
        <w:numPr>
          <w:ilvl w:val="0"/>
          <w:numId w:val="2"/>
        </w:numPr>
        <w:spacing w:after="80" w:line="276"/>
      </w:pPr>
      <w:r>
        <w:rPr>
          <w:rFonts w:ascii="Inter" w:cs="Inter" w:eastAsia="Inter" w:hAnsi="Inter"/>
          <w:sz w:val="21"/>
          <w:szCs w:val="21"/>
        </w:rPr>
        <w:t xml:space="preserve">Report all Qualified Admissions of Referred Clients to the Agent within five (5) business days of admission.</w:t>
      </w:r>
    </w:p>
    <w:p>
      <w:pPr>
        <w:pStyle w:val="ListParagraph"/>
        <w:numPr>
          <w:ilvl w:val="0"/>
          <w:numId w:val="2"/>
        </w:numPr>
        <w:spacing w:after="80" w:line="276"/>
      </w:pPr>
      <w:r>
        <w:rPr>
          <w:rFonts w:ascii="Inter" w:cs="Inter" w:eastAsia="Inter" w:hAnsi="Inter"/>
          <w:sz w:val="21"/>
          <w:szCs w:val="21"/>
        </w:rPr>
        <w:t xml:space="preserve">Maintain a standard of care consistent with internationally recognized best practices in rehabilitation and treatment.</w:t>
      </w:r>
    </w:p>
    <w:p>
      <w:pPr>
        <w:pStyle w:val="ListParagraph"/>
        <w:numPr>
          <w:ilvl w:val="0"/>
          <w:numId w:val="2"/>
        </w:numPr>
        <w:spacing w:after="80" w:line="276"/>
      </w:pPr>
      <w:r>
        <w:rPr>
          <w:rFonts w:ascii="Inter" w:cs="Inter" w:eastAsia="Inter" w:hAnsi="Inter"/>
          <w:sz w:val="21"/>
          <w:szCs w:val="21"/>
        </w:rPr>
        <w:t xml:space="preserve">Not solicit, recruit, or redirect Referred Clients to bypass the Agent or avoid Commission obligations.</w:t>
      </w:r>
    </w:p>
    <w:p>
      <w:pPr>
        <w:spacing w:after="200" w:before="360"/>
      </w:pPr>
      <w:r>
        <w:rPr>
          <w:rFonts w:ascii="Noto Serif" w:cs="Noto Serif" w:eastAsia="Noto Serif" w:hAnsi="Noto Serif"/>
          <w:b/>
          <w:bCs/>
          <w:color w:val="45636B"/>
          <w:sz w:val="24"/>
          <w:szCs w:val="24"/>
        </w:rPr>
        <w:t xml:space="preserve">3. NON-CIRCUMVENTION AND LEAD ATTRIBUTION</w:t>
      </w:r>
    </w:p>
    <w:p>
      <w:pPr>
        <w:spacing w:after="120" w:before="200"/>
      </w:pPr>
      <w:r>
        <w:rPr>
          <w:rFonts w:ascii="Inter" w:cs="Inter" w:eastAsia="Inter" w:hAnsi="Inter"/>
          <w:b/>
          <w:bCs/>
          <w:color w:val="1A2E35"/>
          <w:sz w:val="21"/>
          <w:szCs w:val="21"/>
        </w:rPr>
        <w:t xml:space="preserve">3.1 </w:t>
      </w:r>
      <w:r>
        <w:rPr>
          <w:rFonts w:ascii="Inter" w:cs="Inter" w:eastAsia="Inter" w:hAnsi="Inter"/>
          <w:b/>
          <w:bCs/>
          <w:color w:val="1A2E35"/>
          <w:sz w:val="21"/>
          <w:szCs w:val="21"/>
        </w:rPr>
        <w:t xml:space="preserve">Lead Ownership</w:t>
      </w:r>
    </w:p>
    <w:p>
      <w:pPr>
        <w:spacing w:after="160" w:line="276"/>
        <w:jc w:val="both"/>
      </w:pPr>
      <w:r>
        <w:t xml:space="preserve">All Leads generated through the Agent’s platform remain the intellectual property and commercial asset of the Agent. The Center shall not use Lead information for purposes other than responding to the specific inquiry and providing treatment services.</w:t>
      </w:r>
    </w:p>
    <w:p>
      <w:pPr>
        <w:spacing w:after="120" w:before="200"/>
      </w:pPr>
      <w:r>
        <w:rPr>
          <w:rFonts w:ascii="Inter" w:cs="Inter" w:eastAsia="Inter" w:hAnsi="Inter"/>
          <w:b/>
          <w:bCs/>
          <w:color w:val="1A2E35"/>
          <w:sz w:val="21"/>
          <w:szCs w:val="21"/>
        </w:rPr>
        <w:t xml:space="preserve">3.2 </w:t>
      </w:r>
      <w:r>
        <w:rPr>
          <w:rFonts w:ascii="Inter" w:cs="Inter" w:eastAsia="Inter" w:hAnsi="Inter"/>
          <w:b/>
          <w:bCs/>
          <w:color w:val="1A2E35"/>
          <w:sz w:val="21"/>
          <w:szCs w:val="21"/>
        </w:rPr>
        <w:t xml:space="preserve">Tail Period and Deferred Conversions</w:t>
      </w:r>
    </w:p>
    <w:p>
      <w:pPr>
        <w:spacing w:after="160" w:line="276"/>
        <w:jc w:val="both"/>
      </w:pPr>
      <w:r>
        <w:rPr>
          <w:rFonts w:ascii="Inter" w:cs="Inter" w:eastAsia="Inter" w:hAnsi="Inter"/>
          <w:sz w:val="21"/>
          <w:szCs w:val="21"/>
        </w:rPr>
        <w:t xml:space="preserve">If a Referred Client originally introduced by the Agent subsequently contacts the Center directly — whether days, weeks, or months after the initial referral — and is admitted to the Center’s program, the Commission remains payable to the Agent. </w:t>
      </w:r>
      <w:r>
        <w:rPr>
          <w:rFonts w:ascii="Inter" w:cs="Inter" w:eastAsia="Inter" w:hAnsi="Inter"/>
          <w:b/>
          <w:bCs/>
          <w:sz w:val="21"/>
          <w:szCs w:val="21"/>
        </w:rPr>
        <w:t xml:space="preserve">This obligation applies for a period of twenty-four (24) months from the date the Lead was first transmitted to the Center (the “Tail Period”).</w:t>
      </w:r>
    </w:p>
    <w:p>
      <w:pPr>
        <w:spacing w:after="160" w:line="276"/>
        <w:jc w:val="both"/>
      </w:pPr>
      <w:r>
        <w:t xml:space="preserve">The Center acknowledges that clients may delay their decision to seek treatment and may return directly to the Center at a later date. The Agent’s role in the initial introduction creates a lasting commercial entitlement during the Tail Period.</w:t>
      </w:r>
    </w:p>
    <w:p>
      <w:pPr>
        <w:spacing w:after="120" w:before="200"/>
      </w:pPr>
      <w:r>
        <w:rPr>
          <w:rFonts w:ascii="Inter" w:cs="Inter" w:eastAsia="Inter" w:hAnsi="Inter"/>
          <w:b/>
          <w:bCs/>
          <w:color w:val="1A2E35"/>
          <w:sz w:val="21"/>
          <w:szCs w:val="21"/>
        </w:rPr>
        <w:t xml:space="preserve">3.3 </w:t>
      </w:r>
      <w:r>
        <w:rPr>
          <w:rFonts w:ascii="Inter" w:cs="Inter" w:eastAsia="Inter" w:hAnsi="Inter"/>
          <w:b/>
          <w:bCs/>
          <w:color w:val="1A2E35"/>
          <w:sz w:val="21"/>
          <w:szCs w:val="21"/>
        </w:rPr>
        <w:t xml:space="preserve">Attribution Mechanism</w:t>
      </w:r>
    </w:p>
    <w:p>
      <w:pPr>
        <w:pStyle w:val="ListParagraph"/>
        <w:numPr>
          <w:ilvl w:val="0"/>
          <w:numId w:val="2"/>
        </w:numPr>
        <w:spacing w:after="80" w:line="276"/>
      </w:pPr>
      <w:r>
        <w:rPr>
          <w:rFonts w:ascii="Inter" w:cs="Inter" w:eastAsia="Inter" w:hAnsi="Inter"/>
          <w:sz w:val="21"/>
          <w:szCs w:val="21"/>
        </w:rPr>
        <w:t xml:space="preserve">Each Lead shall be assigned a unique reference number by the Agent’s platform.</w:t>
      </w:r>
    </w:p>
    <w:p>
      <w:pPr>
        <w:pStyle w:val="ListParagraph"/>
        <w:numPr>
          <w:ilvl w:val="0"/>
          <w:numId w:val="2"/>
        </w:numPr>
        <w:spacing w:after="80" w:line="276"/>
      </w:pPr>
      <w:r>
        <w:rPr>
          <w:rFonts w:ascii="Inter" w:cs="Inter" w:eastAsia="Inter" w:hAnsi="Inter"/>
          <w:sz w:val="21"/>
          <w:szCs w:val="21"/>
        </w:rPr>
        <w:t xml:space="preserve">The Center agrees to ask all new admissions whether they were referred by or found the Center through Rehab-Atlas.</w:t>
      </w:r>
    </w:p>
    <w:p>
      <w:pPr>
        <w:pStyle w:val="ListParagraph"/>
        <w:numPr>
          <w:ilvl w:val="0"/>
          <w:numId w:val="2"/>
        </w:numPr>
        <w:spacing w:after="80" w:line="276"/>
      </w:pPr>
      <w:r>
        <w:rPr>
          <w:rFonts w:ascii="Inter" w:cs="Inter" w:eastAsia="Inter" w:hAnsi="Inter"/>
          <w:sz w:val="21"/>
          <w:szCs w:val="21"/>
        </w:rPr>
        <w:t xml:space="preserve">In the event of a dispute regarding Lead attribution, the Agent’s platform records (including but not limited to inquiry timestamps, email logs, and assessment data) shall serve as the primary evidence.</w:t>
      </w:r>
    </w:p>
    <w:p>
      <w:pPr>
        <w:spacing w:after="120" w:before="200"/>
      </w:pPr>
      <w:r>
        <w:rPr>
          <w:rFonts w:ascii="Inter" w:cs="Inter" w:eastAsia="Inter" w:hAnsi="Inter"/>
          <w:b/>
          <w:bCs/>
          <w:color w:val="1A2E35"/>
          <w:sz w:val="21"/>
          <w:szCs w:val="21"/>
        </w:rPr>
        <w:t xml:space="preserve">3.4 </w:t>
      </w:r>
      <w:r>
        <w:rPr>
          <w:rFonts w:ascii="Inter" w:cs="Inter" w:eastAsia="Inter" w:hAnsi="Inter"/>
          <w:b/>
          <w:bCs/>
          <w:color w:val="1A2E35"/>
          <w:sz w:val="21"/>
          <w:szCs w:val="21"/>
        </w:rPr>
        <w:t xml:space="preserve">Non-Circumvention</w:t>
      </w:r>
    </w:p>
    <w:p>
      <w:pPr>
        <w:spacing w:after="160" w:line="276"/>
        <w:jc w:val="both"/>
      </w:pPr>
      <w:r>
        <w:t xml:space="preserve">The Center shall not, directly or indirectly, attempt to circumvent, avoid, or reduce the Commission obligation by encouraging Referred Clients to re-engage through non-Agent channels. Any such circumvention shall constitute a material breach of this Contract.</w:t>
      </w:r>
    </w:p>
    <w:p>
      <w:pPr>
        <w:spacing w:after="200" w:before="360"/>
      </w:pPr>
      <w:r>
        <w:rPr>
          <w:rFonts w:ascii="Noto Serif" w:cs="Noto Serif" w:eastAsia="Noto Serif" w:hAnsi="Noto Serif"/>
          <w:b/>
          <w:bCs/>
          <w:color w:val="45636B"/>
          <w:sz w:val="24"/>
          <w:szCs w:val="24"/>
        </w:rPr>
        <w:t xml:space="preserve">4. COMMISSION STRUCTURE</w:t>
      </w:r>
    </w:p>
    <w:p>
      <w:pPr>
        <w:spacing w:after="120" w:before="200"/>
      </w:pPr>
      <w:r>
        <w:rPr>
          <w:rFonts w:ascii="Inter" w:cs="Inter" w:eastAsia="Inter" w:hAnsi="Inter"/>
          <w:b/>
          <w:bCs/>
          <w:color w:val="1A2E35"/>
          <w:sz w:val="21"/>
          <w:szCs w:val="21"/>
        </w:rPr>
        <w:t xml:space="preserve">4.1 </w:t>
      </w:r>
      <w:r>
        <w:rPr>
          <w:rFonts w:ascii="Inter" w:cs="Inter" w:eastAsia="Inter" w:hAnsi="Inter"/>
          <w:b/>
          <w:bCs/>
          <w:color w:val="1A2E35"/>
          <w:sz w:val="21"/>
          <w:szCs w:val="21"/>
        </w:rPr>
        <w:t xml:space="preserve">Standard Commission Rate</w:t>
      </w:r>
    </w:p>
    <w:p>
      <w:pPr>
        <w:spacing w:after="160" w:line="276"/>
        <w:jc w:val="both"/>
      </w:pPr>
      <w:r>
        <w:t xml:space="preserve">The Center shall pay the Agent a Commission of twelve percent (12%) of the Treatment Fee for each Qualified Admission of a Referred Client.</w:t>
      </w:r>
    </w:p>
    <w:p>
      <w:pPr>
        <w:spacing w:after="120" w:before="200"/>
      </w:pPr>
      <w:r>
        <w:rPr>
          <w:rFonts w:ascii="Inter" w:cs="Inter" w:eastAsia="Inter" w:hAnsi="Inter"/>
          <w:b/>
          <w:bCs/>
          <w:color w:val="1A2E35"/>
          <w:sz w:val="21"/>
          <w:szCs w:val="21"/>
        </w:rPr>
        <w:t xml:space="preserve">4.2 </w:t>
      </w:r>
      <w:r>
        <w:rPr>
          <w:rFonts w:ascii="Inter" w:cs="Inter" w:eastAsia="Inter" w:hAnsi="Inter"/>
          <w:b/>
          <w:bCs/>
          <w:color w:val="1A2E35"/>
          <w:sz w:val="21"/>
          <w:szCs w:val="21"/>
        </w:rPr>
        <w:t xml:space="preserve">Blog Content Discount Tiers</w:t>
      </w:r>
    </w:p>
    <w:p>
      <w:pPr>
        <w:spacing w:after="160" w:line="276"/>
        <w:jc w:val="both"/>
      </w:pPr>
      <w:r>
        <w:t xml:space="preserve">The Center may reduce its Commission rate by actively contributing Blog Content to the Agent’s platform. The applicable Commission rate is determined by the number of Blog articles published in the preceding calendar month and applies to all Qualified Admissions in the following month (the “One-Month Lag Rule”).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Tier</w:t>
            </w:r>
          </w:p>
        </w:tc>
        <w:tc>
          <w:tcPr>
            <w:tcW w:type="dxa" w:w="22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Blogs Published</w:t>
            </w:r>
          </w:p>
        </w:tc>
        <w:tc>
          <w:tcPr>
            <w:tcW w:type="dxa" w:w="22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Commission Rate</w:t>
            </w:r>
          </w:p>
        </w:tc>
        <w:tc>
          <w:tcPr>
            <w:tcW w:type="dxa" w:w="296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Applies To</w:t>
            </w:r>
          </w:p>
        </w:tc>
      </w:tr>
      <w:tr>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sz w:val="20"/>
                <w:szCs w:val="20"/>
              </w:rPr>
              <w:t xml:space="preserve">Standard</w:t>
            </w:r>
          </w:p>
        </w:tc>
        <w:tc>
          <w:tcPr>
            <w:tcW w:type="dxa" w:w="22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0–2 articles</w:t>
            </w:r>
          </w:p>
        </w:tc>
        <w:tc>
          <w:tcPr>
            <w:tcW w:type="dxa" w:w="22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color w:val="1A2E35"/>
                <w:sz w:val="20"/>
                <w:szCs w:val="20"/>
              </w:rPr>
              <w:t xml:space="preserve">12%</w:t>
            </w:r>
          </w:p>
        </w:tc>
        <w:tc>
          <w:tcPr>
            <w:tcW w:type="dxa" w:w="29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Next month’s admissions</w:t>
            </w:r>
          </w:p>
        </w:tc>
      </w:tr>
      <w:tr>
        <w:tc>
          <w:tcPr>
            <w:tcW w:type="dxa" w:w="20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b/>
                <w:bCs/>
                <w:sz w:val="20"/>
                <w:szCs w:val="20"/>
              </w:rPr>
              <w:t xml:space="preserve">Active</w:t>
            </w:r>
          </w:p>
        </w:tc>
        <w:tc>
          <w:tcPr>
            <w:tcW w:type="dxa" w:w="22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3–4 articles</w:t>
            </w:r>
          </w:p>
        </w:tc>
        <w:tc>
          <w:tcPr>
            <w:tcW w:type="dxa" w:w="22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b/>
                <w:bCs/>
                <w:color w:val="45636B"/>
                <w:sz w:val="20"/>
                <w:szCs w:val="20"/>
              </w:rPr>
              <w:t xml:space="preserve">10%</w:t>
            </w:r>
          </w:p>
        </w:tc>
        <w:tc>
          <w:tcPr>
            <w:tcW w:type="dxa" w:w="29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Next month’s admissions</w:t>
            </w:r>
          </w:p>
        </w:tc>
      </w:tr>
      <w:tr>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sz w:val="20"/>
                <w:szCs w:val="20"/>
              </w:rPr>
              <w:t xml:space="preserve">Premium</w:t>
            </w:r>
          </w:p>
        </w:tc>
        <w:tc>
          <w:tcPr>
            <w:tcW w:type="dxa" w:w="22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5+ articles</w:t>
            </w:r>
          </w:p>
        </w:tc>
        <w:tc>
          <w:tcPr>
            <w:tcW w:type="dxa" w:w="22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color w:val="45636B"/>
                <w:sz w:val="20"/>
                <w:szCs w:val="20"/>
              </w:rPr>
              <w:t xml:space="preserve">8%</w:t>
            </w:r>
          </w:p>
        </w:tc>
        <w:tc>
          <w:tcPr>
            <w:tcW w:type="dxa" w:w="29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Next month’s admissions</w:t>
            </w:r>
          </w:p>
        </w:tc>
      </w:tr>
    </w:tbl>
    <w:p>
      <w:pPr>
        <w:spacing w:after="80"/>
      </w:pPr>
    </w:p>
    <w:p>
      <w:pPr>
        <w:spacing w:after="120" w:before="200"/>
      </w:pPr>
      <w:r>
        <w:rPr>
          <w:rFonts w:ascii="Inter" w:cs="Inter" w:eastAsia="Inter" w:hAnsi="Inter"/>
          <w:b/>
          <w:bCs/>
          <w:color w:val="1A2E35"/>
          <w:sz w:val="21"/>
          <w:szCs w:val="21"/>
        </w:rPr>
        <w:t xml:space="preserve">4.3 </w:t>
      </w:r>
      <w:r>
        <w:rPr>
          <w:rFonts w:ascii="Inter" w:cs="Inter" w:eastAsia="Inter" w:hAnsi="Inter"/>
          <w:b/>
          <w:bCs/>
          <w:color w:val="1A2E35"/>
          <w:sz w:val="21"/>
          <w:szCs w:val="21"/>
        </w:rPr>
        <w:t xml:space="preserve">One-Month Lag Rule — How It Works</w:t>
      </w:r>
    </w:p>
    <w:p>
      <w:pPr>
        <w:spacing w:after="160" w:line="276"/>
        <w:jc w:val="both"/>
      </w:pPr>
      <w:r>
        <w:rPr>
          <w:rFonts w:ascii="Inter" w:cs="Inter" w:eastAsia="Inter" w:hAnsi="Inter"/>
          <w:sz w:val="21"/>
          <w:szCs w:val="21"/>
        </w:rPr>
        <w:t xml:space="preserve">The Commission rate for any given month is locked in based on the Center’s Blog Content output during the immediately preceding calendar month. </w:t>
      </w:r>
      <w:r>
        <w:rPr>
          <w:rFonts w:ascii="Inter" w:cs="Inter" w:eastAsia="Inter" w:hAnsi="Inter"/>
          <w:b/>
          <w:bCs/>
          <w:sz w:val="21"/>
          <w:szCs w:val="21"/>
        </w:rPr>
        <w:t xml:space="preserve">Blog articles published in Month X determine the Commission rate applied to all Qualified Admissions in Month X+1.</w:t>
      </w:r>
    </w:p>
    <w:p>
      <w:pPr>
        <w:spacing w:after="80"/>
      </w:pPr>
    </w:p>
    <w:p>
      <w:pPr>
        <w:spacing w:after="120"/>
      </w:pPr>
      <w:r>
        <w:rPr>
          <w:rFonts w:ascii="Inter" w:cs="Inter" w:eastAsia="Inter" w:hAnsi="Inter"/>
          <w:b/>
          <w:bCs/>
          <w:i/>
          <w:iCs/>
          <w:color w:val="45636B"/>
          <w:sz w:val="21"/>
          <w:szCs w:val="21"/>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Month</w:t>
            </w:r>
          </w:p>
        </w:tc>
        <w:tc>
          <w:tcPr>
            <w:tcW w:type="dxa" w:w="234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Blogs Published</w:t>
            </w:r>
          </w:p>
        </w:tc>
        <w:tc>
          <w:tcPr>
            <w:tcW w:type="dxa" w:w="234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Rate Earned</w:t>
            </w:r>
          </w:p>
        </w:tc>
        <w:tc>
          <w:tcPr>
            <w:tcW w:type="dxa" w:w="234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Applied To</w:t>
            </w:r>
          </w:p>
        </w:tc>
      </w:tr>
      <w:tr>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January</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5 articles</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color w:val="45636B"/>
                <w:sz w:val="20"/>
                <w:szCs w:val="20"/>
              </w:rPr>
              <w:t xml:space="preserve">8% (Premium)</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sz w:val="20"/>
                <w:szCs w:val="20"/>
              </w:rPr>
              <w:t xml:space="preserve">→ February admissions</w:t>
            </w:r>
          </w:p>
        </w:tc>
      </w:tr>
      <w:tr>
        <w:tc>
          <w:tcPr>
            <w:tcW w:type="dxa" w:w="234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February</w:t>
            </w:r>
          </w:p>
        </w:tc>
        <w:tc>
          <w:tcPr>
            <w:tcW w:type="dxa" w:w="234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3 articles</w:t>
            </w:r>
          </w:p>
        </w:tc>
        <w:tc>
          <w:tcPr>
            <w:tcW w:type="dxa" w:w="234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b/>
                <w:bCs/>
                <w:color w:val="45636B"/>
                <w:sz w:val="20"/>
                <w:szCs w:val="20"/>
              </w:rPr>
              <w:t xml:space="preserve">10% (Active)</w:t>
            </w:r>
          </w:p>
        </w:tc>
        <w:tc>
          <w:tcPr>
            <w:tcW w:type="dxa" w:w="234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b/>
                <w:bCs/>
                <w:sz w:val="20"/>
                <w:szCs w:val="20"/>
              </w:rPr>
              <w:t xml:space="preserve">→ March admissions</w:t>
            </w:r>
          </w:p>
        </w:tc>
      </w:tr>
      <w:tr>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March</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1 article</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color w:val="1A2E35"/>
                <w:sz w:val="20"/>
                <w:szCs w:val="20"/>
              </w:rPr>
              <w:t xml:space="preserve">12% (Standard)</w:t>
            </w:r>
          </w:p>
        </w:tc>
        <w:tc>
          <w:tcPr>
            <w:tcW w:type="dxa" w:w="234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b/>
                <w:bCs/>
                <w:sz w:val="20"/>
                <w:szCs w:val="20"/>
              </w:rPr>
              <w:t xml:space="preserve">→ April admissions</w:t>
            </w:r>
          </w:p>
        </w:tc>
      </w:tr>
    </w:tbl>
    <w:p>
      <w:pPr>
        <w:spacing w:after="80"/>
      </w:pPr>
    </w:p>
    <w:p>
      <w:pPr>
        <w:spacing w:after="120" w:before="200"/>
      </w:pPr>
      <w:r>
        <w:rPr>
          <w:rFonts w:ascii="Inter" w:cs="Inter" w:eastAsia="Inter" w:hAnsi="Inter"/>
          <w:b/>
          <w:bCs/>
          <w:color w:val="1A2E35"/>
          <w:sz w:val="21"/>
          <w:szCs w:val="21"/>
        </w:rPr>
        <w:t xml:space="preserve">4.4 </w:t>
      </w:r>
      <w:r>
        <w:rPr>
          <w:rFonts w:ascii="Inter" w:cs="Inter" w:eastAsia="Inter" w:hAnsi="Inter"/>
          <w:b/>
          <w:bCs/>
          <w:color w:val="1A2E35"/>
          <w:sz w:val="21"/>
          <w:szCs w:val="21"/>
        </w:rPr>
        <w:t xml:space="preserve">Blog Content Conditions</w:t>
      </w:r>
    </w:p>
    <w:p>
      <w:pPr>
        <w:pStyle w:val="ListParagraph"/>
        <w:numPr>
          <w:ilvl w:val="0"/>
          <w:numId w:val="2"/>
        </w:numPr>
        <w:spacing w:after="80" w:line="276"/>
      </w:pPr>
      <w:r>
        <w:rPr>
          <w:rFonts w:ascii="Inter" w:cs="Inter" w:eastAsia="Inter" w:hAnsi="Inter"/>
          <w:sz w:val="21"/>
          <w:szCs w:val="21"/>
        </w:rPr>
        <w:t xml:space="preserve">All Blog Content must be original, not published elsewhere, and comply with the Agent’s editorial guidelines.</w:t>
      </w:r>
    </w:p>
    <w:p>
      <w:pPr>
        <w:pStyle w:val="ListParagraph"/>
        <w:numPr>
          <w:ilvl w:val="0"/>
          <w:numId w:val="2"/>
        </w:numPr>
        <w:spacing w:after="80" w:line="276"/>
      </w:pPr>
      <w:r>
        <w:rPr>
          <w:rFonts w:ascii="Inter" w:cs="Inter" w:eastAsia="Inter" w:hAnsi="Inter"/>
          <w:sz w:val="21"/>
          <w:szCs w:val="21"/>
        </w:rPr>
        <w:t xml:space="preserve">Only articles that are submitted, reviewed, and published on the Agent’s platform within the calendar month count toward that month’s total. </w:t>
      </w:r>
      <w:r>
        <w:rPr>
          <w:rFonts w:ascii="Inter" w:cs="Inter" w:eastAsia="Inter" w:hAnsi="Inter"/>
          <w:b/>
          <w:bCs/>
          <w:sz w:val="21"/>
          <w:szCs w:val="21"/>
        </w:rPr>
        <w:t xml:space="preserve">The publication date recorded on the Agent’s platform is the sole date of record.</w:t>
      </w:r>
    </w:p>
    <w:p>
      <w:pPr>
        <w:pStyle w:val="ListParagraph"/>
        <w:numPr>
          <w:ilvl w:val="0"/>
          <w:numId w:val="2"/>
        </w:numPr>
        <w:spacing w:after="80" w:line="276"/>
      </w:pPr>
      <w:r>
        <w:rPr>
          <w:rFonts w:ascii="Inter" w:cs="Inter" w:eastAsia="Inter" w:hAnsi="Inter"/>
          <w:sz w:val="21"/>
          <w:szCs w:val="21"/>
        </w:rPr>
        <w:t xml:space="preserve">The Agent reserves the right to reject content that is promotional, inaccurate, or does not meet quality standards. Rejected articles do not count toward the monthly requirement.</w:t>
      </w:r>
    </w:p>
    <w:p>
      <w:pPr>
        <w:pStyle w:val="ListParagraph"/>
        <w:numPr>
          <w:ilvl w:val="0"/>
          <w:numId w:val="2"/>
        </w:numPr>
        <w:spacing w:after="80" w:line="276"/>
      </w:pPr>
      <w:r>
        <w:rPr>
          <w:rFonts w:ascii="Inter" w:cs="Inter" w:eastAsia="Inter" w:hAnsi="Inter"/>
          <w:sz w:val="21"/>
          <w:szCs w:val="21"/>
        </w:rPr>
        <w:t xml:space="preserve">If the Center fails to meet the Blog Content requirement in any given month, the Commission rate for the following month automatically reverts to the Standard rate (12%). There is no carry-over of surplus articles from one month to another.</w:t>
      </w:r>
    </w:p>
    <w:p>
      <w:pPr>
        <w:pStyle w:val="ListParagraph"/>
        <w:numPr>
          <w:ilvl w:val="0"/>
          <w:numId w:val="2"/>
        </w:numPr>
        <w:spacing w:after="80" w:line="276"/>
      </w:pPr>
      <w:r>
        <w:rPr>
          <w:rFonts w:ascii="Inter" w:cs="Inter" w:eastAsia="Inter" w:hAnsi="Inter"/>
          <w:sz w:val="21"/>
          <w:szCs w:val="21"/>
        </w:rPr>
        <w:t xml:space="preserve">Each article shall contain a minimum of 800 words and cover topics relevant to rehabilitation, recovery, mental health, or wellness.</w:t>
      </w:r>
    </w:p>
    <w:p>
      <w:pPr>
        <w:pStyle w:val="ListParagraph"/>
        <w:numPr>
          <w:ilvl w:val="0"/>
          <w:numId w:val="2"/>
        </w:numPr>
        <w:spacing w:after="80" w:line="276"/>
      </w:pPr>
      <w:r>
        <w:rPr>
          <w:rFonts w:ascii="Inter" w:cs="Inter" w:eastAsia="Inter" w:hAnsi="Inter"/>
          <w:sz w:val="21"/>
          <w:szCs w:val="21"/>
        </w:rPr>
        <w:t xml:space="preserve">For the first month of this Contract, the Standard rate (12%) applies by default, as there is no preceding month of Blog Content to evaluate.</w:t>
      </w:r>
    </w:p>
    <w:p>
      <w:pPr>
        <w:spacing w:after="120" w:before="200"/>
      </w:pPr>
      <w:r>
        <w:rPr>
          <w:rFonts w:ascii="Inter" w:cs="Inter" w:eastAsia="Inter" w:hAnsi="Inter"/>
          <w:b/>
          <w:bCs/>
          <w:color w:val="1A2E35"/>
          <w:sz w:val="21"/>
          <w:szCs w:val="21"/>
        </w:rPr>
        <w:t xml:space="preserve">4.5 </w:t>
      </w:r>
      <w:r>
        <w:rPr>
          <w:rFonts w:ascii="Inter" w:cs="Inter" w:eastAsia="Inter" w:hAnsi="Inter"/>
          <w:b/>
          <w:bCs/>
          <w:color w:val="1A2E35"/>
          <w:sz w:val="21"/>
          <w:szCs w:val="21"/>
        </w:rPr>
        <w:t xml:space="preserve">Commission Calculation Basis — Agreed Treatment Fee</w:t>
      </w:r>
    </w:p>
    <w:p>
      <w:pPr>
        <w:spacing w:after="160" w:line="276"/>
        <w:jc w:val="both"/>
      </w:pPr>
      <w:r>
        <w:rPr>
          <w:rFonts w:ascii="Inter" w:cs="Inter" w:eastAsia="Inter" w:hAnsi="Inter"/>
          <w:sz w:val="21"/>
          <w:szCs w:val="21"/>
        </w:rPr>
        <w:t xml:space="preserve">Commission is calculated exclusively on the Treatment Fee agreed in Schedule B of this Contract — not on the actual amount the Center charges or collects from the client. </w:t>
      </w:r>
      <w:r>
        <w:rPr>
          <w:rFonts w:ascii="Inter" w:cs="Inter" w:eastAsia="Inter" w:hAnsi="Inter"/>
          <w:b/>
          <w:bCs/>
          <w:sz w:val="21"/>
          <w:szCs w:val="21"/>
        </w:rPr>
        <w:t xml:space="preserve">Any discount, promotion, scholarship, financial aid, barter arrangement, or fee waiver offered by the Center to the client shall have no effect on the Commission payable to the Agent.</w:t>
      </w:r>
    </w:p>
    <w:p>
      <w:pPr>
        <w:pStyle w:val="ListParagraph"/>
        <w:numPr>
          <w:ilvl w:val="0"/>
          <w:numId w:val="2"/>
        </w:numPr>
        <w:spacing w:after="80" w:line="276"/>
      </w:pPr>
      <w:r>
        <w:rPr>
          <w:rFonts w:ascii="Inter" w:cs="Inter" w:eastAsia="Inter" w:hAnsi="Inter"/>
          <w:sz w:val="21"/>
          <w:szCs w:val="21"/>
        </w:rPr>
        <w:t xml:space="preserve">The Treatment Fee in Schedule B must at all times match the price published on the Agent’s platform (www.rehab-atlas.com). The Center shall not publish a different price on the platform without first amending this Contract.</w:t>
      </w:r>
    </w:p>
    <w:p>
      <w:pPr>
        <w:pStyle w:val="ListParagraph"/>
        <w:numPr>
          <w:ilvl w:val="0"/>
          <w:numId w:val="2"/>
        </w:numPr>
        <w:spacing w:after="80" w:line="276"/>
      </w:pPr>
      <w:r>
        <w:rPr>
          <w:rFonts w:ascii="Inter" w:cs="Inter" w:eastAsia="Inter" w:hAnsi="Inter"/>
          <w:sz w:val="21"/>
          <w:szCs w:val="21"/>
        </w:rPr>
        <w:t xml:space="preserve">If the Center offers a Referred Client a reduced rate, complimentary extension, or any other concession, the Commission remains based on the full Treatment Fee stated in Schedule B for the applicable program.</w:t>
      </w:r>
    </w:p>
    <w:p>
      <w:pPr>
        <w:pStyle w:val="ListParagraph"/>
        <w:numPr>
          <w:ilvl w:val="0"/>
          <w:numId w:val="2"/>
        </w:numPr>
        <w:spacing w:after="80" w:line="276"/>
      </w:pPr>
      <w:r>
        <w:rPr>
          <w:rFonts w:ascii="Inter" w:cs="Inter" w:eastAsia="Inter" w:hAnsi="Inter"/>
          <w:sz w:val="21"/>
          <w:szCs w:val="21"/>
        </w:rPr>
        <w:t xml:space="preserve">If the Referred Client receives multiple treatment episodes or extends their program, Commission applies to the Treatment Fee of each program or extension as stated in Schedule B.</w:t>
      </w:r>
    </w:p>
    <w:p>
      <w:pPr>
        <w:pStyle w:val="ListParagraph"/>
        <w:numPr>
          <w:ilvl w:val="0"/>
          <w:numId w:val="2"/>
        </w:numPr>
        <w:spacing w:after="80" w:line="276"/>
      </w:pPr>
      <w:r>
        <w:rPr>
          <w:rFonts w:ascii="Inter" w:cs="Inter" w:eastAsia="Inter" w:hAnsi="Inter"/>
          <w:sz w:val="21"/>
          <w:szCs w:val="21"/>
        </w:rPr>
        <w:t xml:space="preserve">Commission does not apply to government taxes, insurance co-payments received directly from insurers, or incidental personal expenses (e.g., laundry, excursions).</w:t>
      </w:r>
    </w:p>
    <w:p>
      <w:pPr>
        <w:spacing w:after="120" w:before="200"/>
      </w:pPr>
      <w:r>
        <w:rPr>
          <w:rFonts w:ascii="Inter" w:cs="Inter" w:eastAsia="Inter" w:hAnsi="Inter"/>
          <w:b/>
          <w:bCs/>
          <w:color w:val="1A2E35"/>
          <w:sz w:val="21"/>
          <w:szCs w:val="21"/>
        </w:rPr>
        <w:t xml:space="preserve">4.6 </w:t>
      </w:r>
      <w:r>
        <w:rPr>
          <w:rFonts w:ascii="Inter" w:cs="Inter" w:eastAsia="Inter" w:hAnsi="Inter"/>
          <w:b/>
          <w:bCs/>
          <w:color w:val="1A2E35"/>
          <w:sz w:val="21"/>
          <w:szCs w:val="21"/>
        </w:rPr>
        <w:t xml:space="preserve">Treatment Fee Amendments</w:t>
      </w:r>
    </w:p>
    <w:p>
      <w:pPr>
        <w:spacing w:after="160" w:line="276"/>
        <w:jc w:val="both"/>
      </w:pPr>
      <w:r>
        <w:rPr>
          <w:rFonts w:ascii="Inter" w:cs="Inter" w:eastAsia="Inter" w:hAnsi="Inter"/>
          <w:b/>
          <w:bCs/>
          <w:sz w:val="21"/>
          <w:szCs w:val="21"/>
        </w:rPr>
        <w:t xml:space="preserve">The Treatment Fee for any program may only be changed by a written amendment to Schedule B, signed by both Parties. </w:t>
      </w:r>
      <w:r>
        <w:rPr>
          <w:rFonts w:ascii="Inter" w:cs="Inter" w:eastAsia="Inter" w:hAnsi="Inter"/>
          <w:sz w:val="21"/>
          <w:szCs w:val="21"/>
        </w:rPr>
        <w:t xml:space="preserve">The procedure is as follows:</w:t>
      </w:r>
    </w:p>
    <w:p>
      <w:pPr>
        <w:pStyle w:val="ListParagraph"/>
        <w:numPr>
          <w:ilvl w:val="0"/>
          <w:numId w:val="2"/>
        </w:numPr>
        <w:spacing w:after="80" w:line="276"/>
      </w:pPr>
      <w:r>
        <w:rPr>
          <w:rFonts w:ascii="Inter" w:cs="Inter" w:eastAsia="Inter" w:hAnsi="Inter"/>
          <w:sz w:val="21"/>
          <w:szCs w:val="21"/>
        </w:rPr>
        <w:t xml:space="preserve">The Center shall submit a written request to the Agent specifying the program(s) affected, the current Treatment Fee, the proposed new Treatment Fee, and the reason for the change.</w:t>
      </w:r>
    </w:p>
    <w:p>
      <w:pPr>
        <w:pStyle w:val="ListParagraph"/>
        <w:numPr>
          <w:ilvl w:val="0"/>
          <w:numId w:val="2"/>
        </w:numPr>
        <w:spacing w:after="80" w:line="276"/>
      </w:pPr>
      <w:r>
        <w:rPr>
          <w:rFonts w:ascii="Inter" w:cs="Inter" w:eastAsia="Inter" w:hAnsi="Inter"/>
          <w:sz w:val="21"/>
          <w:szCs w:val="21"/>
        </w:rPr>
        <w:t xml:space="preserve">The Agent shall review the request and respond within fourteen (14) business days. The Agent may accept, reject, or propose a counter-adjustment at its sole discretion.</w:t>
      </w:r>
    </w:p>
    <w:p>
      <w:pPr>
        <w:pStyle w:val="ListParagraph"/>
        <w:numPr>
          <w:ilvl w:val="0"/>
          <w:numId w:val="2"/>
        </w:numPr>
        <w:spacing w:after="80" w:line="276"/>
      </w:pPr>
      <w:r>
        <w:rPr>
          <w:rFonts w:ascii="Inter" w:cs="Inter" w:eastAsia="Inter" w:hAnsi="Inter"/>
          <w:sz w:val="21"/>
          <w:szCs w:val="21"/>
        </w:rPr>
        <w:t xml:space="preserve">Upon mutual agreement, both Parties shall execute an Amendment to Schedule B (a template is provided in Schedule B). The amendment shall specify the effective date of the new Treatment Fee.</w:t>
      </w:r>
    </w:p>
    <w:p>
      <w:pPr>
        <w:pStyle w:val="ListParagraph"/>
        <w:numPr>
          <w:ilvl w:val="0"/>
          <w:numId w:val="2"/>
        </w:numPr>
        <w:spacing w:after="80" w:line="276"/>
      </w:pPr>
      <w:r>
        <w:rPr>
          <w:rFonts w:ascii="Inter" w:cs="Inter" w:eastAsia="Inter" w:hAnsi="Inter"/>
          <w:sz w:val="21"/>
          <w:szCs w:val="21"/>
        </w:rPr>
        <w:t xml:space="preserve">Amended Treatment Fees apply only to Qualified Admissions occurring on or after the effective date stated in the amendment. </w:t>
      </w:r>
      <w:r>
        <w:rPr>
          <w:rFonts w:ascii="Inter" w:cs="Inter" w:eastAsia="Inter" w:hAnsi="Inter"/>
          <w:b/>
          <w:bCs/>
          <w:sz w:val="21"/>
          <w:szCs w:val="21"/>
        </w:rPr>
        <w:t xml:space="preserve">Price changes are never retroactive and do not affect Commissions on admissions that occurred before the amendment’s effective date.</w:t>
      </w:r>
    </w:p>
    <w:p>
      <w:pPr>
        <w:pStyle w:val="ListParagraph"/>
        <w:numPr>
          <w:ilvl w:val="0"/>
          <w:numId w:val="2"/>
        </w:numPr>
        <w:spacing w:after="80" w:line="276"/>
      </w:pPr>
      <w:r>
        <w:rPr>
          <w:rFonts w:ascii="Inter" w:cs="Inter" w:eastAsia="Inter" w:hAnsi="Inter"/>
          <w:sz w:val="21"/>
          <w:szCs w:val="21"/>
        </w:rPr>
        <w:t xml:space="preserve">Until a formal amendment is executed, the Treatment Fee stated in the current Schedule B remains in force and is the basis for all Commission calculations.</w:t>
      </w:r>
    </w:p>
    <w:p>
      <w:pPr>
        <w:pStyle w:val="ListParagraph"/>
        <w:numPr>
          <w:ilvl w:val="0"/>
          <w:numId w:val="2"/>
        </w:numPr>
        <w:spacing w:after="80" w:line="276"/>
      </w:pPr>
      <w:r>
        <w:rPr>
          <w:rFonts w:ascii="Inter" w:cs="Inter" w:eastAsia="Inter" w:hAnsi="Inter"/>
          <w:sz w:val="21"/>
          <w:szCs w:val="21"/>
        </w:rPr>
        <w:t xml:space="preserve">The Center shall not unilaterally change the price displayed on the Agent’s platform. Any price change on the platform without a corresponding executed amendment to this Contract shall constitute a material breach.</w:t>
      </w:r>
    </w:p>
    <w:p>
      <w:pPr>
        <w:spacing w:after="200" w:before="360"/>
      </w:pPr>
      <w:r>
        <w:rPr>
          <w:rFonts w:ascii="Noto Serif" w:cs="Noto Serif" w:eastAsia="Noto Serif" w:hAnsi="Noto Serif"/>
          <w:b/>
          <w:bCs/>
          <w:color w:val="45636B"/>
          <w:sz w:val="24"/>
          <w:szCs w:val="24"/>
        </w:rPr>
        <w:t xml:space="preserve">5. PAYMENT TERMS</w:t>
      </w:r>
    </w:p>
    <w:p>
      <w:pPr>
        <w:spacing w:after="120" w:before="200"/>
      </w:pPr>
      <w:r>
        <w:rPr>
          <w:rFonts w:ascii="Inter" w:cs="Inter" w:eastAsia="Inter" w:hAnsi="Inter"/>
          <w:b/>
          <w:bCs/>
          <w:color w:val="1A2E35"/>
          <w:sz w:val="21"/>
          <w:szCs w:val="21"/>
        </w:rPr>
        <w:t xml:space="preserve">5.1 </w:t>
      </w:r>
      <w:r>
        <w:rPr>
          <w:rFonts w:ascii="Inter" w:cs="Inter" w:eastAsia="Inter" w:hAnsi="Inter"/>
          <w:b/>
          <w:bCs/>
          <w:color w:val="1A2E35"/>
          <w:sz w:val="21"/>
          <w:szCs w:val="21"/>
        </w:rPr>
        <w:t xml:space="preserve">Reporting and Invoicing</w:t>
      </w:r>
    </w:p>
    <w:p>
      <w:pPr>
        <w:pStyle w:val="ListParagraph"/>
        <w:numPr>
          <w:ilvl w:val="0"/>
          <w:numId w:val="2"/>
        </w:numPr>
        <w:spacing w:after="80" w:line="276"/>
      </w:pPr>
      <w:r>
        <w:rPr>
          <w:rFonts w:ascii="Inter" w:cs="Inter" w:eastAsia="Inter" w:hAnsi="Inter"/>
          <w:sz w:val="21"/>
          <w:szCs w:val="21"/>
        </w:rPr>
        <w:t xml:space="preserve">The Center shall provide the Agent with a monthly Admission Report no later than the fifth (5th) business day of each calendar month, detailing all Qualified Admissions of Referred Clients from the preceding month.</w:t>
      </w:r>
    </w:p>
    <w:p>
      <w:pPr>
        <w:pStyle w:val="ListParagraph"/>
        <w:numPr>
          <w:ilvl w:val="0"/>
          <w:numId w:val="2"/>
        </w:numPr>
        <w:spacing w:after="80" w:line="276"/>
      </w:pPr>
      <w:r>
        <w:rPr>
          <w:rFonts w:ascii="Inter" w:cs="Inter" w:eastAsia="Inter" w:hAnsi="Inter"/>
          <w:sz w:val="21"/>
          <w:szCs w:val="21"/>
        </w:rPr>
        <w:t xml:space="preserve">The Agent shall issue an invoice based on the Admission Report within five (5) business days of receipt.</w:t>
      </w:r>
    </w:p>
    <w:p>
      <w:pPr>
        <w:spacing w:after="120" w:before="200"/>
      </w:pPr>
      <w:r>
        <w:rPr>
          <w:rFonts w:ascii="Inter" w:cs="Inter" w:eastAsia="Inter" w:hAnsi="Inter"/>
          <w:b/>
          <w:bCs/>
          <w:color w:val="1A2E35"/>
          <w:sz w:val="21"/>
          <w:szCs w:val="21"/>
        </w:rPr>
        <w:t xml:space="preserve">5.2 </w:t>
      </w:r>
      <w:r>
        <w:rPr>
          <w:rFonts w:ascii="Inter" w:cs="Inter" w:eastAsia="Inter" w:hAnsi="Inter"/>
          <w:b/>
          <w:bCs/>
          <w:color w:val="1A2E35"/>
          <w:sz w:val="21"/>
          <w:szCs w:val="21"/>
        </w:rPr>
        <w:t xml:space="preserve">Payment Schedule</w:t>
      </w:r>
    </w:p>
    <w:p>
      <w:pPr>
        <w:pStyle w:val="ListParagraph"/>
        <w:numPr>
          <w:ilvl w:val="0"/>
          <w:numId w:val="2"/>
        </w:numPr>
        <w:spacing w:after="80" w:line="276"/>
      </w:pPr>
      <w:r>
        <w:rPr>
          <w:rFonts w:ascii="Inter" w:cs="Inter" w:eastAsia="Inter" w:hAnsi="Inter"/>
          <w:sz w:val="21"/>
          <w:szCs w:val="21"/>
        </w:rPr>
        <w:t xml:space="preserve">Payment is due within thirty (30) days from the date of the Agent’s invoice (Net 30).</w:t>
      </w:r>
    </w:p>
    <w:p>
      <w:pPr>
        <w:pStyle w:val="ListParagraph"/>
        <w:numPr>
          <w:ilvl w:val="0"/>
          <w:numId w:val="2"/>
        </w:numPr>
        <w:spacing w:after="80" w:line="276"/>
      </w:pPr>
      <w:r>
        <w:rPr>
          <w:rFonts w:ascii="Inter" w:cs="Inter" w:eastAsia="Inter" w:hAnsi="Inter"/>
          <w:sz w:val="21"/>
          <w:szCs w:val="21"/>
        </w:rPr>
        <w:t xml:space="preserve">All payments shall be made in [USD / THB / EUR — select applicable currency] via international bank transfer to the Agent’s designated account.</w:t>
      </w:r>
    </w:p>
    <w:p>
      <w:pPr>
        <w:pStyle w:val="ListParagraph"/>
        <w:numPr>
          <w:ilvl w:val="0"/>
          <w:numId w:val="2"/>
        </w:numPr>
        <w:spacing w:after="80" w:line="276"/>
      </w:pPr>
      <w:r>
        <w:rPr>
          <w:rFonts w:ascii="Inter" w:cs="Inter" w:eastAsia="Inter" w:hAnsi="Inter"/>
          <w:sz w:val="21"/>
          <w:szCs w:val="21"/>
        </w:rPr>
        <w:t xml:space="preserve">The Center shall bear all bank transfer fees, currency conversion costs, and intermediary bank charges.</w:t>
      </w:r>
    </w:p>
    <w:p>
      <w:pPr>
        <w:spacing w:after="120" w:before="200"/>
      </w:pPr>
      <w:r>
        <w:rPr>
          <w:rFonts w:ascii="Inter" w:cs="Inter" w:eastAsia="Inter" w:hAnsi="Inter"/>
          <w:b/>
          <w:bCs/>
          <w:color w:val="1A2E35"/>
          <w:sz w:val="21"/>
          <w:szCs w:val="21"/>
        </w:rPr>
        <w:t xml:space="preserve">5.3 </w:t>
      </w:r>
      <w:r>
        <w:rPr>
          <w:rFonts w:ascii="Inter" w:cs="Inter" w:eastAsia="Inter" w:hAnsi="Inter"/>
          <w:b/>
          <w:bCs/>
          <w:color w:val="1A2E35"/>
          <w:sz w:val="21"/>
          <w:szCs w:val="21"/>
        </w:rPr>
        <w:t xml:space="preserve">Late Payment</w:t>
      </w:r>
    </w:p>
    <w:p>
      <w:pPr>
        <w:pStyle w:val="ListParagraph"/>
        <w:numPr>
          <w:ilvl w:val="0"/>
          <w:numId w:val="2"/>
        </w:numPr>
        <w:spacing w:after="80" w:line="276"/>
      </w:pPr>
      <w:r>
        <w:rPr>
          <w:rFonts w:ascii="Inter" w:cs="Inter" w:eastAsia="Inter" w:hAnsi="Inter"/>
          <w:sz w:val="21"/>
          <w:szCs w:val="21"/>
        </w:rPr>
        <w:t xml:space="preserve">Payments not received by the due date shall accrue interest at a rate of 1.5% per month (or the maximum rate permitted by law, whichever is lower), calculated from the date payment was due.</w:t>
      </w:r>
    </w:p>
    <w:p>
      <w:pPr>
        <w:pStyle w:val="ListParagraph"/>
        <w:numPr>
          <w:ilvl w:val="0"/>
          <w:numId w:val="2"/>
        </w:numPr>
        <w:spacing w:after="80" w:line="276"/>
      </w:pPr>
      <w:r>
        <w:rPr>
          <w:rFonts w:ascii="Inter" w:cs="Inter" w:eastAsia="Inter" w:hAnsi="Inter"/>
          <w:sz w:val="21"/>
          <w:szCs w:val="21"/>
        </w:rPr>
        <w:t xml:space="preserve">In the event of payment default exceeding sixty (60) days, the Agent reserves the right to suspend the Center’s listing on the platform and withhold further Lead referrals until all outstanding amounts are settled.</w:t>
      </w:r>
    </w:p>
    <w:p>
      <w:pPr>
        <w:spacing w:after="120" w:before="200"/>
      </w:pPr>
      <w:r>
        <w:rPr>
          <w:rFonts w:ascii="Inter" w:cs="Inter" w:eastAsia="Inter" w:hAnsi="Inter"/>
          <w:b/>
          <w:bCs/>
          <w:color w:val="1A2E35"/>
          <w:sz w:val="21"/>
          <w:szCs w:val="21"/>
        </w:rPr>
        <w:t xml:space="preserve">5.4 </w:t>
      </w:r>
      <w:r>
        <w:rPr>
          <w:rFonts w:ascii="Inter" w:cs="Inter" w:eastAsia="Inter" w:hAnsi="Inter"/>
          <w:b/>
          <w:bCs/>
          <w:color w:val="1A2E35"/>
          <w:sz w:val="21"/>
          <w:szCs w:val="21"/>
        </w:rPr>
        <w:t xml:space="preserve">Audit Rights</w:t>
      </w:r>
    </w:p>
    <w:p>
      <w:pPr>
        <w:spacing w:after="160" w:line="276"/>
        <w:jc w:val="both"/>
      </w:pPr>
      <w:r>
        <w:t xml:space="preserve">The Agent or its designated representative may, upon thirty (30) days’ written notice, audit the Center’s records relevant to Referred Client admissions and Treatment Fees. Such audit shall occur during normal business hours and no more than once per calendar year, unless discrepancies are discovered.</w:t>
      </w:r>
    </w:p>
    <w:p>
      <w:pPr>
        <w:spacing w:after="200" w:before="360"/>
      </w:pPr>
      <w:r>
        <w:rPr>
          <w:rFonts w:ascii="Noto Serif" w:cs="Noto Serif" w:eastAsia="Noto Serif" w:hAnsi="Noto Serif"/>
          <w:b/>
          <w:bCs/>
          <w:color w:val="45636B"/>
          <w:sz w:val="24"/>
          <w:szCs w:val="24"/>
        </w:rPr>
        <w:t xml:space="preserve">6. TERM AND TERMINATION</w:t>
      </w:r>
    </w:p>
    <w:p>
      <w:pPr>
        <w:spacing w:after="120" w:before="200"/>
      </w:pPr>
      <w:r>
        <w:rPr>
          <w:rFonts w:ascii="Inter" w:cs="Inter" w:eastAsia="Inter" w:hAnsi="Inter"/>
          <w:b/>
          <w:bCs/>
          <w:color w:val="1A2E35"/>
          <w:sz w:val="21"/>
          <w:szCs w:val="21"/>
        </w:rPr>
        <w:t xml:space="preserve">6.1 </w:t>
      </w:r>
      <w:r>
        <w:rPr>
          <w:rFonts w:ascii="Inter" w:cs="Inter" w:eastAsia="Inter" w:hAnsi="Inter"/>
          <w:b/>
          <w:bCs/>
          <w:color w:val="1A2E35"/>
          <w:sz w:val="21"/>
          <w:szCs w:val="21"/>
        </w:rPr>
        <w:t xml:space="preserve">Initial Term</w:t>
      </w:r>
    </w:p>
    <w:p>
      <w:pPr>
        <w:spacing w:after="160" w:line="276"/>
        <w:jc w:val="both"/>
      </w:pPr>
      <w:r>
        <w:t xml:space="preserve">This Contract shall commence on the Effective Date and continue for an initial term of twelve (12) months (the “Initial Term”).</w:t>
      </w:r>
    </w:p>
    <w:p>
      <w:pPr>
        <w:spacing w:after="120" w:before="200"/>
      </w:pPr>
      <w:r>
        <w:rPr>
          <w:rFonts w:ascii="Inter" w:cs="Inter" w:eastAsia="Inter" w:hAnsi="Inter"/>
          <w:b/>
          <w:bCs/>
          <w:color w:val="1A2E35"/>
          <w:sz w:val="21"/>
          <w:szCs w:val="21"/>
        </w:rPr>
        <w:t xml:space="preserve">6.2 </w:t>
      </w:r>
      <w:r>
        <w:rPr>
          <w:rFonts w:ascii="Inter" w:cs="Inter" w:eastAsia="Inter" w:hAnsi="Inter"/>
          <w:b/>
          <w:bCs/>
          <w:color w:val="1A2E35"/>
          <w:sz w:val="21"/>
          <w:szCs w:val="21"/>
        </w:rPr>
        <w:t xml:space="preserve">Renewal</w:t>
      </w:r>
    </w:p>
    <w:p>
      <w:pPr>
        <w:spacing w:after="160" w:line="276"/>
        <w:jc w:val="both"/>
      </w:pPr>
      <w:r>
        <w:t xml:space="preserve">Upon expiration of the Initial Term, this Contract shall automatically renew for successive twelve (12)-month periods (each a “Renewal Term”), unless either Party provides written notice of non-renewal at least sixty (60) days prior to the end of the then-current term.</w:t>
      </w:r>
    </w:p>
    <w:p>
      <w:pPr>
        <w:spacing w:after="120" w:before="200"/>
      </w:pPr>
      <w:r>
        <w:rPr>
          <w:rFonts w:ascii="Inter" w:cs="Inter" w:eastAsia="Inter" w:hAnsi="Inter"/>
          <w:b/>
          <w:bCs/>
          <w:color w:val="1A2E35"/>
          <w:sz w:val="21"/>
          <w:szCs w:val="21"/>
        </w:rPr>
        <w:t xml:space="preserve">6.3 </w:t>
      </w:r>
      <w:r>
        <w:rPr>
          <w:rFonts w:ascii="Inter" w:cs="Inter" w:eastAsia="Inter" w:hAnsi="Inter"/>
          <w:b/>
          <w:bCs/>
          <w:color w:val="1A2E35"/>
          <w:sz w:val="21"/>
          <w:szCs w:val="21"/>
        </w:rPr>
        <w:t xml:space="preserve">Termination for Convenience</w:t>
      </w:r>
    </w:p>
    <w:p>
      <w:pPr>
        <w:spacing w:after="160" w:line="276"/>
        <w:jc w:val="both"/>
      </w:pPr>
      <w:r>
        <w:t xml:space="preserve">Either Party may terminate this Contract at any time by providing ninety (90) days’ written notice to the other Party.</w:t>
      </w:r>
    </w:p>
    <w:p>
      <w:pPr>
        <w:spacing w:after="120" w:before="200"/>
      </w:pPr>
      <w:r>
        <w:rPr>
          <w:rFonts w:ascii="Inter" w:cs="Inter" w:eastAsia="Inter" w:hAnsi="Inter"/>
          <w:b/>
          <w:bCs/>
          <w:color w:val="1A2E35"/>
          <w:sz w:val="21"/>
          <w:szCs w:val="21"/>
        </w:rPr>
        <w:t xml:space="preserve">6.4 </w:t>
      </w:r>
      <w:r>
        <w:rPr>
          <w:rFonts w:ascii="Inter" w:cs="Inter" w:eastAsia="Inter" w:hAnsi="Inter"/>
          <w:b/>
          <w:bCs/>
          <w:color w:val="1A2E35"/>
          <w:sz w:val="21"/>
          <w:szCs w:val="21"/>
        </w:rPr>
        <w:t xml:space="preserve">Termination for Cause</w:t>
      </w:r>
    </w:p>
    <w:p>
      <w:pPr>
        <w:spacing w:after="160" w:line="276"/>
        <w:jc w:val="both"/>
      </w:pPr>
      <w:r>
        <w:t xml:space="preserve">Either Party may terminate this Contract immediately upon written notice if the other Party:</w:t>
      </w:r>
    </w:p>
    <w:p>
      <w:pPr>
        <w:pStyle w:val="ListParagraph"/>
        <w:numPr>
          <w:ilvl w:val="0"/>
          <w:numId w:val="2"/>
        </w:numPr>
        <w:spacing w:after="80" w:line="276"/>
      </w:pPr>
      <w:r>
        <w:rPr>
          <w:rFonts w:ascii="Inter" w:cs="Inter" w:eastAsia="Inter" w:hAnsi="Inter"/>
          <w:sz w:val="21"/>
          <w:szCs w:val="21"/>
        </w:rPr>
        <w:t xml:space="preserve">Commits a material breach of this Contract and fails to cure such breach within thirty (30) days of receiving written notice thereof;</w:t>
      </w:r>
    </w:p>
    <w:p>
      <w:pPr>
        <w:pStyle w:val="ListParagraph"/>
        <w:numPr>
          <w:ilvl w:val="0"/>
          <w:numId w:val="2"/>
        </w:numPr>
        <w:spacing w:after="80" w:line="276"/>
      </w:pPr>
      <w:r>
        <w:rPr>
          <w:rFonts w:ascii="Inter" w:cs="Inter" w:eastAsia="Inter" w:hAnsi="Inter"/>
          <w:sz w:val="21"/>
          <w:szCs w:val="21"/>
        </w:rPr>
        <w:t xml:space="preserve">Becomes insolvent, files for bankruptcy, or ceases operations;</w:t>
      </w:r>
    </w:p>
    <w:p>
      <w:pPr>
        <w:pStyle w:val="ListParagraph"/>
        <w:numPr>
          <w:ilvl w:val="0"/>
          <w:numId w:val="2"/>
        </w:numPr>
        <w:spacing w:after="80" w:line="276"/>
      </w:pPr>
      <w:r>
        <w:rPr>
          <w:rFonts w:ascii="Inter" w:cs="Inter" w:eastAsia="Inter" w:hAnsi="Inter"/>
          <w:sz w:val="21"/>
          <w:szCs w:val="21"/>
        </w:rPr>
        <w:t xml:space="preserve">Has its professional licenses revoked, suspended, or materially restricted;</w:t>
      </w:r>
    </w:p>
    <w:p>
      <w:pPr>
        <w:pStyle w:val="ListParagraph"/>
        <w:numPr>
          <w:ilvl w:val="0"/>
          <w:numId w:val="2"/>
        </w:numPr>
        <w:spacing w:after="80" w:line="276"/>
      </w:pPr>
      <w:r>
        <w:rPr>
          <w:rFonts w:ascii="Inter" w:cs="Inter" w:eastAsia="Inter" w:hAnsi="Inter"/>
          <w:sz w:val="21"/>
          <w:szCs w:val="21"/>
        </w:rPr>
        <w:t xml:space="preserve">Engages in conduct that materially damages the reputation of the other Party.</w:t>
      </w:r>
    </w:p>
    <w:p>
      <w:pPr>
        <w:spacing w:after="120" w:before="200"/>
      </w:pPr>
      <w:r>
        <w:rPr>
          <w:rFonts w:ascii="Inter" w:cs="Inter" w:eastAsia="Inter" w:hAnsi="Inter"/>
          <w:b/>
          <w:bCs/>
          <w:color w:val="1A2E35"/>
          <w:sz w:val="21"/>
          <w:szCs w:val="21"/>
        </w:rPr>
        <w:t xml:space="preserve">6.5 </w:t>
      </w:r>
      <w:r>
        <w:rPr>
          <w:rFonts w:ascii="Inter" w:cs="Inter" w:eastAsia="Inter" w:hAnsi="Inter"/>
          <w:b/>
          <w:bCs/>
          <w:color w:val="1A2E35"/>
          <w:sz w:val="21"/>
          <w:szCs w:val="21"/>
        </w:rPr>
        <w:t xml:space="preserve">Survival of Commission Obligations</w:t>
      </w:r>
    </w:p>
    <w:p>
      <w:pPr>
        <w:spacing w:after="160" w:line="276"/>
        <w:jc w:val="both"/>
      </w:pPr>
      <w:r>
        <w:rPr>
          <w:rFonts w:ascii="Inter" w:cs="Inter" w:eastAsia="Inter" w:hAnsi="Inter"/>
          <w:sz w:val="21"/>
          <w:szCs w:val="21"/>
        </w:rPr>
        <w:t xml:space="preserve">Upon termination or expiration of this Contract, the Center’s obligation to pay Commission on Referred Clients introduced during the term of this Contract shall survive for the duration of the Tail Period (24 months from the date each Lead was transmitted). </w:t>
      </w:r>
      <w:r>
        <w:rPr>
          <w:rFonts w:ascii="Inter" w:cs="Inter" w:eastAsia="Inter" w:hAnsi="Inter"/>
          <w:b/>
          <w:bCs/>
          <w:sz w:val="21"/>
          <w:szCs w:val="21"/>
        </w:rPr>
        <w:t xml:space="preserve">This survival clause applies regardless of the reason for termination.</w:t>
      </w:r>
    </w:p>
    <w:p>
      <w:pPr>
        <w:spacing w:after="200" w:before="360"/>
      </w:pPr>
      <w:r>
        <w:rPr>
          <w:rFonts w:ascii="Noto Serif" w:cs="Noto Serif" w:eastAsia="Noto Serif" w:hAnsi="Noto Serif"/>
          <w:b/>
          <w:bCs/>
          <w:color w:val="45636B"/>
          <w:sz w:val="24"/>
          <w:szCs w:val="24"/>
        </w:rPr>
        <w:t xml:space="preserve">7. CONFIDENTIALITY</w:t>
      </w:r>
    </w:p>
    <w:p>
      <w:pPr>
        <w:spacing w:after="160" w:line="276"/>
        <w:jc w:val="both"/>
      </w:pPr>
      <w:r>
        <w:t xml:space="preserve">Each Party agrees to maintain the confidentiality of all proprietary, business, financial, and client information received from the other Party during the term of this Contract. This obligation survives termination for a period of three (3) years.</w:t>
      </w:r>
    </w:p>
    <w:p>
      <w:pPr>
        <w:spacing w:after="160" w:line="276"/>
        <w:jc w:val="both"/>
      </w:pPr>
      <w:r>
        <w:t xml:space="preserve">The Commission rates, Lead volumes, and financial terms of this Contract shall be treated as confidential and shall not be disclosed to any third party without the prior written consent of the other Party, except as required by law.</w:t>
      </w:r>
    </w:p>
    <w:p>
      <w:pPr>
        <w:spacing w:after="200" w:before="360"/>
      </w:pPr>
      <w:r>
        <w:rPr>
          <w:rFonts w:ascii="Noto Serif" w:cs="Noto Serif" w:eastAsia="Noto Serif" w:hAnsi="Noto Serif"/>
          <w:b/>
          <w:bCs/>
          <w:color w:val="45636B"/>
          <w:sz w:val="24"/>
          <w:szCs w:val="24"/>
        </w:rPr>
        <w:t xml:space="preserve">8. DATA PROTECTION AND PRIVACY</w:t>
      </w:r>
    </w:p>
    <w:p>
      <w:pPr>
        <w:spacing w:after="120" w:before="200"/>
      </w:pPr>
      <w:r>
        <w:rPr>
          <w:rFonts w:ascii="Inter" w:cs="Inter" w:eastAsia="Inter" w:hAnsi="Inter"/>
          <w:b/>
          <w:bCs/>
          <w:color w:val="1A2E35"/>
          <w:sz w:val="21"/>
          <w:szCs w:val="21"/>
        </w:rPr>
        <w:t xml:space="preserve">8.1 </w:t>
      </w:r>
      <w:r>
        <w:rPr>
          <w:rFonts w:ascii="Inter" w:cs="Inter" w:eastAsia="Inter" w:hAnsi="Inter"/>
          <w:b/>
          <w:bCs/>
          <w:color w:val="1A2E35"/>
          <w:sz w:val="21"/>
          <w:szCs w:val="21"/>
        </w:rPr>
        <w:t xml:space="preserve">Data Processing</w:t>
      </w:r>
    </w:p>
    <w:p>
      <w:pPr>
        <w:spacing w:after="160" w:line="276"/>
        <w:jc w:val="both"/>
      </w:pPr>
      <w:r>
        <w:t xml:space="preserve">Both Parties acknowledge that the referral process involves the processing of personal data, including potentially sensitive health-related information. Each Party shall comply with all applicable data protection laws in its respective jurisdiction.</w:t>
      </w:r>
    </w:p>
    <w:p>
      <w:pPr>
        <w:spacing w:after="120" w:before="200"/>
      </w:pPr>
      <w:r>
        <w:rPr>
          <w:rFonts w:ascii="Inter" w:cs="Inter" w:eastAsia="Inter" w:hAnsi="Inter"/>
          <w:b/>
          <w:bCs/>
          <w:color w:val="1A2E35"/>
          <w:sz w:val="21"/>
          <w:szCs w:val="21"/>
        </w:rPr>
        <w:t xml:space="preserve">8.2 </w:t>
      </w:r>
      <w:r>
        <w:rPr>
          <w:rFonts w:ascii="Inter" w:cs="Inter" w:eastAsia="Inter" w:hAnsi="Inter"/>
          <w:b/>
          <w:bCs/>
          <w:color w:val="1A2E35"/>
          <w:sz w:val="21"/>
          <w:szCs w:val="21"/>
        </w:rPr>
        <w:t xml:space="preserve">Client Consent</w:t>
      </w:r>
    </w:p>
    <w:p>
      <w:pPr>
        <w:spacing w:after="160" w:line="276"/>
        <w:jc w:val="both"/>
      </w:pPr>
      <w:r>
        <w:t xml:space="preserve">The Agent shall obtain appropriate consent from prospective clients before transmitting their personal information to the Center. The Center shall not use such data for any purpose other than responding to the referral and providing treatment services.</w:t>
      </w:r>
    </w:p>
    <w:p>
      <w:pPr>
        <w:spacing w:after="120" w:before="200"/>
      </w:pPr>
      <w:r>
        <w:rPr>
          <w:rFonts w:ascii="Inter" w:cs="Inter" w:eastAsia="Inter" w:hAnsi="Inter"/>
          <w:b/>
          <w:bCs/>
          <w:color w:val="1A2E35"/>
          <w:sz w:val="21"/>
          <w:szCs w:val="21"/>
        </w:rPr>
        <w:t xml:space="preserve">8.3 </w:t>
      </w:r>
      <w:r>
        <w:rPr>
          <w:rFonts w:ascii="Inter" w:cs="Inter" w:eastAsia="Inter" w:hAnsi="Inter"/>
          <w:b/>
          <w:bCs/>
          <w:color w:val="1A2E35"/>
          <w:sz w:val="21"/>
          <w:szCs w:val="21"/>
        </w:rPr>
        <w:t xml:space="preserve">Data Security</w:t>
      </w:r>
    </w:p>
    <w:p>
      <w:pPr>
        <w:spacing w:after="160" w:line="276"/>
        <w:jc w:val="both"/>
      </w:pPr>
      <w:r>
        <w:t xml:space="preserve">Both Parties shall implement appropriate technical and organizational measures to protect personal data against unauthorized access, loss, or disclosure, consistent with industry best practices and applicable legal requirements.</w:t>
      </w:r>
    </w:p>
    <w:p>
      <w:pPr>
        <w:spacing w:after="200" w:before="360"/>
      </w:pPr>
      <w:r>
        <w:rPr>
          <w:rFonts w:ascii="Noto Serif" w:cs="Noto Serif" w:eastAsia="Noto Serif" w:hAnsi="Noto Serif"/>
          <w:b/>
          <w:bCs/>
          <w:color w:val="45636B"/>
          <w:sz w:val="24"/>
          <w:szCs w:val="24"/>
        </w:rPr>
        <w:t xml:space="preserve">9. REPRESENTATIONS AND WARRANTIES</w:t>
      </w:r>
    </w:p>
    <w:p>
      <w:pPr>
        <w:spacing w:after="120" w:before="200"/>
      </w:pPr>
      <w:r>
        <w:rPr>
          <w:rFonts w:ascii="Inter" w:cs="Inter" w:eastAsia="Inter" w:hAnsi="Inter"/>
          <w:b/>
          <w:bCs/>
          <w:color w:val="1A2E35"/>
          <w:sz w:val="21"/>
          <w:szCs w:val="21"/>
        </w:rPr>
        <w:t xml:space="preserve">9.1 </w:t>
      </w:r>
      <w:r>
        <w:rPr>
          <w:rFonts w:ascii="Inter" w:cs="Inter" w:eastAsia="Inter" w:hAnsi="Inter"/>
          <w:b/>
          <w:bCs/>
          <w:color w:val="1A2E35"/>
          <w:sz w:val="21"/>
          <w:szCs w:val="21"/>
        </w:rPr>
        <w:t xml:space="preserve">By the Center</w:t>
      </w:r>
    </w:p>
    <w:p>
      <w:pPr>
        <w:pStyle w:val="ListParagraph"/>
        <w:numPr>
          <w:ilvl w:val="0"/>
          <w:numId w:val="2"/>
        </w:numPr>
        <w:spacing w:after="80" w:line="276"/>
      </w:pPr>
      <w:r>
        <w:rPr>
          <w:rFonts w:ascii="Inter" w:cs="Inter" w:eastAsia="Inter" w:hAnsi="Inter"/>
          <w:sz w:val="21"/>
          <w:szCs w:val="21"/>
        </w:rPr>
        <w:t xml:space="preserve">It is duly organized, validly existing, and in good standing under the laws of its jurisdiction.</w:t>
      </w:r>
    </w:p>
    <w:p>
      <w:pPr>
        <w:pStyle w:val="ListParagraph"/>
        <w:numPr>
          <w:ilvl w:val="0"/>
          <w:numId w:val="2"/>
        </w:numPr>
        <w:spacing w:after="80" w:line="276"/>
      </w:pPr>
      <w:r>
        <w:rPr>
          <w:rFonts w:ascii="Inter" w:cs="Inter" w:eastAsia="Inter" w:hAnsi="Inter"/>
          <w:sz w:val="21"/>
          <w:szCs w:val="21"/>
        </w:rPr>
        <w:t xml:space="preserve">It holds all necessary licenses, certifications, and authorizations to provide rehabilitation and treatment services.</w:t>
      </w:r>
    </w:p>
    <w:p>
      <w:pPr>
        <w:pStyle w:val="ListParagraph"/>
        <w:numPr>
          <w:ilvl w:val="0"/>
          <w:numId w:val="2"/>
        </w:numPr>
        <w:spacing w:after="80" w:line="276"/>
      </w:pPr>
      <w:r>
        <w:rPr>
          <w:rFonts w:ascii="Inter" w:cs="Inter" w:eastAsia="Inter" w:hAnsi="Inter"/>
          <w:sz w:val="21"/>
          <w:szCs w:val="21"/>
        </w:rPr>
        <w:t xml:space="preserve">Its facilities, staff, and programs meet or exceed the applicable regulatory and accreditation standards.</w:t>
      </w:r>
    </w:p>
    <w:p>
      <w:pPr>
        <w:pStyle w:val="ListParagraph"/>
        <w:numPr>
          <w:ilvl w:val="0"/>
          <w:numId w:val="2"/>
        </w:numPr>
        <w:spacing w:after="80" w:line="276"/>
      </w:pPr>
      <w:r>
        <w:rPr>
          <w:rFonts w:ascii="Inter" w:cs="Inter" w:eastAsia="Inter" w:hAnsi="Inter"/>
          <w:sz w:val="21"/>
          <w:szCs w:val="21"/>
        </w:rPr>
        <w:t xml:space="preserve">All information provided to the Agent for listing purposes is accurate, current, and not misleading.</w:t>
      </w:r>
    </w:p>
    <w:p>
      <w:pPr>
        <w:pStyle w:val="ListParagraph"/>
        <w:numPr>
          <w:ilvl w:val="0"/>
          <w:numId w:val="2"/>
        </w:numPr>
        <w:spacing w:after="80" w:line="276"/>
      </w:pPr>
      <w:r>
        <w:rPr>
          <w:rFonts w:ascii="Inter" w:cs="Inter" w:eastAsia="Inter" w:hAnsi="Inter"/>
          <w:sz w:val="21"/>
          <w:szCs w:val="21"/>
        </w:rPr>
        <w:t xml:space="preserve">It maintains adequate professional liability insurance and general liability insurance.</w:t>
      </w:r>
    </w:p>
    <w:p>
      <w:pPr>
        <w:spacing w:after="120" w:before="200"/>
      </w:pPr>
      <w:r>
        <w:rPr>
          <w:rFonts w:ascii="Inter" w:cs="Inter" w:eastAsia="Inter" w:hAnsi="Inter"/>
          <w:b/>
          <w:bCs/>
          <w:color w:val="1A2E35"/>
          <w:sz w:val="21"/>
          <w:szCs w:val="21"/>
        </w:rPr>
        <w:t xml:space="preserve">9.2 </w:t>
      </w:r>
      <w:r>
        <w:rPr>
          <w:rFonts w:ascii="Inter" w:cs="Inter" w:eastAsia="Inter" w:hAnsi="Inter"/>
          <w:b/>
          <w:bCs/>
          <w:color w:val="1A2E35"/>
          <w:sz w:val="21"/>
          <w:szCs w:val="21"/>
        </w:rPr>
        <w:t xml:space="preserve">By the Agent</w:t>
      </w:r>
    </w:p>
    <w:p>
      <w:pPr>
        <w:pStyle w:val="ListParagraph"/>
        <w:numPr>
          <w:ilvl w:val="0"/>
          <w:numId w:val="2"/>
        </w:numPr>
        <w:spacing w:after="80" w:line="276"/>
      </w:pPr>
      <w:r>
        <w:rPr>
          <w:rFonts w:ascii="Inter" w:cs="Inter" w:eastAsia="Inter" w:hAnsi="Inter"/>
          <w:sz w:val="21"/>
          <w:szCs w:val="21"/>
        </w:rPr>
        <w:t xml:space="preserve">It operates a legitimate online platform for rehabilitation center discovery and referral.</w:t>
      </w:r>
    </w:p>
    <w:p>
      <w:pPr>
        <w:pStyle w:val="ListParagraph"/>
        <w:numPr>
          <w:ilvl w:val="0"/>
          <w:numId w:val="2"/>
        </w:numPr>
        <w:spacing w:after="80" w:line="276"/>
      </w:pPr>
      <w:r>
        <w:rPr>
          <w:rFonts w:ascii="Inter" w:cs="Inter" w:eastAsia="Inter" w:hAnsi="Inter"/>
          <w:sz w:val="21"/>
          <w:szCs w:val="21"/>
        </w:rPr>
        <w:t xml:space="preserve">It shall market the Center in a professional manner consistent with the Center’s brand and applicable advertising regulations.</w:t>
      </w:r>
    </w:p>
    <w:p>
      <w:pPr>
        <w:pStyle w:val="ListParagraph"/>
        <w:numPr>
          <w:ilvl w:val="0"/>
          <w:numId w:val="2"/>
        </w:numPr>
        <w:spacing w:after="80" w:line="276"/>
      </w:pPr>
      <w:r>
        <w:rPr>
          <w:rFonts w:ascii="Inter" w:cs="Inter" w:eastAsia="Inter" w:hAnsi="Inter"/>
          <w:sz w:val="21"/>
          <w:szCs w:val="21"/>
        </w:rPr>
        <w:t xml:space="preserve">It shall not make medical claims or guarantees of treatment outcomes on behalf of the Center.</w:t>
      </w:r>
    </w:p>
    <w:p>
      <w:pPr>
        <w:spacing w:after="200" w:before="360"/>
      </w:pPr>
      <w:r>
        <w:rPr>
          <w:rFonts w:ascii="Noto Serif" w:cs="Noto Serif" w:eastAsia="Noto Serif" w:hAnsi="Noto Serif"/>
          <w:b/>
          <w:bCs/>
          <w:color w:val="45636B"/>
          <w:sz w:val="24"/>
          <w:szCs w:val="24"/>
        </w:rPr>
        <w:t xml:space="preserve">10. LIMITATION OF LIABILITY</w:t>
      </w:r>
    </w:p>
    <w:p>
      <w:pPr>
        <w:spacing w:after="160" w:line="276"/>
        <w:jc w:val="both"/>
      </w:pPr>
      <w:r>
        <w:t xml:space="preserve">The Agent does not provide medical or clinical services and shall not be liable for any treatment outcomes, malpractice claims, or client injuries arising from the Center’s services.</w:t>
      </w:r>
    </w:p>
    <w:p>
      <w:pPr>
        <w:spacing w:after="160" w:line="276"/>
        <w:jc w:val="both"/>
      </w:pPr>
      <w:r>
        <w:t xml:space="preserve">Neither Party shall be liable to the other for any indirect, incidental, special, consequential, or punitive damages arising out of or related to this Contract, regardless of the theory of liability.</w:t>
      </w:r>
    </w:p>
    <w:p>
      <w:pPr>
        <w:spacing w:after="160" w:line="276"/>
        <w:jc w:val="both"/>
      </w:pPr>
      <w:r>
        <w:t xml:space="preserve">The Agent’s total aggregate liability under this Contract shall not exceed the total Commission paid by the Center to the Agent in the twelve (12) months preceding the event giving rise to the claim.</w:t>
      </w:r>
    </w:p>
    <w:p>
      <w:pPr>
        <w:spacing w:after="200" w:before="360"/>
      </w:pPr>
      <w:r>
        <w:rPr>
          <w:rFonts w:ascii="Noto Serif" w:cs="Noto Serif" w:eastAsia="Noto Serif" w:hAnsi="Noto Serif"/>
          <w:b/>
          <w:bCs/>
          <w:color w:val="45636B"/>
          <w:sz w:val="24"/>
          <w:szCs w:val="24"/>
        </w:rPr>
        <w:t xml:space="preserve">11. INDEMNIFICATION</w:t>
      </w:r>
    </w:p>
    <w:p>
      <w:pPr>
        <w:spacing w:after="160" w:line="276"/>
        <w:jc w:val="both"/>
      </w:pPr>
      <w:r>
        <w:t xml:space="preserve">The Center shall indemnify, defend, and hold harmless the Agent from and against any and all claims, damages, losses, and expenses (including reasonable legal fees) arising from: (a) the Center’s breach of this Contract; (b) any claims related to the treatment or care of Referred Clients; (c) any violation of applicable laws or regulations by the Center.</w:t>
      </w:r>
    </w:p>
    <w:p>
      <w:pPr>
        <w:spacing w:after="160" w:line="276"/>
        <w:jc w:val="both"/>
      </w:pPr>
      <w:r>
        <w:t xml:space="preserve">The Agent shall indemnify, defend, and hold harmless the Center from and against any and all claims, damages, losses, and expenses arising from: (a) the Agent’s breach of this Contract; (b) any unauthorized use or disclosure of the Center’s confidential information by the Agent.</w:t>
      </w:r>
    </w:p>
    <w:p>
      <w:pPr>
        <w:spacing w:after="200" w:before="360"/>
      </w:pPr>
      <w:r>
        <w:rPr>
          <w:rFonts w:ascii="Noto Serif" w:cs="Noto Serif" w:eastAsia="Noto Serif" w:hAnsi="Noto Serif"/>
          <w:b/>
          <w:bCs/>
          <w:color w:val="45636B"/>
          <w:sz w:val="24"/>
          <w:szCs w:val="24"/>
        </w:rPr>
        <w:t xml:space="preserve">12. INTELLECTUAL PROPERTY</w:t>
      </w:r>
    </w:p>
    <w:p>
      <w:pPr>
        <w:spacing w:after="160" w:line="276"/>
        <w:jc w:val="both"/>
      </w:pPr>
      <w:r>
        <w:t xml:space="preserve">Each Party retains ownership of its pre-existing intellectual property. The Center grants the Agent a non-exclusive, royalty-free license to use the Center’s name, logo, photographs, and descriptions for the purposes of this Contract.</w:t>
      </w:r>
    </w:p>
    <w:p>
      <w:pPr>
        <w:spacing w:after="160" w:line="276"/>
        <w:jc w:val="both"/>
      </w:pPr>
      <w:r>
        <w:t xml:space="preserve">Blog Content submitted by the Center and published on the Agent’s platform shall be jointly owned. The Center may republish such content on its own channels with attribution to Rehab-Atlas. The Agent may continue to display published Blog Content on its platform even after termination of this Contract.</w:t>
      </w:r>
    </w:p>
    <w:p>
      <w:pPr>
        <w:spacing w:after="200" w:before="360"/>
      </w:pPr>
      <w:r>
        <w:rPr>
          <w:rFonts w:ascii="Noto Serif" w:cs="Noto Serif" w:eastAsia="Noto Serif" w:hAnsi="Noto Serif"/>
          <w:b/>
          <w:bCs/>
          <w:color w:val="45636B"/>
          <w:sz w:val="24"/>
          <w:szCs w:val="24"/>
        </w:rPr>
        <w:t xml:space="preserve">13. FORCE MAJEURE</w:t>
      </w:r>
    </w:p>
    <w:p>
      <w:pPr>
        <w:spacing w:after="160" w:line="276"/>
        <w:jc w:val="both"/>
      </w:pPr>
      <w:r>
        <w:t xml:space="preserve">Neither Party shall be liable for any failure or delay in performing its obligations under this Contract due to circumstances beyond its reasonable control, including but not limited to natural disasters, epidemics, pandemics, war, terrorism, government actions, labor disputes, or internet infrastructure failures. The affected Party shall notify the other Party promptly and use reasonable efforts to mitigate the impact.</w:t>
      </w:r>
    </w:p>
    <w:p>
      <w:pPr>
        <w:spacing w:after="200" w:before="360"/>
      </w:pPr>
      <w:r>
        <w:rPr>
          <w:rFonts w:ascii="Noto Serif" w:cs="Noto Serif" w:eastAsia="Noto Serif" w:hAnsi="Noto Serif"/>
          <w:b/>
          <w:bCs/>
          <w:color w:val="45636B"/>
          <w:sz w:val="24"/>
          <w:szCs w:val="24"/>
        </w:rPr>
        <w:t xml:space="preserve">14. DISPUTE RESOLUTION</w:t>
      </w:r>
    </w:p>
    <w:p>
      <w:pPr>
        <w:spacing w:after="120" w:before="200"/>
      </w:pPr>
      <w:r>
        <w:rPr>
          <w:rFonts w:ascii="Inter" w:cs="Inter" w:eastAsia="Inter" w:hAnsi="Inter"/>
          <w:b/>
          <w:bCs/>
          <w:color w:val="1A2E35"/>
          <w:sz w:val="21"/>
          <w:szCs w:val="21"/>
        </w:rPr>
        <w:t xml:space="preserve">14.1 </w:t>
      </w:r>
      <w:r>
        <w:rPr>
          <w:rFonts w:ascii="Inter" w:cs="Inter" w:eastAsia="Inter" w:hAnsi="Inter"/>
          <w:b/>
          <w:bCs/>
          <w:color w:val="1A2E35"/>
          <w:sz w:val="21"/>
          <w:szCs w:val="21"/>
        </w:rPr>
        <w:t xml:space="preserve">Negotiation</w:t>
      </w:r>
    </w:p>
    <w:p>
      <w:pPr>
        <w:spacing w:after="160" w:line="276"/>
        <w:jc w:val="both"/>
      </w:pPr>
      <w:r>
        <w:t xml:space="preserve">The Parties shall first attempt to resolve any dispute arising out of or in connection with this Contract through good-faith negotiation within thirty (30) days of written notice of the dispute.</w:t>
      </w:r>
    </w:p>
    <w:p>
      <w:pPr>
        <w:spacing w:after="120" w:before="200"/>
      </w:pPr>
      <w:r>
        <w:rPr>
          <w:rFonts w:ascii="Inter" w:cs="Inter" w:eastAsia="Inter" w:hAnsi="Inter"/>
          <w:b/>
          <w:bCs/>
          <w:color w:val="1A2E35"/>
          <w:sz w:val="21"/>
          <w:szCs w:val="21"/>
        </w:rPr>
        <w:t xml:space="preserve">14.2 </w:t>
      </w:r>
      <w:r>
        <w:rPr>
          <w:rFonts w:ascii="Inter" w:cs="Inter" w:eastAsia="Inter" w:hAnsi="Inter"/>
          <w:b/>
          <w:bCs/>
          <w:color w:val="1A2E35"/>
          <w:sz w:val="21"/>
          <w:szCs w:val="21"/>
        </w:rPr>
        <w:t xml:space="preserve">Mediation</w:t>
      </w:r>
    </w:p>
    <w:p>
      <w:pPr>
        <w:spacing w:after="160" w:line="276"/>
        <w:jc w:val="both"/>
      </w:pPr>
      <w:r>
        <w:t xml:space="preserve">If negotiation fails, the Parties agree to submit the dispute to mediation administered by the Thailand Arbitration Center (THAC) or another mutually agreed mediation body, before commencing any legal proceedings.</w:t>
      </w:r>
    </w:p>
    <w:p>
      <w:pPr>
        <w:spacing w:after="120" w:before="200"/>
      </w:pPr>
      <w:r>
        <w:rPr>
          <w:rFonts w:ascii="Inter" w:cs="Inter" w:eastAsia="Inter" w:hAnsi="Inter"/>
          <w:b/>
          <w:bCs/>
          <w:color w:val="1A2E35"/>
          <w:sz w:val="21"/>
          <w:szCs w:val="21"/>
        </w:rPr>
        <w:t xml:space="preserve">14.3 </w:t>
      </w:r>
      <w:r>
        <w:rPr>
          <w:rFonts w:ascii="Inter" w:cs="Inter" w:eastAsia="Inter" w:hAnsi="Inter"/>
          <w:b/>
          <w:bCs/>
          <w:color w:val="1A2E35"/>
          <w:sz w:val="21"/>
          <w:szCs w:val="21"/>
        </w:rPr>
        <w:t xml:space="preserve">Governing Law and Jurisdiction</w:t>
      </w:r>
    </w:p>
    <w:p>
      <w:pPr>
        <w:spacing w:after="160" w:line="276"/>
        <w:jc w:val="both"/>
      </w:pPr>
      <w:r>
        <w:t xml:space="preserve">This Contract shall be governed by and construed in accordance with the laws of the Kingdom of Thailand. Any legal proceedings arising from this Contract shall be submitted to the competent courts of Bangkok, Thailand.</w:t>
      </w:r>
    </w:p>
    <w:p>
      <w:pPr>
        <w:spacing w:after="200" w:before="360"/>
      </w:pPr>
      <w:r>
        <w:rPr>
          <w:rFonts w:ascii="Noto Serif" w:cs="Noto Serif" w:eastAsia="Noto Serif" w:hAnsi="Noto Serif"/>
          <w:b/>
          <w:bCs/>
          <w:color w:val="45636B"/>
          <w:sz w:val="24"/>
          <w:szCs w:val="24"/>
        </w:rPr>
        <w:t xml:space="preserve">15. GENERAL PROVISIONS</w:t>
      </w:r>
    </w:p>
    <w:p>
      <w:pPr>
        <w:spacing w:after="120" w:before="200"/>
      </w:pPr>
      <w:r>
        <w:rPr>
          <w:rFonts w:ascii="Inter" w:cs="Inter" w:eastAsia="Inter" w:hAnsi="Inter"/>
          <w:b/>
          <w:bCs/>
          <w:color w:val="1A2E35"/>
          <w:sz w:val="21"/>
          <w:szCs w:val="21"/>
        </w:rPr>
        <w:t xml:space="preserve">15.1 </w:t>
      </w:r>
      <w:r>
        <w:rPr>
          <w:rFonts w:ascii="Inter" w:cs="Inter" w:eastAsia="Inter" w:hAnsi="Inter"/>
          <w:b/>
          <w:bCs/>
          <w:color w:val="1A2E35"/>
          <w:sz w:val="21"/>
          <w:szCs w:val="21"/>
        </w:rPr>
        <w:t xml:space="preserve">Non-Exclusivity</w:t>
      </w:r>
    </w:p>
    <w:p>
      <w:pPr>
        <w:spacing w:after="160" w:line="276"/>
        <w:jc w:val="both"/>
      </w:pPr>
      <w:r>
        <w:t xml:space="preserve">This Contract is non-exclusive. The Agent may enter into similar agreements with other rehabilitation and treatment centers, and the Center may accept referrals from other sources. However, the Commission obligation applies to all Referred Clients regardless of whether the Center also receives referrals from other sources.</w:t>
      </w:r>
    </w:p>
    <w:p>
      <w:pPr>
        <w:spacing w:after="120" w:before="200"/>
      </w:pPr>
      <w:r>
        <w:rPr>
          <w:rFonts w:ascii="Inter" w:cs="Inter" w:eastAsia="Inter" w:hAnsi="Inter"/>
          <w:b/>
          <w:bCs/>
          <w:color w:val="1A2E35"/>
          <w:sz w:val="21"/>
          <w:szCs w:val="21"/>
        </w:rPr>
        <w:t xml:space="preserve">15.2 </w:t>
      </w:r>
      <w:r>
        <w:rPr>
          <w:rFonts w:ascii="Inter" w:cs="Inter" w:eastAsia="Inter" w:hAnsi="Inter"/>
          <w:b/>
          <w:bCs/>
          <w:color w:val="1A2E35"/>
          <w:sz w:val="21"/>
          <w:szCs w:val="21"/>
        </w:rPr>
        <w:t xml:space="preserve">Entire Agreement</w:t>
      </w:r>
    </w:p>
    <w:p>
      <w:pPr>
        <w:spacing w:after="160" w:line="276"/>
        <w:jc w:val="both"/>
      </w:pPr>
      <w:r>
        <w:t xml:space="preserve">This Contract constitutes the entire agreement between the Parties with respect to the subject matter hereof and supersedes all prior negotiations, representations, and agreements, whether written or oral.</w:t>
      </w:r>
    </w:p>
    <w:p>
      <w:pPr>
        <w:spacing w:after="120" w:before="200"/>
      </w:pPr>
      <w:r>
        <w:rPr>
          <w:rFonts w:ascii="Inter" w:cs="Inter" w:eastAsia="Inter" w:hAnsi="Inter"/>
          <w:b/>
          <w:bCs/>
          <w:color w:val="1A2E35"/>
          <w:sz w:val="21"/>
          <w:szCs w:val="21"/>
        </w:rPr>
        <w:t xml:space="preserve">15.3 </w:t>
      </w:r>
      <w:r>
        <w:rPr>
          <w:rFonts w:ascii="Inter" w:cs="Inter" w:eastAsia="Inter" w:hAnsi="Inter"/>
          <w:b/>
          <w:bCs/>
          <w:color w:val="1A2E35"/>
          <w:sz w:val="21"/>
          <w:szCs w:val="21"/>
        </w:rPr>
        <w:t xml:space="preserve">Amendments</w:t>
      </w:r>
    </w:p>
    <w:p>
      <w:pPr>
        <w:spacing w:after="160" w:line="276"/>
        <w:jc w:val="both"/>
      </w:pPr>
      <w:r>
        <w:t xml:space="preserve">No amendment, modification, or waiver of any provision of this Contract shall be effective unless in writing and signed by both Parties.</w:t>
      </w:r>
    </w:p>
    <w:p>
      <w:pPr>
        <w:spacing w:after="120" w:before="200"/>
      </w:pPr>
      <w:r>
        <w:rPr>
          <w:rFonts w:ascii="Inter" w:cs="Inter" w:eastAsia="Inter" w:hAnsi="Inter"/>
          <w:b/>
          <w:bCs/>
          <w:color w:val="1A2E35"/>
          <w:sz w:val="21"/>
          <w:szCs w:val="21"/>
        </w:rPr>
        <w:t xml:space="preserve">15.4 </w:t>
      </w:r>
      <w:r>
        <w:rPr>
          <w:rFonts w:ascii="Inter" w:cs="Inter" w:eastAsia="Inter" w:hAnsi="Inter"/>
          <w:b/>
          <w:bCs/>
          <w:color w:val="1A2E35"/>
          <w:sz w:val="21"/>
          <w:szCs w:val="21"/>
        </w:rPr>
        <w:t xml:space="preserve">Severability</w:t>
      </w:r>
    </w:p>
    <w:p>
      <w:pPr>
        <w:spacing w:after="160" w:line="276"/>
        <w:jc w:val="both"/>
      </w:pPr>
      <w:r>
        <w:t xml:space="preserve">If any provision of this Contract is held to be invalid or unenforceable, the remaining provisions shall continue in full force and effect.</w:t>
      </w:r>
    </w:p>
    <w:p>
      <w:pPr>
        <w:spacing w:after="120" w:before="200"/>
      </w:pPr>
      <w:r>
        <w:rPr>
          <w:rFonts w:ascii="Inter" w:cs="Inter" w:eastAsia="Inter" w:hAnsi="Inter"/>
          <w:b/>
          <w:bCs/>
          <w:color w:val="1A2E35"/>
          <w:sz w:val="21"/>
          <w:szCs w:val="21"/>
        </w:rPr>
        <w:t xml:space="preserve">15.5 </w:t>
      </w:r>
      <w:r>
        <w:rPr>
          <w:rFonts w:ascii="Inter" w:cs="Inter" w:eastAsia="Inter" w:hAnsi="Inter"/>
          <w:b/>
          <w:bCs/>
          <w:color w:val="1A2E35"/>
          <w:sz w:val="21"/>
          <w:szCs w:val="21"/>
        </w:rPr>
        <w:t xml:space="preserve">Assignment</w:t>
      </w:r>
    </w:p>
    <w:p>
      <w:pPr>
        <w:spacing w:after="160" w:line="276"/>
        <w:jc w:val="both"/>
      </w:pPr>
      <w:r>
        <w:t xml:space="preserve">Neither Party may assign or transfer this Contract without the prior written consent of the other Party, except that the Agent may assign this Contract to an affiliate or successor entity.</w:t>
      </w:r>
    </w:p>
    <w:p>
      <w:pPr>
        <w:spacing w:after="120" w:before="200"/>
      </w:pPr>
      <w:r>
        <w:rPr>
          <w:rFonts w:ascii="Inter" w:cs="Inter" w:eastAsia="Inter" w:hAnsi="Inter"/>
          <w:b/>
          <w:bCs/>
          <w:color w:val="1A2E35"/>
          <w:sz w:val="21"/>
          <w:szCs w:val="21"/>
        </w:rPr>
        <w:t xml:space="preserve">15.6 </w:t>
      </w:r>
      <w:r>
        <w:rPr>
          <w:rFonts w:ascii="Inter" w:cs="Inter" w:eastAsia="Inter" w:hAnsi="Inter"/>
          <w:b/>
          <w:bCs/>
          <w:color w:val="1A2E35"/>
          <w:sz w:val="21"/>
          <w:szCs w:val="21"/>
        </w:rPr>
        <w:t xml:space="preserve">Notices</w:t>
      </w:r>
    </w:p>
    <w:p>
      <w:pPr>
        <w:spacing w:after="160" w:line="276"/>
        <w:jc w:val="both"/>
      </w:pPr>
      <w:r>
        <w:t xml:space="preserve">All notices under this Contract shall be in writing and delivered by email (with confirmation of receipt) or registered mail to the addresses set forth in this Contract. Either Party may update its notice address by providing written notice to the other Party.</w:t>
      </w:r>
    </w:p>
    <w:p>
      <w:pPr>
        <w:spacing w:after="120" w:before="200"/>
      </w:pPr>
      <w:r>
        <w:rPr>
          <w:rFonts w:ascii="Inter" w:cs="Inter" w:eastAsia="Inter" w:hAnsi="Inter"/>
          <w:b/>
          <w:bCs/>
          <w:color w:val="1A2E35"/>
          <w:sz w:val="21"/>
          <w:szCs w:val="21"/>
        </w:rPr>
        <w:t xml:space="preserve">15.7 </w:t>
      </w:r>
      <w:r>
        <w:rPr>
          <w:rFonts w:ascii="Inter" w:cs="Inter" w:eastAsia="Inter" w:hAnsi="Inter"/>
          <w:b/>
          <w:bCs/>
          <w:color w:val="1A2E35"/>
          <w:sz w:val="21"/>
          <w:szCs w:val="21"/>
        </w:rPr>
        <w:t xml:space="preserve">Counterparts</w:t>
      </w:r>
    </w:p>
    <w:p>
      <w:pPr>
        <w:spacing w:after="160" w:line="276"/>
        <w:jc w:val="both"/>
      </w:pPr>
      <w:r>
        <w:t xml:space="preserve">This Contract may be executed in counterparts, including electronic signatures, each of which shall be deemed an original and all of which together shall constitute one and the same agreement.</w:t>
      </w:r>
    </w:p>
    <w:p>
      <w:pPr>
        <w:spacing w:after="120" w:before="200"/>
      </w:pPr>
      <w:r>
        <w:rPr>
          <w:rFonts w:ascii="Inter" w:cs="Inter" w:eastAsia="Inter" w:hAnsi="Inter"/>
          <w:b/>
          <w:bCs/>
          <w:color w:val="1A2E35"/>
          <w:sz w:val="21"/>
          <w:szCs w:val="21"/>
        </w:rPr>
        <w:t xml:space="preserve">15.8 </w:t>
      </w:r>
      <w:r>
        <w:rPr>
          <w:rFonts w:ascii="Inter" w:cs="Inter" w:eastAsia="Inter" w:hAnsi="Inter"/>
          <w:b/>
          <w:bCs/>
          <w:color w:val="1A2E35"/>
          <w:sz w:val="21"/>
          <w:szCs w:val="21"/>
        </w:rPr>
        <w:t xml:space="preserve">Language</w:t>
      </w:r>
    </w:p>
    <w:p>
      <w:pPr>
        <w:spacing w:after="160" w:line="276"/>
        <w:jc w:val="both"/>
      </w:pPr>
      <w:r>
        <w:t xml:space="preserve">This Contract is executed in the English language. In the event of any translation, the English version shall prevail.</w:t>
      </w:r>
    </w:p>
    <w:p>
      <w:r>
        <w:br w:type="page"/>
      </w:r>
    </w:p>
    <w:p>
      <w:pPr>
        <w:spacing w:after="360"/>
        <w:jc w:val="center"/>
      </w:pPr>
      <w:r>
        <w:rPr>
          <w:rFonts w:ascii="Noto Serif" w:cs="Noto Serif" w:eastAsia="Noto Serif" w:hAnsi="Noto Serif"/>
          <w:b/>
          <w:bCs/>
          <w:color w:val="45636B"/>
          <w:sz w:val="32"/>
          <w:szCs w:val="32"/>
        </w:rPr>
        <w:t xml:space="preserve">EXECUTION PAGE</w:t>
      </w:r>
    </w:p>
    <w:p>
      <w:pPr>
        <w:spacing w:after="160" w:line="276"/>
        <w:jc w:val="both"/>
      </w:pPr>
      <w:r>
        <w:t xml:space="preserve">IN WITNESS WHEREOF, the Parties have executed this Oversea Agent Contract as of the date last written below.</w:t>
      </w:r>
    </w:p>
    <w:p>
      <w:pPr>
        <w:spacing w:after="80"/>
      </w:pPr>
    </w:p>
    <w:p>
      <w:pPr>
        <w:spacing w:after="200" w:before="360"/>
      </w:pPr>
      <w:r>
        <w:rPr>
          <w:rFonts w:ascii="Noto Serif" w:cs="Noto Serif" w:eastAsia="Noto Serif" w:hAnsi="Noto Serif"/>
          <w:b/>
          <w:bCs/>
          <w:color w:val="45636B"/>
          <w:sz w:val="24"/>
          <w:szCs w:val="24"/>
        </w:rPr>
        <w:t xml:space="preserve">PARTY A — THE AGENT (REHAB-ATLAS)</w:t>
      </w:r>
    </w:p>
    <w:p>
      <w:pPr>
        <w:spacing w:after="40" w:before="400"/>
      </w:pPr>
      <w:r>
        <w:rPr>
          <w:rFonts w:ascii="Inter" w:cs="Inter" w:eastAsia="Inter" w:hAnsi="Inter"/>
          <w:color w:val="A0C4CE"/>
          <w:sz w:val="21"/>
          <w:szCs w:val="21"/>
        </w:rPr>
        <w:t xml:space="preserve">________________________________________</w:t>
      </w:r>
    </w:p>
    <w:p>
      <w:pPr>
        <w:spacing w:after="200"/>
      </w:pPr>
      <w:r>
        <w:rPr>
          <w:rFonts w:ascii="Inter" w:cs="Inter" w:eastAsia="Inter" w:hAnsi="Inter"/>
          <w:i/>
          <w:iCs/>
          <w:color w:val="45636B"/>
          <w:sz w:val="18"/>
          <w:szCs w:val="18"/>
        </w:rPr>
        <w:t xml:space="preserve">Signature of Authorized Representative</w:t>
      </w:r>
    </w:p>
    <w:p>
      <w:pPr>
        <w:spacing w:after="160" w:line="276"/>
        <w:jc w:val="both"/>
      </w:pPr>
      <w:r>
        <w:rPr>
          <w:rFonts w:ascii="Inter" w:cs="Inter" w:eastAsia="Inter" w:hAnsi="Inter"/>
          <w:b/>
          <w:bCs/>
          <w:sz w:val="21"/>
          <w:szCs w:val="21"/>
        </w:rPr>
        <w:t xml:space="preserve">Name: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Title: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Date: </w:t>
      </w:r>
      <w:r>
        <w:rPr>
          <w:rFonts w:ascii="Inter" w:cs="Inter" w:eastAsia="Inter" w:hAnsi="Inter"/>
          <w:sz w:val="21"/>
          <w:szCs w:val="21"/>
        </w:rPr>
        <w:t xml:space="preserve">________________________________</w:t>
      </w:r>
    </w:p>
    <w:p>
      <w:pPr>
        <w:spacing w:after="80"/>
      </w:pPr>
    </w:p>
    <w:p>
      <w:pPr>
        <w:spacing w:after="80"/>
      </w:pPr>
    </w:p>
    <w:p>
      <w:pPr>
        <w:spacing w:after="200" w:before="360"/>
      </w:pPr>
      <w:r>
        <w:rPr>
          <w:rFonts w:ascii="Noto Serif" w:cs="Noto Serif" w:eastAsia="Noto Serif" w:hAnsi="Noto Serif"/>
          <w:b/>
          <w:bCs/>
          <w:color w:val="45636B"/>
          <w:sz w:val="24"/>
          <w:szCs w:val="24"/>
        </w:rPr>
        <w:t xml:space="preserve">PARTY B — THE CENTER</w:t>
      </w:r>
    </w:p>
    <w:p>
      <w:pPr>
        <w:spacing w:after="40" w:before="400"/>
      </w:pPr>
      <w:r>
        <w:rPr>
          <w:rFonts w:ascii="Inter" w:cs="Inter" w:eastAsia="Inter" w:hAnsi="Inter"/>
          <w:color w:val="A0C4CE"/>
          <w:sz w:val="21"/>
          <w:szCs w:val="21"/>
        </w:rPr>
        <w:t xml:space="preserve">________________________________________</w:t>
      </w:r>
    </w:p>
    <w:p>
      <w:pPr>
        <w:spacing w:after="200"/>
      </w:pPr>
      <w:r>
        <w:rPr>
          <w:rFonts w:ascii="Inter" w:cs="Inter" w:eastAsia="Inter" w:hAnsi="Inter"/>
          <w:i/>
          <w:iCs/>
          <w:color w:val="45636B"/>
          <w:sz w:val="18"/>
          <w:szCs w:val="18"/>
        </w:rPr>
        <w:t xml:space="preserve">Signature of Authorized Representative</w:t>
      </w:r>
    </w:p>
    <w:p>
      <w:pPr>
        <w:spacing w:after="160" w:line="276"/>
        <w:jc w:val="both"/>
      </w:pPr>
      <w:r>
        <w:rPr>
          <w:rFonts w:ascii="Inter" w:cs="Inter" w:eastAsia="Inter" w:hAnsi="Inter"/>
          <w:b/>
          <w:bCs/>
          <w:sz w:val="21"/>
          <w:szCs w:val="21"/>
        </w:rPr>
        <w:t xml:space="preserve">Name: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Title: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Date: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Center Name: </w:t>
      </w:r>
      <w:r>
        <w:rPr>
          <w:rFonts w:ascii="Inter" w:cs="Inter" w:eastAsia="Inter" w:hAnsi="Inter"/>
          <w:sz w:val="21"/>
          <w:szCs w:val="21"/>
        </w:rPr>
        <w:t xml:space="preserve">________________________________</w:t>
      </w:r>
    </w:p>
    <w:p>
      <w:pPr>
        <w:spacing w:after="80"/>
      </w:pPr>
    </w:p>
    <w:p>
      <w:pPr>
        <w:spacing w:after="80"/>
      </w:pPr>
    </w:p>
    <w:p>
      <w:pPr>
        <w:spacing w:after="200" w:before="360"/>
      </w:pPr>
      <w:r>
        <w:rPr>
          <w:rFonts w:ascii="Noto Serif" w:cs="Noto Serif" w:eastAsia="Noto Serif" w:hAnsi="Noto Serif"/>
          <w:b/>
          <w:bCs/>
          <w:color w:val="A0C4CE"/>
          <w:sz w:val="22"/>
          <w:szCs w:val="22"/>
        </w:rPr>
        <w:t xml:space="preserve">WITNESS (Optional)</w:t>
      </w:r>
    </w:p>
    <w:p>
      <w:pPr>
        <w:spacing w:after="40" w:before="400"/>
      </w:pPr>
      <w:r>
        <w:rPr>
          <w:rFonts w:ascii="Inter" w:cs="Inter" w:eastAsia="Inter" w:hAnsi="Inter"/>
          <w:color w:val="A0C4CE"/>
          <w:sz w:val="21"/>
          <w:szCs w:val="21"/>
        </w:rPr>
        <w:t xml:space="preserve">________________________________________</w:t>
      </w:r>
    </w:p>
    <w:p>
      <w:pPr>
        <w:spacing w:after="200"/>
      </w:pPr>
      <w:r>
        <w:rPr>
          <w:rFonts w:ascii="Inter" w:cs="Inter" w:eastAsia="Inter" w:hAnsi="Inter"/>
          <w:i/>
          <w:iCs/>
          <w:color w:val="45636B"/>
          <w:sz w:val="18"/>
          <w:szCs w:val="18"/>
        </w:rPr>
        <w:t xml:space="preserve">Witness Signature</w:t>
      </w:r>
    </w:p>
    <w:p>
      <w:pPr>
        <w:spacing w:after="160" w:line="276"/>
        <w:jc w:val="both"/>
      </w:pPr>
      <w:r>
        <w:rPr>
          <w:rFonts w:ascii="Inter" w:cs="Inter" w:eastAsia="Inter" w:hAnsi="Inter"/>
          <w:b/>
          <w:bCs/>
          <w:sz w:val="21"/>
          <w:szCs w:val="21"/>
        </w:rPr>
        <w:t xml:space="preserve">Name: </w:t>
      </w:r>
      <w:r>
        <w:rPr>
          <w:rFonts w:ascii="Inter" w:cs="Inter" w:eastAsia="Inter" w:hAnsi="Inter"/>
          <w:sz w:val="21"/>
          <w:szCs w:val="21"/>
        </w:rPr>
        <w:t xml:space="preserve">________________________________</w:t>
      </w:r>
    </w:p>
    <w:p>
      <w:pPr>
        <w:spacing w:after="160" w:line="276"/>
        <w:jc w:val="both"/>
      </w:pPr>
      <w:r>
        <w:rPr>
          <w:rFonts w:ascii="Inter" w:cs="Inter" w:eastAsia="Inter" w:hAnsi="Inter"/>
          <w:b/>
          <w:bCs/>
          <w:sz w:val="21"/>
          <w:szCs w:val="21"/>
        </w:rPr>
        <w:t xml:space="preserve">Date: </w:t>
      </w:r>
      <w:r>
        <w:rPr>
          <w:rFonts w:ascii="Inter" w:cs="Inter" w:eastAsia="Inter" w:hAnsi="Inter"/>
          <w:sz w:val="21"/>
          <w:szCs w:val="21"/>
        </w:rPr>
        <w:t xml:space="preserve">________________________________</w:t>
      </w:r>
    </w:p>
    <w:p>
      <w:r>
        <w:br w:type="page"/>
      </w:r>
    </w:p>
    <w:p>
      <w:pPr>
        <w:spacing w:after="280"/>
        <w:jc w:val="center"/>
      </w:pPr>
      <w:r>
        <w:rPr>
          <w:rFonts w:ascii="Noto Serif" w:cs="Noto Serif" w:eastAsia="Noto Serif" w:hAnsi="Noto Serif"/>
          <w:b/>
          <w:bCs/>
          <w:color w:val="45636B"/>
          <w:sz w:val="28"/>
          <w:szCs w:val="28"/>
        </w:rPr>
        <w:t xml:space="preserve">SCHEDULE A — COMMISSION SUMMARY</w:t>
      </w:r>
    </w:p>
    <w:p>
      <w:pPr>
        <w:spacing w:after="160" w:line="276"/>
        <w:jc w:val="both"/>
      </w:pPr>
      <w:r>
        <w:t xml:space="preserve">The following table summarizes the agreed Commission terms for this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468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Details</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Standard Commission Rate</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12% of agreed Treatment Fee</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Commission Basis</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Treatment Fee per Schedule B (not discounted client price)</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Active Contributor Rate</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10% (3+ blogs/month → next month)</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Premium Contributor Rate</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8% (5+ blogs/month → next month)</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Rate Determination</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One-Month Lag: blogs in Month X set rate for Month X+1</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Payment Terms</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Monthly, Net 30</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Payment Currency</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[USD / THB / EUR]</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Tail Period</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24 months from Lead transmission</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Initial Term</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12 months</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Renewal</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Auto-renew (12-month periods)</w:t>
            </w:r>
          </w:p>
        </w:tc>
      </w:tr>
      <w:tr>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b/>
                <w:bCs/>
                <w:sz w:val="20"/>
                <w:szCs w:val="20"/>
              </w:rPr>
              <w:t xml:space="preserve">Termination Notice</w:t>
            </w:r>
          </w:p>
        </w:tc>
        <w:tc>
          <w:tcPr>
            <w:tcW w:type="dxa" w:w="468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90 days written notice</w:t>
            </w:r>
          </w:p>
        </w:tc>
      </w:tr>
      <w:tr>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b/>
                <w:bCs/>
                <w:sz w:val="20"/>
                <w:szCs w:val="20"/>
              </w:rPr>
              <w:t xml:space="preserve">Late Payment Interest</w:t>
            </w:r>
          </w:p>
        </w:tc>
        <w:tc>
          <w:tcPr>
            <w:tcW w:type="dxa" w:w="468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1.5% per month</w:t>
            </w:r>
          </w:p>
        </w:tc>
      </w:tr>
    </w:tbl>
    <w:p>
      <w:pPr>
        <w:spacing w:after="80"/>
      </w:pPr>
    </w:p>
    <w:p>
      <w:pPr>
        <w:spacing w:after="80"/>
      </w:pPr>
    </w:p>
    <w:p>
      <w:pPr>
        <w:spacing w:after="120" w:before="400"/>
      </w:pPr>
      <w:r>
        <w:rPr>
          <w:rFonts w:ascii="Inter" w:cs="Inter" w:eastAsia="Inter" w:hAnsi="Inter"/>
          <w:b/>
          <w:bCs/>
          <w:color w:val="1A2E35"/>
          <w:sz w:val="21"/>
          <w:szCs w:val="21"/>
        </w:rPr>
        <w:t xml:space="preserve">Acknowledged and agreed by: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Rehab-Atlas:</w:t>
            </w:r>
          </w:p>
          <w:p>
            <w:pPr>
              <w:spacing w:before="300"/>
            </w:pPr>
            <w:r>
              <w:rPr>
                <w:color w:val="A0C4CE"/>
              </w:rPr>
              <w:t xml:space="preserve">________________________________</w:t>
            </w:r>
          </w:p>
          <w:p>
            <w:r>
              <w:rPr>
                <w:rFonts w:ascii="Inter" w:cs="Inter" w:eastAsia="Inter" w:hAnsi="Inter"/>
                <w:i/>
                <w:iCs/>
                <w:color w:val="45636B"/>
                <w:sz w:val="18"/>
                <w:szCs w:val="18"/>
              </w:rPr>
              <w:t xml:space="preserve">Signature / Date</w:t>
            </w:r>
          </w:p>
        </w:tc>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the Center:</w:t>
            </w:r>
          </w:p>
          <w:p>
            <w:pPr>
              <w:spacing w:before="300"/>
            </w:pPr>
            <w:r>
              <w:rPr>
                <w:color w:val="A0C4CE"/>
              </w:rPr>
              <w:t xml:space="preserve">________________________________</w:t>
            </w:r>
          </w:p>
          <w:p>
            <w:r>
              <w:rPr>
                <w:rFonts w:ascii="Inter" w:cs="Inter" w:eastAsia="Inter" w:hAnsi="Inter"/>
                <w:i/>
                <w:iCs/>
                <w:color w:val="45636B"/>
                <w:sz w:val="18"/>
                <w:szCs w:val="18"/>
              </w:rPr>
              <w:t xml:space="preserve">Signature / Date</w:t>
            </w:r>
          </w:p>
        </w:tc>
      </w:tr>
    </w:tbl>
    <w:p>
      <w:r>
        <w:br w:type="page"/>
      </w:r>
    </w:p>
    <w:p>
      <w:pPr>
        <w:spacing w:after="280"/>
        <w:jc w:val="center"/>
      </w:pPr>
      <w:r>
        <w:rPr>
          <w:rFonts w:ascii="Noto Serif" w:cs="Noto Serif" w:eastAsia="Noto Serif" w:hAnsi="Noto Serif"/>
          <w:b/>
          <w:bCs/>
          <w:color w:val="45636B"/>
          <w:sz w:val="28"/>
          <w:szCs w:val="28"/>
        </w:rPr>
        <w:t xml:space="preserve">SCHEDULE B — AGREED TREATMENT FEES</w:t>
      </w:r>
    </w:p>
    <w:p>
      <w:pPr>
        <w:spacing w:after="160" w:line="276"/>
        <w:jc w:val="both"/>
      </w:pPr>
      <w:r>
        <w:rPr>
          <w:rFonts w:ascii="Inter" w:cs="Inter" w:eastAsia="Inter" w:hAnsi="Inter"/>
          <w:sz w:val="21"/>
          <w:szCs w:val="21"/>
        </w:rPr>
        <w:t xml:space="preserve">The following Treatment Fees are agreed between the Parties and form the basis for all Commission calculations under this Contract. </w:t>
      </w:r>
      <w:r>
        <w:rPr>
          <w:rFonts w:ascii="Inter" w:cs="Inter" w:eastAsia="Inter" w:hAnsi="Inter"/>
          <w:b/>
          <w:bCs/>
          <w:sz w:val="21"/>
          <w:szCs w:val="21"/>
        </w:rPr>
        <w:t xml:space="preserve">These fees must match the prices published on www.rehab-atlas.com. Any change requires a written amendment per Section 4.6.</w:t>
      </w:r>
    </w:p>
    <w:p>
      <w:pPr>
        <w:spacing w:after="80"/>
      </w:pPr>
    </w:p>
    <w:p>
      <w:pPr>
        <w:spacing w:after="160"/>
      </w:pPr>
      <w:r>
        <w:rPr>
          <w:rFonts w:ascii="Inter" w:cs="Inter" w:eastAsia="Inter" w:hAnsi="Inter"/>
          <w:b/>
          <w:bCs/>
          <w:color w:val="1A2E35"/>
          <w:sz w:val="21"/>
          <w:szCs w:val="21"/>
        </w:rPr>
        <w:t xml:space="preserve">Center Name: [Center Legal Name]</w:t>
      </w:r>
    </w:p>
    <w:p>
      <w:pPr>
        <w:spacing w:after="200"/>
      </w:pPr>
      <w:r>
        <w:rPr>
          <w:rFonts w:ascii="Inter" w:cs="Inter" w:eastAsia="Inter" w:hAnsi="Inter"/>
          <w:b/>
          <w:bCs/>
          <w:color w:val="1A2E35"/>
          <w:sz w:val="21"/>
          <w:szCs w:val="21"/>
        </w:rPr>
        <w:t xml:space="preserve">Currency: [USD / THB / EUR — select applicable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1800"/>
        <w:gridCol w:w="1360"/>
        <w:gridCol w:w="1400"/>
      </w:tblGrid>
      <w:tr>
        <w:tc>
          <w:tcPr>
            <w:tcW w:type="dxa" w:w="6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No.</w:t>
            </w:r>
          </w:p>
        </w:tc>
        <w:tc>
          <w:tcPr>
            <w:tcW w:type="dxa" w:w="26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Treatment Program</w:t>
            </w:r>
          </w:p>
        </w:tc>
        <w:tc>
          <w:tcPr>
            <w:tcW w:type="dxa" w:w="16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Duration</w:t>
            </w:r>
          </w:p>
        </w:tc>
        <w:tc>
          <w:tcPr>
            <w:tcW w:type="dxa" w:w="18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Treatment Fee</w:t>
            </w:r>
          </w:p>
        </w:tc>
        <w:tc>
          <w:tcPr>
            <w:tcW w:type="dxa" w:w="136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Effective</w:t>
            </w:r>
          </w:p>
        </w:tc>
        <w:tc>
          <w:tcPr>
            <w:tcW w:type="dxa" w:w="14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Initials</w:t>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1</w:t>
            </w:r>
          </w:p>
        </w:tc>
        <w:tc>
          <w:tcPr>
            <w:tcW w:type="dxa" w:w="2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2</w:t>
            </w:r>
          </w:p>
        </w:tc>
        <w:tc>
          <w:tcPr>
            <w:tcW w:type="dxa" w:w="2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3</w:t>
            </w:r>
          </w:p>
        </w:tc>
        <w:tc>
          <w:tcPr>
            <w:tcW w:type="dxa" w:w="2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4</w:t>
            </w:r>
          </w:p>
        </w:tc>
        <w:tc>
          <w:tcPr>
            <w:tcW w:type="dxa" w:w="2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5</w:t>
            </w:r>
          </w:p>
        </w:tc>
        <w:tc>
          <w:tcPr>
            <w:tcW w:type="dxa" w:w="2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6</w:t>
            </w:r>
          </w:p>
        </w:tc>
        <w:tc>
          <w:tcPr>
            <w:tcW w:type="dxa" w:w="2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7</w:t>
            </w:r>
          </w:p>
        </w:tc>
        <w:tc>
          <w:tcPr>
            <w:tcW w:type="dxa" w:w="2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8</w:t>
            </w:r>
          </w:p>
        </w:tc>
        <w:tc>
          <w:tcPr>
            <w:tcW w:type="dxa" w:w="2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1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8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3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14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r>
    </w:tbl>
    <w:p>
      <w:pPr>
        <w:spacing w:after="80"/>
      </w:pPr>
    </w:p>
    <w:p>
      <w:pPr>
        <w:spacing w:after="80"/>
      </w:pPr>
      <w:r>
        <w:rPr>
          <w:rFonts w:ascii="Inter" w:cs="Inter" w:eastAsia="Inter" w:hAnsi="Inter"/>
          <w:b/>
          <w:bCs/>
          <w:i/>
          <w:iCs/>
          <w:color w:val="45636B"/>
          <w:sz w:val="20"/>
          <w:szCs w:val="20"/>
        </w:rPr>
        <w:t xml:space="preserve">Instructions:</w:t>
      </w:r>
    </w:p>
    <w:p>
      <w:pPr>
        <w:pStyle w:val="ListParagraph"/>
        <w:numPr>
          <w:ilvl w:val="0"/>
          <w:numId w:val="2"/>
        </w:numPr>
        <w:spacing w:after="80" w:line="276"/>
      </w:pPr>
      <w:r>
        <w:rPr>
          <w:rFonts w:ascii="Inter" w:cs="Inter" w:eastAsia="Inter" w:hAnsi="Inter"/>
          <w:sz w:val="21"/>
          <w:szCs w:val="21"/>
        </w:rPr>
        <w:t xml:space="preserve">List each treatment program the Center offers, with the agreed Treatment Fee per client.</w:t>
      </w:r>
    </w:p>
    <w:p>
      <w:pPr>
        <w:pStyle w:val="ListParagraph"/>
        <w:numPr>
          <w:ilvl w:val="0"/>
          <w:numId w:val="2"/>
        </w:numPr>
        <w:spacing w:after="80" w:line="276"/>
      </w:pPr>
      <w:r>
        <w:rPr>
          <w:rFonts w:ascii="Inter" w:cs="Inter" w:eastAsia="Inter" w:hAnsi="Inter"/>
          <w:sz w:val="21"/>
          <w:szCs w:val="21"/>
        </w:rPr>
        <w:t xml:space="preserve">Both Parties must initial each row to confirm agreement on the individual Treatment Fee.</w:t>
      </w:r>
    </w:p>
    <w:p>
      <w:pPr>
        <w:pStyle w:val="ListParagraph"/>
        <w:numPr>
          <w:ilvl w:val="0"/>
          <w:numId w:val="2"/>
        </w:numPr>
        <w:spacing w:after="80" w:line="276"/>
      </w:pPr>
      <w:r>
        <w:rPr>
          <w:rFonts w:ascii="Inter" w:cs="Inter" w:eastAsia="Inter" w:hAnsi="Inter"/>
          <w:sz w:val="21"/>
          <w:szCs w:val="21"/>
        </w:rPr>
        <w:t xml:space="preserve">Additional programs may be added by executing an Amendment to Schedule B (see template below).</w:t>
      </w:r>
    </w:p>
    <w:p>
      <w:pPr>
        <w:pStyle w:val="ListParagraph"/>
        <w:numPr>
          <w:ilvl w:val="0"/>
          <w:numId w:val="2"/>
        </w:numPr>
        <w:spacing w:after="80" w:line="276"/>
      </w:pPr>
      <w:r>
        <w:rPr>
          <w:rFonts w:ascii="Inter" w:cs="Inter" w:eastAsia="Inter" w:hAnsi="Inter"/>
          <w:sz w:val="21"/>
          <w:szCs w:val="21"/>
        </w:rPr>
        <w:t xml:space="preserve">The Treatment Fee includes accommodation, standard meals, and all clinical services within the program. It excludes government taxes, insurance co-payments, and incidental personal expenses.</w:t>
      </w:r>
    </w:p>
    <w:p>
      <w:pPr>
        <w:spacing w:after="80"/>
      </w:pPr>
    </w:p>
    <w:p>
      <w:pPr>
        <w:spacing w:after="80"/>
      </w:pPr>
    </w:p>
    <w:p>
      <w:pPr>
        <w:spacing w:after="120" w:before="200"/>
      </w:pPr>
      <w:r>
        <w:rPr>
          <w:rFonts w:ascii="Inter" w:cs="Inter" w:eastAsia="Inter" w:hAnsi="Inter"/>
          <w:b/>
          <w:bCs/>
          <w:color w:val="1A2E35"/>
          <w:sz w:val="21"/>
          <w:szCs w:val="21"/>
        </w:rPr>
        <w:t xml:space="preserve">Agreed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Rehab-Atlas:</w:t>
            </w:r>
          </w:p>
          <w:p>
            <w:pPr>
              <w:spacing w:before="300"/>
            </w:pPr>
            <w:r>
              <w:rPr>
                <w:color w:val="A0C4CE"/>
              </w:rPr>
              <w:t xml:space="preserve">________________________________</w:t>
            </w:r>
          </w:p>
          <w:p>
            <w:r>
              <w:rPr>
                <w:rFonts w:ascii="Inter" w:cs="Inter" w:eastAsia="Inter" w:hAnsi="Inter"/>
                <w:i/>
                <w:iCs/>
                <w:color w:val="45636B"/>
                <w:sz w:val="18"/>
                <w:szCs w:val="18"/>
              </w:rPr>
              <w:t xml:space="preserve">Signature / Date</w:t>
            </w:r>
          </w:p>
        </w:tc>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the Center:</w:t>
            </w:r>
          </w:p>
          <w:p>
            <w:pPr>
              <w:spacing w:before="300"/>
            </w:pPr>
            <w:r>
              <w:rPr>
                <w:color w:val="A0C4CE"/>
              </w:rPr>
              <w:t xml:space="preserve">________________________________</w:t>
            </w:r>
          </w:p>
          <w:p>
            <w:r>
              <w:rPr>
                <w:rFonts w:ascii="Inter" w:cs="Inter" w:eastAsia="Inter" w:hAnsi="Inter"/>
                <w:i/>
                <w:iCs/>
                <w:color w:val="45636B"/>
                <w:sz w:val="18"/>
                <w:szCs w:val="18"/>
              </w:rPr>
              <w:t xml:space="preserve">Signature / Date</w:t>
            </w:r>
          </w:p>
        </w:tc>
      </w:tr>
    </w:tbl>
    <w:p>
      <w:r>
        <w:br w:type="page"/>
      </w:r>
    </w:p>
    <w:p>
      <w:pPr>
        <w:spacing w:after="280"/>
        <w:jc w:val="center"/>
      </w:pPr>
      <w:r>
        <w:rPr>
          <w:rFonts w:ascii="Noto Serif" w:cs="Noto Serif" w:eastAsia="Noto Serif" w:hAnsi="Noto Serif"/>
          <w:b/>
          <w:bCs/>
          <w:color w:val="45636B"/>
          <w:sz w:val="28"/>
          <w:szCs w:val="28"/>
        </w:rPr>
        <w:t xml:space="preserve">AMENDMENT TO SCHEDULE B — TEMPLATE</w:t>
      </w:r>
    </w:p>
    <w:p>
      <w:pPr>
        <w:spacing w:after="160" w:line="276"/>
        <w:jc w:val="both"/>
      </w:pPr>
      <w:r>
        <w:t xml:space="preserve">This Amendment is made pursuant to Section 4.6 of the Oversea Agent Contract dated [Effective Date] (the “Contract”) between Rehab-Atlas (“Agent”) and [Center Legal Name] (“Center”).</w:t>
      </w:r>
    </w:p>
    <w:p>
      <w:pPr>
        <w:spacing w:after="80"/>
      </w:pPr>
    </w:p>
    <w:p>
      <w:pPr>
        <w:spacing w:after="120"/>
      </w:pPr>
      <w:r>
        <w:rPr>
          <w:rFonts w:ascii="Inter" w:cs="Inter" w:eastAsia="Inter" w:hAnsi="Inter"/>
          <w:b/>
          <w:bCs/>
          <w:color w:val="1A2E35"/>
          <w:sz w:val="21"/>
          <w:szCs w:val="21"/>
        </w:rPr>
        <w:t xml:space="preserve">Amendment No.: ____</w:t>
      </w:r>
    </w:p>
    <w:p>
      <w:pPr>
        <w:spacing w:after="200"/>
      </w:pPr>
      <w:r>
        <w:rPr>
          <w:rFonts w:ascii="Inter" w:cs="Inter" w:eastAsia="Inter" w:hAnsi="Inter"/>
          <w:b/>
          <w:bCs/>
          <w:color w:val="1A2E35"/>
          <w:sz w:val="21"/>
          <w:szCs w:val="21"/>
        </w:rPr>
        <w:t xml:space="preserve">Effective Date of Amendment: ____________________</w:t>
      </w:r>
    </w:p>
    <w:p>
      <w:pPr>
        <w:spacing w:after="160" w:before="200"/>
      </w:pPr>
      <w:r>
        <w:rPr>
          <w:rFonts w:ascii="Inter" w:cs="Inter" w:eastAsia="Inter" w:hAnsi="Inter"/>
          <w:b/>
          <w:bCs/>
          <w:color w:val="45636B"/>
          <w:sz w:val="21"/>
          <w:szCs w:val="21"/>
        </w:rPr>
        <w:t xml:space="preserve">The Parties agree to amend Schedule B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2000"/>
        <w:gridCol w:w="2260"/>
      </w:tblGrid>
      <w:tr>
        <w:tc>
          <w:tcPr>
            <w:tcW w:type="dxa" w:w="6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No.</w:t>
            </w:r>
          </w:p>
        </w:tc>
        <w:tc>
          <w:tcPr>
            <w:tcW w:type="dxa" w:w="25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Treatment Program</w:t>
            </w:r>
          </w:p>
        </w:tc>
        <w:tc>
          <w:tcPr>
            <w:tcW w:type="dxa" w:w="20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Previous Fee</w:t>
            </w:r>
          </w:p>
        </w:tc>
        <w:tc>
          <w:tcPr>
            <w:tcW w:type="dxa" w:w="200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New Fee</w:t>
            </w:r>
          </w:p>
        </w:tc>
        <w:tc>
          <w:tcPr>
            <w:tcW w:type="dxa" w:w="2260"/>
            <w:tcBorders>
              <w:top w:val="single" w:color="A0C4CE" w:sz="1"/>
              <w:left w:val="single" w:color="A0C4CE" w:sz="1"/>
              <w:bottom w:val="single" w:color="A0C4CE" w:sz="1"/>
              <w:right w:val="single" w:color="A0C4CE" w:sz="1"/>
            </w:tcBorders>
            <w:shd w:fill="45636B"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Effective Date</w:t>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1</w:t>
            </w:r>
          </w:p>
        </w:tc>
        <w:tc>
          <w:tcPr>
            <w:tcW w:type="dxa" w:w="25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2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2</w:t>
            </w:r>
          </w:p>
        </w:tc>
        <w:tc>
          <w:tcPr>
            <w:tcW w:type="dxa" w:w="25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260"/>
            <w:tcBorders>
              <w:top w:val="single" w:color="A0C4CE" w:sz="1"/>
              <w:left w:val="single" w:color="A0C4CE" w:sz="1"/>
              <w:bottom w:val="single" w:color="A0C4CE" w:sz="1"/>
              <w:right w:val="single" w:color="A0C4CE" w:sz="1"/>
            </w:tcBorders>
            <w:shd w:fill="F5F9FA" w:val="clear"/>
            <w:tcMar>
              <w:top w:type="dxa" w:w="80"/>
              <w:left w:type="dxa" w:w="120"/>
              <w:bottom w:type="dxa" w:w="80"/>
              <w:right w:type="dxa" w:w="120"/>
            </w:tcMar>
          </w:tcPr>
          <w:p>
            <w:pPr>
              <w:jc w:val="center"/>
            </w:pPr>
            <w:r>
              <w:rPr>
                <w:rFonts w:ascii="Inter" w:cs="Inter" w:eastAsia="Inter" w:hAnsi="Inter"/>
                <w:sz w:val="20"/>
                <w:szCs w:val="20"/>
              </w:rPr>
              <w:t xml:space="preserve"/>
            </w:r>
          </w:p>
        </w:tc>
      </w:tr>
      <w:tr>
        <w:tc>
          <w:tcPr>
            <w:tcW w:type="dxa" w:w="6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3</w:t>
            </w:r>
          </w:p>
        </w:tc>
        <w:tc>
          <w:tcPr>
            <w:tcW w:type="dxa" w:w="25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left"/>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00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c>
          <w:tcPr>
            <w:tcW w:type="dxa" w:w="2260"/>
            <w:tcBorders>
              <w:top w:val="single" w:color="A0C4CE" w:sz="1"/>
              <w:left w:val="single" w:color="A0C4CE" w:sz="1"/>
              <w:bottom w:val="single" w:color="A0C4CE" w:sz="1"/>
              <w:right w:val="single" w:color="A0C4CE" w:sz="1"/>
            </w:tcBorders>
            <w:tcMar>
              <w:top w:type="dxa" w:w="80"/>
              <w:left w:type="dxa" w:w="120"/>
              <w:bottom w:type="dxa" w:w="80"/>
              <w:right w:type="dxa" w:w="120"/>
            </w:tcMar>
          </w:tcPr>
          <w:p>
            <w:pPr>
              <w:jc w:val="center"/>
            </w:pPr>
            <w:r>
              <w:rPr>
                <w:rFonts w:ascii="Inter" w:cs="Inter" w:eastAsia="Inter" w:hAnsi="Inter"/>
                <w:sz w:val="20"/>
                <w:szCs w:val="20"/>
              </w:rPr>
              <w:t xml:space="preserve"/>
            </w:r>
          </w:p>
        </w:tc>
      </w:tr>
    </w:tbl>
    <w:p>
      <w:pPr>
        <w:spacing w:after="80"/>
      </w:pPr>
    </w:p>
    <w:p>
      <w:pPr>
        <w:spacing w:after="160" w:line="276"/>
        <w:jc w:val="both"/>
      </w:pPr>
      <w:r>
        <w:rPr>
          <w:rFonts w:ascii="Inter" w:cs="Inter" w:eastAsia="Inter" w:hAnsi="Inter"/>
          <w:b/>
          <w:bCs/>
          <w:sz w:val="21"/>
          <w:szCs w:val="21"/>
        </w:rPr>
        <w:t xml:space="preserve">Reason for amendment: </w:t>
      </w:r>
      <w:r>
        <w:rPr>
          <w:rFonts w:ascii="Inter" w:cs="Inter" w:eastAsia="Inter" w:hAnsi="Inter"/>
          <w:color w:val="A0C4CE"/>
          <w:sz w:val="21"/>
          <w:szCs w:val="21"/>
        </w:rPr>
        <w:t xml:space="preserve">____________________________________________________________</w:t>
      </w:r>
    </w:p>
    <w:p>
      <w:pPr>
        <w:spacing w:after="80"/>
      </w:pPr>
    </w:p>
    <w:p>
      <w:pPr>
        <w:spacing w:after="160" w:line="276"/>
        <w:jc w:val="both"/>
      </w:pPr>
      <w:r>
        <w:t xml:space="preserve">All other terms and conditions of the Contract remain unchanged and in full force and effect. Capitalized terms not defined herein have the meanings given in the Contract.</w:t>
      </w:r>
    </w:p>
    <w:p>
      <w:pPr>
        <w:spacing w:after="80"/>
      </w:pPr>
    </w:p>
    <w:p>
      <w:pPr>
        <w:spacing w:after="120" w:before="200"/>
      </w:pPr>
      <w:r>
        <w:rPr>
          <w:rFonts w:ascii="Inter" w:cs="Inter" w:eastAsia="Inter" w:hAnsi="Inter"/>
          <w:b/>
          <w:bCs/>
          <w:color w:val="1A2E35"/>
          <w:sz w:val="21"/>
          <w:szCs w:val="21"/>
        </w:rPr>
        <w:t xml:space="preserve">Agreed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Rehab-Atlas:</w:t>
            </w:r>
          </w:p>
          <w:p>
            <w:pPr>
              <w:spacing w:before="240"/>
            </w:pPr>
            <w:r>
              <w:rPr>
                <w:color w:val="A0C4CE"/>
              </w:rPr>
              <w:t xml:space="preserve">________________________________</w:t>
            </w:r>
          </w:p>
          <w:p>
            <w:r>
              <w:rPr>
                <w:rFonts w:ascii="Inter" w:cs="Inter" w:eastAsia="Inter" w:hAnsi="Inter"/>
                <w:color w:val="1A2E35"/>
                <w:sz w:val="18"/>
                <w:szCs w:val="18"/>
              </w:rPr>
              <w:t xml:space="preserve">Name:</w:t>
            </w:r>
          </w:p>
          <w:p>
            <w:pPr>
              <w:spacing w:before="200"/>
            </w:pPr>
            <w:r>
              <w:rPr>
                <w:color w:val="A0C4CE"/>
              </w:rPr>
              <w:t xml:space="preserve">________________________________</w:t>
            </w:r>
          </w:p>
          <w:p>
            <w:r>
              <w:rPr>
                <w:rFonts w:ascii="Inter" w:cs="Inter" w:eastAsia="Inter" w:hAnsi="Inter"/>
                <w:i/>
                <w:iCs/>
                <w:color w:val="45636B"/>
                <w:sz w:val="18"/>
                <w:szCs w:val="18"/>
              </w:rPr>
              <w:t xml:space="preserve">Signature / Date</w:t>
            </w:r>
          </w:p>
        </w:tc>
        <w:tc>
          <w:tcPr>
            <w:tcW w:type="dxa" w:w="4680"/>
            <w:tcBorders>
              <w:top w:val="none" w:color="FFFFFF" w:sz="0"/>
              <w:left w:val="none" w:color="FFFFFF" w:sz="0"/>
              <w:bottom w:val="none" w:color="FFFFFF" w:sz="0"/>
              <w:right w:val="none" w:color="FFFFFF" w:sz="0"/>
            </w:tcBorders>
          </w:tcPr>
          <w:p>
            <w:pPr>
              <w:spacing w:after="40"/>
            </w:pPr>
            <w:r>
              <w:rPr>
                <w:rFonts w:ascii="Inter" w:cs="Inter" w:eastAsia="Inter" w:hAnsi="Inter"/>
                <w:b/>
                <w:bCs/>
                <w:color w:val="45636B"/>
                <w:sz w:val="20"/>
                <w:szCs w:val="20"/>
              </w:rPr>
              <w:t xml:space="preserve">For the Center:</w:t>
            </w:r>
          </w:p>
          <w:p>
            <w:pPr>
              <w:spacing w:before="240"/>
            </w:pPr>
            <w:r>
              <w:rPr>
                <w:color w:val="A0C4CE"/>
              </w:rPr>
              <w:t xml:space="preserve">________________________________</w:t>
            </w:r>
          </w:p>
          <w:p>
            <w:r>
              <w:rPr>
                <w:rFonts w:ascii="Inter" w:cs="Inter" w:eastAsia="Inter" w:hAnsi="Inter"/>
                <w:color w:val="1A2E35"/>
                <w:sz w:val="18"/>
                <w:szCs w:val="18"/>
              </w:rPr>
              <w:t xml:space="preserve">Name:</w:t>
            </w:r>
          </w:p>
          <w:p>
            <w:pPr>
              <w:spacing w:before="200"/>
            </w:pPr>
            <w:r>
              <w:rPr>
                <w:color w:val="A0C4CE"/>
              </w:rPr>
              <w:t xml:space="preserve">________________________________</w:t>
            </w:r>
          </w:p>
          <w:p>
            <w:r>
              <w:rPr>
                <w:rFonts w:ascii="Inter" w:cs="Inter" w:eastAsia="Inter" w:hAnsi="Inter"/>
                <w:i/>
                <w:iCs/>
                <w:color w:val="45636B"/>
                <w:sz w:val="18"/>
                <w:szCs w:val="18"/>
              </w:rPr>
              <w:t xml:space="preserve">Signature / 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C4CE" w:sz="2" w:space="8"/>
      </w:pBdr>
      <w:jc w:val="center"/>
    </w:pPr>
    <w:r>
      <w:rPr>
        <w:rFonts w:ascii="Inter" w:cs="Inter" w:eastAsia="Inter" w:hAnsi="Inter"/>
        <w:color w:val="A0C4CE"/>
        <w:sz w:val="16"/>
        <w:szCs w:val="16"/>
      </w:rPr>
      <w:t xml:space="preserve">Rehab-Atlas  ·  www.rehab-atlas.com  ·  info@rehab-atlas.com</w:t>
    </w:r>
  </w:p>
  <w:p>
    <w:pPr>
      <w:jc w:val="center"/>
    </w:pPr>
    <w:r>
      <w:rPr>
        <w:rFonts w:ascii="Inter" w:cs="Inter" w:eastAsia="Inter" w:hAnsi="Inter"/>
        <w:color w:val="A0C4CE"/>
        <w:sz w:val="16"/>
        <w:szCs w:val="16"/>
      </w:rPr>
      <w:t xml:space="preserve">Page </w:t>
    </w:r>
    <w:r>
      <w:rPr>
        <w:rFonts w:ascii="Inter" w:cs="Inter" w:eastAsia="Inter" w:hAnsi="Inter"/>
        <w:color w:val="A0C4C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636B" w:sz="6" w:space="8"/>
      </w:pBdr>
      <w:spacing w:after="0"/>
      <w:jc w:val="left"/>
    </w:pPr>
    <w:r>
      <w:rPr>
        <w:rFonts w:ascii="Noto Serif" w:cs="Noto Serif" w:eastAsia="Noto Serif" w:hAnsi="Noto Serif"/>
        <w:b/>
        <w:bCs/>
        <w:color w:val="45636B"/>
        <w:sz w:val="18"/>
        <w:szCs w:val="18"/>
      </w:rPr>
      <w:t xml:space="preserve">REHAB-ATLAS</w:t>
    </w:r>
    <w:r>
      <w:rPr>
        <w:rFonts w:ascii="Inter" w:cs="Inter" w:eastAsia="Inter" w:hAnsi="Inter"/>
        <w:color w:val="A0C4CE"/>
        <w:sz w:val="16"/>
        <w:szCs w:val="16"/>
      </w:rPr>
      <w:t xml:space="preserve">  |  </w:t>
    </w:r>
    <w:r>
      <w:rPr>
        <w:rFonts w:ascii="Inter" w:cs="Inter" w:eastAsia="Inter" w:hAnsi="Inter"/>
        <w:i/>
        <w:iCs/>
        <w:color w:val="A0C4CE"/>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Noto Serif" w:cs="Noto Serif" w:eastAsia="Noto Serif" w:hAnsi="Noto Serif"/>
      <w:b/>
      <w:bCs/>
      <w:color w:val="45636B"/>
      <w:sz w:val="36"/>
      <w:szCs w:val="36"/>
    </w:rPr>
  </w:style>
  <w:style w:type="paragraph" w:styleId="Heading2">
    <w:name w:val="Heading 2"/>
    <w:basedOn w:val="Normal"/>
    <w:next w:val="Normal"/>
    <w:qFormat/>
    <w:pPr>
      <w:spacing w:after="160" w:before="280"/>
      <w:outlineLvl w:val="1"/>
    </w:pPr>
    <w:rPr>
      <w:rFonts w:ascii="Noto Serif" w:cs="Noto Serif" w:eastAsia="Noto Serif" w:hAnsi="Noto Serif"/>
      <w:b/>
      <w:bCs/>
      <w:color w:val="1A2E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2026-03-25T15:29:25.799Z</dcterms:created>
  <dcterms:modified xsi:type="dcterms:W3CDTF">2026-03-25T15:29:25.800Z</dcterms:modified>
</cp:coreProperties>
</file>

<file path=docProps/custom.xml><?xml version="1.0" encoding="utf-8"?>
<Properties xmlns="http://schemas.openxmlformats.org/officeDocument/2006/custom-properties" xmlns:vt="http://schemas.openxmlformats.org/officeDocument/2006/docPropsVTypes"/>
</file>