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5223A" w14:textId="4BC121CD" w:rsidR="00104A5D" w:rsidRDefault="00104A5D" w:rsidP="00104A5D">
      <w:pPr>
        <w:spacing w:after="0" w:line="276" w:lineRule="auto"/>
      </w:pPr>
      <w:r>
        <w:t>Chase Harrison</w:t>
      </w:r>
    </w:p>
    <w:p w14:paraId="237E605F" w14:textId="3E1A834A" w:rsidR="00104A5D" w:rsidRDefault="00104A5D" w:rsidP="00104A5D">
      <w:pPr>
        <w:spacing w:after="0" w:line="276" w:lineRule="auto"/>
      </w:pPr>
      <w:r>
        <w:t>CSCI 3150: Universal Design for Digital Media</w:t>
      </w:r>
    </w:p>
    <w:p w14:paraId="1050B4EC" w14:textId="06CABA8C" w:rsidR="00104A5D" w:rsidRDefault="00104A5D" w:rsidP="00104A5D">
      <w:pPr>
        <w:spacing w:after="0" w:line="276" w:lineRule="auto"/>
      </w:pPr>
      <w:r>
        <w:t>Prof. Howard Kramer</w:t>
      </w:r>
    </w:p>
    <w:p w14:paraId="441D8B20" w14:textId="49DB83B5" w:rsidR="00104A5D" w:rsidRDefault="00104A5D" w:rsidP="00104A5D">
      <w:pPr>
        <w:spacing w:after="0" w:line="276" w:lineRule="auto"/>
      </w:pPr>
      <w:r>
        <w:t>2025-02-21</w:t>
      </w:r>
    </w:p>
    <w:p w14:paraId="5412C8F5" w14:textId="2FBA56DE" w:rsidR="00104A5D" w:rsidRDefault="00104A5D" w:rsidP="00104A5D">
      <w:pPr>
        <w:spacing w:after="0" w:line="276" w:lineRule="auto"/>
        <w:jc w:val="center"/>
      </w:pPr>
      <w:r>
        <w:t xml:space="preserve">Report on Disability and </w:t>
      </w:r>
      <w:r w:rsidR="00BF7999">
        <w:t>Technology</w:t>
      </w:r>
      <w:r>
        <w:t xml:space="preserve"> Demographics</w:t>
      </w:r>
    </w:p>
    <w:p w14:paraId="4F1B21D0" w14:textId="77777777" w:rsidR="00104A5D" w:rsidRDefault="00104A5D" w:rsidP="00104A5D">
      <w:pPr>
        <w:spacing w:after="0" w:line="276" w:lineRule="auto"/>
        <w:jc w:val="center"/>
      </w:pPr>
    </w:p>
    <w:tbl>
      <w:tblPr>
        <w:tblStyle w:val="TableGrid"/>
        <w:tblpPr w:leftFromText="187" w:rightFromText="187" w:vertAnchor="text" w:horzAnchor="margin" w:tblpY="1"/>
        <w:tblOverlap w:val="never"/>
        <w:tblW w:w="9085" w:type="dxa"/>
        <w:tblLook w:val="04A0" w:firstRow="1" w:lastRow="0" w:firstColumn="1" w:lastColumn="0" w:noHBand="0" w:noVBand="1"/>
      </w:tblPr>
      <w:tblGrid>
        <w:gridCol w:w="3685"/>
        <w:gridCol w:w="1890"/>
        <w:gridCol w:w="1710"/>
        <w:gridCol w:w="1800"/>
      </w:tblGrid>
      <w:tr w:rsidR="00DA191E" w14:paraId="0E518236" w14:textId="77777777" w:rsidTr="00104A5D">
        <w:trPr>
          <w:trHeight w:val="350"/>
        </w:trPr>
        <w:tc>
          <w:tcPr>
            <w:tcW w:w="3685" w:type="dxa"/>
          </w:tcPr>
          <w:p w14:paraId="3D7CCAAD" w14:textId="77777777" w:rsidR="00362C1A" w:rsidRDefault="00362C1A" w:rsidP="00104A5D">
            <w:pPr>
              <w:spacing w:line="276" w:lineRule="auto"/>
            </w:pPr>
            <w:r>
              <w:t>Country:</w:t>
            </w:r>
          </w:p>
        </w:tc>
        <w:tc>
          <w:tcPr>
            <w:tcW w:w="1890" w:type="dxa"/>
          </w:tcPr>
          <w:p w14:paraId="777832B9" w14:textId="77777777" w:rsidR="00362C1A" w:rsidRDefault="00362C1A" w:rsidP="00104A5D">
            <w:pPr>
              <w:spacing w:line="276" w:lineRule="auto"/>
            </w:pPr>
            <w:r>
              <w:t>USA</w:t>
            </w:r>
          </w:p>
        </w:tc>
        <w:tc>
          <w:tcPr>
            <w:tcW w:w="1710" w:type="dxa"/>
          </w:tcPr>
          <w:p w14:paraId="593EE847" w14:textId="77777777" w:rsidR="00362C1A" w:rsidRDefault="00362C1A" w:rsidP="00104A5D">
            <w:pPr>
              <w:spacing w:line="276" w:lineRule="auto"/>
            </w:pPr>
            <w:r>
              <w:t>South Korea</w:t>
            </w:r>
          </w:p>
        </w:tc>
        <w:tc>
          <w:tcPr>
            <w:tcW w:w="1800" w:type="dxa"/>
          </w:tcPr>
          <w:p w14:paraId="5D61DC69" w14:textId="77777777" w:rsidR="00362C1A" w:rsidRDefault="00362C1A" w:rsidP="00104A5D">
            <w:pPr>
              <w:spacing w:line="276" w:lineRule="auto"/>
            </w:pPr>
            <w:r>
              <w:t>Total (Both)</w:t>
            </w:r>
          </w:p>
        </w:tc>
      </w:tr>
      <w:tr w:rsidR="00DA191E" w14:paraId="28C403E5" w14:textId="77777777" w:rsidTr="00104A5D">
        <w:trPr>
          <w:trHeight w:val="486"/>
        </w:trPr>
        <w:tc>
          <w:tcPr>
            <w:tcW w:w="3685" w:type="dxa"/>
          </w:tcPr>
          <w:p w14:paraId="67FD11D4" w14:textId="77777777" w:rsidR="00362C1A" w:rsidRDefault="00362C1A" w:rsidP="00104A5D">
            <w:pPr>
              <w:spacing w:line="276" w:lineRule="auto"/>
            </w:pPr>
            <w:r>
              <w:t>Population:</w:t>
            </w:r>
            <w:r>
              <w:rPr>
                <w:rStyle w:val="FootnoteReference"/>
              </w:rPr>
              <w:footnoteReference w:id="1"/>
            </w:r>
          </w:p>
        </w:tc>
        <w:tc>
          <w:tcPr>
            <w:tcW w:w="1890" w:type="dxa"/>
          </w:tcPr>
          <w:p w14:paraId="72A1E567" w14:textId="77777777" w:rsidR="00362C1A" w:rsidRDefault="00362C1A" w:rsidP="00104A5D">
            <w:pPr>
              <w:spacing w:line="276" w:lineRule="auto"/>
            </w:pPr>
            <w:r>
              <w:t>~342,000,000</w:t>
            </w:r>
          </w:p>
        </w:tc>
        <w:tc>
          <w:tcPr>
            <w:tcW w:w="1710" w:type="dxa"/>
          </w:tcPr>
          <w:p w14:paraId="47EA9621" w14:textId="77777777" w:rsidR="00362C1A" w:rsidRDefault="00362C1A" w:rsidP="00104A5D">
            <w:pPr>
              <w:spacing w:line="276" w:lineRule="auto"/>
            </w:pPr>
            <w:r>
              <w:t>~51,500,000</w:t>
            </w:r>
          </w:p>
        </w:tc>
        <w:tc>
          <w:tcPr>
            <w:tcW w:w="1800" w:type="dxa"/>
          </w:tcPr>
          <w:p w14:paraId="0D8E579E" w14:textId="77777777" w:rsidR="00362C1A" w:rsidRDefault="00362C1A" w:rsidP="00104A5D">
            <w:pPr>
              <w:spacing w:line="276" w:lineRule="auto"/>
            </w:pPr>
            <w:r>
              <w:t>~393,500,000</w:t>
            </w:r>
          </w:p>
        </w:tc>
      </w:tr>
      <w:tr w:rsidR="00DA191E" w14:paraId="603512AA" w14:textId="77777777" w:rsidTr="00104A5D">
        <w:trPr>
          <w:trHeight w:val="475"/>
        </w:trPr>
        <w:tc>
          <w:tcPr>
            <w:tcW w:w="3685" w:type="dxa"/>
          </w:tcPr>
          <w:p w14:paraId="02D62437" w14:textId="77777777" w:rsidR="00362C1A" w:rsidRDefault="00362C1A" w:rsidP="00104A5D">
            <w:pPr>
              <w:spacing w:line="276" w:lineRule="auto"/>
            </w:pPr>
            <w:r>
              <w:t>Internet users:</w:t>
            </w:r>
          </w:p>
        </w:tc>
        <w:tc>
          <w:tcPr>
            <w:tcW w:w="1890" w:type="dxa"/>
          </w:tcPr>
          <w:p w14:paraId="6C37F20C" w14:textId="77777777" w:rsidR="00362C1A" w:rsidRDefault="00362C1A" w:rsidP="00104A5D">
            <w:pPr>
              <w:spacing w:line="276" w:lineRule="auto"/>
            </w:pPr>
            <w:r>
              <w:t>~327,000,000 (93.7%)</w:t>
            </w:r>
            <w:r>
              <w:rPr>
                <w:rStyle w:val="FootnoteReference"/>
              </w:rPr>
              <w:footnoteReference w:id="2"/>
            </w:r>
          </w:p>
        </w:tc>
        <w:tc>
          <w:tcPr>
            <w:tcW w:w="1710" w:type="dxa"/>
          </w:tcPr>
          <w:p w14:paraId="394DACAD" w14:textId="77777777" w:rsidR="00362C1A" w:rsidRDefault="00362C1A" w:rsidP="00104A5D">
            <w:pPr>
              <w:spacing w:line="276" w:lineRule="auto"/>
            </w:pPr>
            <w:r>
              <w:t>~47,750,000 (97.4%)</w:t>
            </w:r>
            <w:r>
              <w:rPr>
                <w:rStyle w:val="FootnoteReference"/>
              </w:rPr>
              <w:footnoteReference w:id="3"/>
            </w:r>
          </w:p>
        </w:tc>
        <w:tc>
          <w:tcPr>
            <w:tcW w:w="1800" w:type="dxa"/>
          </w:tcPr>
          <w:p w14:paraId="73E62C0E" w14:textId="77777777" w:rsidR="00362C1A" w:rsidRDefault="00362C1A" w:rsidP="00104A5D">
            <w:pPr>
              <w:spacing w:line="276" w:lineRule="auto"/>
            </w:pPr>
            <w:r>
              <w:t>~374,750,000</w:t>
            </w:r>
          </w:p>
        </w:tc>
      </w:tr>
      <w:tr w:rsidR="00DA191E" w14:paraId="2300B092" w14:textId="77777777" w:rsidTr="00104A5D">
        <w:trPr>
          <w:trHeight w:val="486"/>
        </w:trPr>
        <w:tc>
          <w:tcPr>
            <w:tcW w:w="3685" w:type="dxa"/>
          </w:tcPr>
          <w:p w14:paraId="6F19EE14" w14:textId="00DBA554" w:rsidR="00362C1A" w:rsidRDefault="00362C1A" w:rsidP="00104A5D">
            <w:pPr>
              <w:spacing w:line="276" w:lineRule="auto"/>
            </w:pPr>
            <w:r>
              <w:t>Disabled individuals</w:t>
            </w:r>
            <w:r w:rsidR="00806279">
              <w:t>:</w:t>
            </w:r>
          </w:p>
        </w:tc>
        <w:tc>
          <w:tcPr>
            <w:tcW w:w="1890" w:type="dxa"/>
          </w:tcPr>
          <w:p w14:paraId="50CF6BCD" w14:textId="1D766B0C" w:rsidR="00362C1A" w:rsidRDefault="00806279" w:rsidP="00104A5D">
            <w:pPr>
              <w:spacing w:line="276" w:lineRule="auto"/>
            </w:pPr>
            <w:r>
              <w:t>~73,400,000 (28.7%) (2022)</w:t>
            </w:r>
            <w:r>
              <w:rPr>
                <w:rStyle w:val="FootnoteReference"/>
              </w:rPr>
              <w:footnoteReference w:id="4"/>
            </w:r>
          </w:p>
        </w:tc>
        <w:tc>
          <w:tcPr>
            <w:tcW w:w="1710" w:type="dxa"/>
          </w:tcPr>
          <w:p w14:paraId="40677F19" w14:textId="4DCE23A9" w:rsidR="00362C1A" w:rsidRDefault="00AD31DD" w:rsidP="00104A5D">
            <w:pPr>
              <w:spacing w:line="276" w:lineRule="auto"/>
            </w:pPr>
            <w:r>
              <w:t>~2,600,000 (5.0%) (2023)</w:t>
            </w:r>
            <w:r>
              <w:rPr>
                <w:rStyle w:val="FootnoteReference"/>
              </w:rPr>
              <w:footnoteReference w:id="5"/>
            </w:r>
          </w:p>
        </w:tc>
        <w:tc>
          <w:tcPr>
            <w:tcW w:w="1800" w:type="dxa"/>
          </w:tcPr>
          <w:p w14:paraId="5D83C3F0" w14:textId="7E89E570" w:rsidR="00362C1A" w:rsidRDefault="00395F71" w:rsidP="00104A5D">
            <w:pPr>
              <w:spacing w:line="276" w:lineRule="auto"/>
            </w:pPr>
            <w:r>
              <w:t>~76,000,000</w:t>
            </w:r>
          </w:p>
        </w:tc>
      </w:tr>
      <w:tr w:rsidR="00DA191E" w14:paraId="67EEDCB5" w14:textId="77777777" w:rsidTr="00104A5D">
        <w:trPr>
          <w:trHeight w:val="475"/>
        </w:trPr>
        <w:tc>
          <w:tcPr>
            <w:tcW w:w="3685" w:type="dxa"/>
          </w:tcPr>
          <w:p w14:paraId="6C829778" w14:textId="77777777" w:rsidR="00362C1A" w:rsidRDefault="00362C1A" w:rsidP="00104A5D">
            <w:pPr>
              <w:spacing w:line="276" w:lineRule="auto"/>
            </w:pPr>
            <w:r>
              <w:t>Vision-impaired individuals:</w:t>
            </w:r>
          </w:p>
        </w:tc>
        <w:tc>
          <w:tcPr>
            <w:tcW w:w="1890" w:type="dxa"/>
          </w:tcPr>
          <w:p w14:paraId="68F9CCE7" w14:textId="253314A2" w:rsidR="00362C1A" w:rsidRDefault="00AD31DD" w:rsidP="00104A5D">
            <w:pPr>
              <w:spacing w:line="276" w:lineRule="auto"/>
            </w:pPr>
            <w:r>
              <w:t>~14,400,000 (5.5%) (2022)</w:t>
            </w:r>
          </w:p>
        </w:tc>
        <w:tc>
          <w:tcPr>
            <w:tcW w:w="1710" w:type="dxa"/>
          </w:tcPr>
          <w:p w14:paraId="5236B2ED" w14:textId="3102AA23" w:rsidR="00362C1A" w:rsidRDefault="00AD31DD" w:rsidP="00104A5D">
            <w:pPr>
              <w:spacing w:line="276" w:lineRule="auto"/>
            </w:pPr>
            <w:r>
              <w:t>~250,000 (0.5%) (2023)</w:t>
            </w:r>
          </w:p>
        </w:tc>
        <w:tc>
          <w:tcPr>
            <w:tcW w:w="1800" w:type="dxa"/>
          </w:tcPr>
          <w:p w14:paraId="177B155A" w14:textId="413053C5" w:rsidR="00362C1A" w:rsidRDefault="00395F71" w:rsidP="00104A5D">
            <w:pPr>
              <w:spacing w:line="276" w:lineRule="auto"/>
            </w:pPr>
            <w:r>
              <w:t>~14,650,000</w:t>
            </w:r>
          </w:p>
        </w:tc>
      </w:tr>
      <w:tr w:rsidR="00DA191E" w14:paraId="5C7C4155" w14:textId="77777777" w:rsidTr="00104A5D">
        <w:trPr>
          <w:trHeight w:val="475"/>
        </w:trPr>
        <w:tc>
          <w:tcPr>
            <w:tcW w:w="3685" w:type="dxa"/>
          </w:tcPr>
          <w:p w14:paraId="519602BD" w14:textId="77777777" w:rsidR="00362C1A" w:rsidRDefault="00362C1A" w:rsidP="00104A5D">
            <w:pPr>
              <w:spacing w:line="276" w:lineRule="auto"/>
            </w:pPr>
            <w:r>
              <w:t>Mobility-impaired individuals:</w:t>
            </w:r>
          </w:p>
        </w:tc>
        <w:tc>
          <w:tcPr>
            <w:tcW w:w="1890" w:type="dxa"/>
          </w:tcPr>
          <w:p w14:paraId="02F3F796" w14:textId="1F860919" w:rsidR="00362C1A" w:rsidRDefault="00AD31DD" w:rsidP="00104A5D">
            <w:pPr>
              <w:spacing w:line="276" w:lineRule="auto"/>
            </w:pPr>
            <w:r>
              <w:t>~34,000,000 (12.2%) (2022)</w:t>
            </w:r>
          </w:p>
        </w:tc>
        <w:tc>
          <w:tcPr>
            <w:tcW w:w="1710" w:type="dxa"/>
          </w:tcPr>
          <w:p w14:paraId="646DF0AF" w14:textId="59CDB2C5" w:rsidR="00362C1A" w:rsidRDefault="00AD31DD" w:rsidP="00104A5D">
            <w:pPr>
              <w:spacing w:line="276" w:lineRule="auto"/>
            </w:pPr>
            <w:r>
              <w:t>~1,150,000 (2.2%) (2023)</w:t>
            </w:r>
          </w:p>
        </w:tc>
        <w:tc>
          <w:tcPr>
            <w:tcW w:w="1800" w:type="dxa"/>
          </w:tcPr>
          <w:p w14:paraId="68B75672" w14:textId="21D7E863" w:rsidR="00362C1A" w:rsidRDefault="00395F71" w:rsidP="00104A5D">
            <w:pPr>
              <w:spacing w:line="276" w:lineRule="auto"/>
            </w:pPr>
            <w:r>
              <w:t>~35,150,000</w:t>
            </w:r>
          </w:p>
        </w:tc>
      </w:tr>
      <w:tr w:rsidR="00DA191E" w14:paraId="3BC9A12F" w14:textId="77777777" w:rsidTr="00104A5D">
        <w:trPr>
          <w:trHeight w:val="486"/>
        </w:trPr>
        <w:tc>
          <w:tcPr>
            <w:tcW w:w="3685" w:type="dxa"/>
          </w:tcPr>
          <w:p w14:paraId="25E345A1" w14:textId="77777777" w:rsidR="00362C1A" w:rsidRDefault="00362C1A" w:rsidP="00104A5D">
            <w:pPr>
              <w:spacing w:line="276" w:lineRule="auto"/>
            </w:pPr>
            <w:r>
              <w:t>Hearing-impaired individuals:</w:t>
            </w:r>
          </w:p>
        </w:tc>
        <w:tc>
          <w:tcPr>
            <w:tcW w:w="1890" w:type="dxa"/>
          </w:tcPr>
          <w:p w14:paraId="1AF2EC9C" w14:textId="650AA9FD" w:rsidR="00362C1A" w:rsidRDefault="00AD31DD" w:rsidP="00104A5D">
            <w:pPr>
              <w:spacing w:line="276" w:lineRule="auto"/>
            </w:pPr>
            <w:r>
              <w:t>~17,700,000 (6.2%) (2022)</w:t>
            </w:r>
          </w:p>
        </w:tc>
        <w:tc>
          <w:tcPr>
            <w:tcW w:w="1710" w:type="dxa"/>
          </w:tcPr>
          <w:p w14:paraId="746BDC35" w14:textId="0A2C4E5C" w:rsidR="00362C1A" w:rsidRDefault="00AD31DD" w:rsidP="00104A5D">
            <w:pPr>
              <w:spacing w:line="276" w:lineRule="auto"/>
            </w:pPr>
            <w:r>
              <w:t>~430,000 (0.8%) (2023)</w:t>
            </w:r>
          </w:p>
        </w:tc>
        <w:tc>
          <w:tcPr>
            <w:tcW w:w="1800" w:type="dxa"/>
          </w:tcPr>
          <w:p w14:paraId="68EBDEA7" w14:textId="3C8DBEE0" w:rsidR="00362C1A" w:rsidRDefault="00395F71" w:rsidP="00104A5D">
            <w:pPr>
              <w:spacing w:line="276" w:lineRule="auto"/>
            </w:pPr>
            <w:r>
              <w:t>~18,130,000</w:t>
            </w:r>
          </w:p>
        </w:tc>
      </w:tr>
      <w:tr w:rsidR="00DA191E" w14:paraId="5245FE20" w14:textId="77777777" w:rsidTr="00104A5D">
        <w:trPr>
          <w:trHeight w:val="486"/>
        </w:trPr>
        <w:tc>
          <w:tcPr>
            <w:tcW w:w="3685" w:type="dxa"/>
          </w:tcPr>
          <w:p w14:paraId="41394CDC" w14:textId="77777777" w:rsidR="00362C1A" w:rsidRDefault="00362C1A" w:rsidP="00104A5D">
            <w:pPr>
              <w:spacing w:line="276" w:lineRule="auto"/>
            </w:pPr>
            <w:r>
              <w:t>People with learning disabilities:</w:t>
            </w:r>
          </w:p>
        </w:tc>
        <w:tc>
          <w:tcPr>
            <w:tcW w:w="1890" w:type="dxa"/>
          </w:tcPr>
          <w:p w14:paraId="4E466405" w14:textId="7F213756" w:rsidR="00362C1A" w:rsidRDefault="00AD31DD" w:rsidP="00104A5D">
            <w:pPr>
              <w:spacing w:line="276" w:lineRule="auto"/>
            </w:pPr>
            <w:r>
              <w:t>~33,200,000 (13.9%) (2022)</w:t>
            </w:r>
          </w:p>
        </w:tc>
        <w:tc>
          <w:tcPr>
            <w:tcW w:w="1710" w:type="dxa"/>
          </w:tcPr>
          <w:p w14:paraId="7D77F452" w14:textId="7DB9A866" w:rsidR="00362C1A" w:rsidRDefault="00AD31DD" w:rsidP="00104A5D">
            <w:pPr>
              <w:spacing w:line="276" w:lineRule="auto"/>
            </w:pPr>
            <w:r>
              <w:t>~230,000 (</w:t>
            </w:r>
            <w:r w:rsidR="00395F71">
              <w:t>0.4%</w:t>
            </w:r>
            <w:r>
              <w:t>) (2023)</w:t>
            </w:r>
          </w:p>
        </w:tc>
        <w:tc>
          <w:tcPr>
            <w:tcW w:w="1800" w:type="dxa"/>
          </w:tcPr>
          <w:p w14:paraId="7DE4EC31" w14:textId="4BCE3299" w:rsidR="00362C1A" w:rsidRDefault="00395F71" w:rsidP="00104A5D">
            <w:pPr>
              <w:spacing w:line="276" w:lineRule="auto"/>
            </w:pPr>
            <w:r>
              <w:t>~33,430,000</w:t>
            </w:r>
          </w:p>
        </w:tc>
      </w:tr>
      <w:tr w:rsidR="00DA191E" w14:paraId="4A97BC9E" w14:textId="77777777" w:rsidTr="00104A5D">
        <w:trPr>
          <w:trHeight w:val="486"/>
        </w:trPr>
        <w:tc>
          <w:tcPr>
            <w:tcW w:w="3685" w:type="dxa"/>
          </w:tcPr>
          <w:p w14:paraId="6232E1DF" w14:textId="77777777" w:rsidR="00362C1A" w:rsidRDefault="00362C1A" w:rsidP="00104A5D">
            <w:pPr>
              <w:spacing w:line="276" w:lineRule="auto"/>
            </w:pPr>
            <w:r>
              <w:t>Age split: 0-19</w:t>
            </w:r>
            <w:r>
              <w:rPr>
                <w:rStyle w:val="FootnoteReference"/>
              </w:rPr>
              <w:footnoteReference w:id="6"/>
            </w:r>
          </w:p>
        </w:tc>
        <w:tc>
          <w:tcPr>
            <w:tcW w:w="1890" w:type="dxa"/>
          </w:tcPr>
          <w:p w14:paraId="55101674" w14:textId="77777777" w:rsidR="00362C1A" w:rsidRDefault="00362C1A" w:rsidP="00104A5D">
            <w:pPr>
              <w:spacing w:line="276" w:lineRule="auto"/>
            </w:pPr>
            <w:r>
              <w:t>~79,800,000 (23.5%)</w:t>
            </w:r>
          </w:p>
        </w:tc>
        <w:tc>
          <w:tcPr>
            <w:tcW w:w="1710" w:type="dxa"/>
          </w:tcPr>
          <w:p w14:paraId="653A564D" w14:textId="77777777" w:rsidR="00362C1A" w:rsidRDefault="00362C1A" w:rsidP="00104A5D">
            <w:pPr>
              <w:spacing w:line="276" w:lineRule="auto"/>
            </w:pPr>
            <w:r>
              <w:t>~7,500,000 (14.6%)</w:t>
            </w:r>
          </w:p>
        </w:tc>
        <w:tc>
          <w:tcPr>
            <w:tcW w:w="1800" w:type="dxa"/>
          </w:tcPr>
          <w:p w14:paraId="0A0DB2F9" w14:textId="77777777" w:rsidR="00362C1A" w:rsidRDefault="00362C1A" w:rsidP="00104A5D">
            <w:pPr>
              <w:spacing w:line="276" w:lineRule="auto"/>
            </w:pPr>
            <w:r>
              <w:t>~87,300,000</w:t>
            </w:r>
          </w:p>
        </w:tc>
      </w:tr>
      <w:tr w:rsidR="00DA191E" w14:paraId="2540B8EE" w14:textId="77777777" w:rsidTr="00104A5D">
        <w:trPr>
          <w:trHeight w:val="486"/>
        </w:trPr>
        <w:tc>
          <w:tcPr>
            <w:tcW w:w="3685" w:type="dxa"/>
          </w:tcPr>
          <w:p w14:paraId="3A2BE226" w14:textId="77777777" w:rsidR="00362C1A" w:rsidRDefault="00362C1A" w:rsidP="00104A5D">
            <w:pPr>
              <w:spacing w:line="276" w:lineRule="auto"/>
            </w:pPr>
            <w:r>
              <w:t>Age split: 20-34</w:t>
            </w:r>
          </w:p>
        </w:tc>
        <w:tc>
          <w:tcPr>
            <w:tcW w:w="1890" w:type="dxa"/>
          </w:tcPr>
          <w:p w14:paraId="408FA319" w14:textId="77777777" w:rsidR="00362C1A" w:rsidRDefault="00362C1A" w:rsidP="00104A5D">
            <w:pPr>
              <w:spacing w:line="276" w:lineRule="auto"/>
            </w:pPr>
            <w:r>
              <w:t>~68,300,000 (20.2%)</w:t>
            </w:r>
          </w:p>
        </w:tc>
        <w:tc>
          <w:tcPr>
            <w:tcW w:w="1710" w:type="dxa"/>
          </w:tcPr>
          <w:p w14:paraId="6170C102" w14:textId="77777777" w:rsidR="00362C1A" w:rsidRDefault="00362C1A" w:rsidP="00104A5D">
            <w:pPr>
              <w:spacing w:line="276" w:lineRule="auto"/>
            </w:pPr>
            <w:r>
              <w:t>~9,400,000 (18.3%)</w:t>
            </w:r>
          </w:p>
        </w:tc>
        <w:tc>
          <w:tcPr>
            <w:tcW w:w="1800" w:type="dxa"/>
          </w:tcPr>
          <w:p w14:paraId="3DA95C24" w14:textId="77777777" w:rsidR="00362C1A" w:rsidRDefault="00362C1A" w:rsidP="00104A5D">
            <w:pPr>
              <w:spacing w:line="276" w:lineRule="auto"/>
            </w:pPr>
            <w:r>
              <w:t>~77,700,000</w:t>
            </w:r>
          </w:p>
        </w:tc>
      </w:tr>
      <w:tr w:rsidR="00DA191E" w14:paraId="112E83F1" w14:textId="77777777" w:rsidTr="00104A5D">
        <w:trPr>
          <w:trHeight w:val="486"/>
        </w:trPr>
        <w:tc>
          <w:tcPr>
            <w:tcW w:w="3685" w:type="dxa"/>
          </w:tcPr>
          <w:p w14:paraId="3F0352DC" w14:textId="77777777" w:rsidR="00362C1A" w:rsidRDefault="00362C1A" w:rsidP="00104A5D">
            <w:pPr>
              <w:spacing w:line="276" w:lineRule="auto"/>
            </w:pPr>
            <w:r>
              <w:t>Age split: 35-49</w:t>
            </w:r>
          </w:p>
        </w:tc>
        <w:tc>
          <w:tcPr>
            <w:tcW w:w="1890" w:type="dxa"/>
          </w:tcPr>
          <w:p w14:paraId="7D8E97F0" w14:textId="77777777" w:rsidR="00362C1A" w:rsidRDefault="00362C1A" w:rsidP="00104A5D">
            <w:pPr>
              <w:spacing w:line="276" w:lineRule="auto"/>
            </w:pPr>
            <w:r>
              <w:t>~65,500,000 (19.3%)</w:t>
            </w:r>
          </w:p>
        </w:tc>
        <w:tc>
          <w:tcPr>
            <w:tcW w:w="1710" w:type="dxa"/>
          </w:tcPr>
          <w:p w14:paraId="6267C01B" w14:textId="77777777" w:rsidR="00362C1A" w:rsidRDefault="00362C1A" w:rsidP="00104A5D">
            <w:pPr>
              <w:spacing w:line="276" w:lineRule="auto"/>
            </w:pPr>
            <w:r>
              <w:t>~11,000,000 (21.4%)</w:t>
            </w:r>
          </w:p>
        </w:tc>
        <w:tc>
          <w:tcPr>
            <w:tcW w:w="1800" w:type="dxa"/>
          </w:tcPr>
          <w:p w14:paraId="4141B7A1" w14:textId="77777777" w:rsidR="00362C1A" w:rsidRDefault="00362C1A" w:rsidP="00104A5D">
            <w:pPr>
              <w:spacing w:line="276" w:lineRule="auto"/>
            </w:pPr>
            <w:r>
              <w:t>~76,500,000</w:t>
            </w:r>
          </w:p>
        </w:tc>
      </w:tr>
      <w:tr w:rsidR="00DA191E" w14:paraId="1C853A87" w14:textId="77777777" w:rsidTr="00104A5D">
        <w:trPr>
          <w:trHeight w:val="486"/>
        </w:trPr>
        <w:tc>
          <w:tcPr>
            <w:tcW w:w="3685" w:type="dxa"/>
          </w:tcPr>
          <w:p w14:paraId="40886FF8" w14:textId="77777777" w:rsidR="00362C1A" w:rsidRDefault="00362C1A" w:rsidP="00104A5D">
            <w:pPr>
              <w:spacing w:line="276" w:lineRule="auto"/>
            </w:pPr>
            <w:r>
              <w:t>Age split: 50-64</w:t>
            </w:r>
          </w:p>
        </w:tc>
        <w:tc>
          <w:tcPr>
            <w:tcW w:w="1890" w:type="dxa"/>
          </w:tcPr>
          <w:p w14:paraId="4D3C5881" w14:textId="77777777" w:rsidR="00362C1A" w:rsidRDefault="00362C1A" w:rsidP="00104A5D">
            <w:pPr>
              <w:spacing w:line="276" w:lineRule="auto"/>
            </w:pPr>
            <w:r>
              <w:t>~61,000,000 (18.1%)</w:t>
            </w:r>
          </w:p>
        </w:tc>
        <w:tc>
          <w:tcPr>
            <w:tcW w:w="1710" w:type="dxa"/>
          </w:tcPr>
          <w:p w14:paraId="1F1C3DC8" w14:textId="77777777" w:rsidR="00362C1A" w:rsidRDefault="00362C1A" w:rsidP="00104A5D">
            <w:pPr>
              <w:spacing w:line="276" w:lineRule="auto"/>
            </w:pPr>
            <w:r>
              <w:t>~12,800,000 (24.9%)</w:t>
            </w:r>
          </w:p>
        </w:tc>
        <w:tc>
          <w:tcPr>
            <w:tcW w:w="1800" w:type="dxa"/>
          </w:tcPr>
          <w:p w14:paraId="197AF13C" w14:textId="77777777" w:rsidR="00362C1A" w:rsidRDefault="00362C1A" w:rsidP="00104A5D">
            <w:pPr>
              <w:spacing w:line="276" w:lineRule="auto"/>
            </w:pPr>
            <w:r>
              <w:t>~73,800,000</w:t>
            </w:r>
          </w:p>
        </w:tc>
      </w:tr>
      <w:tr w:rsidR="00DA191E" w14:paraId="140CF291" w14:textId="77777777" w:rsidTr="00104A5D">
        <w:trPr>
          <w:trHeight w:val="486"/>
        </w:trPr>
        <w:tc>
          <w:tcPr>
            <w:tcW w:w="3685" w:type="dxa"/>
          </w:tcPr>
          <w:p w14:paraId="3E231B91" w14:textId="77777777" w:rsidR="00362C1A" w:rsidRDefault="00362C1A" w:rsidP="00104A5D">
            <w:pPr>
              <w:spacing w:line="276" w:lineRule="auto"/>
            </w:pPr>
            <w:r>
              <w:t>Age split: 65+</w:t>
            </w:r>
          </w:p>
        </w:tc>
        <w:tc>
          <w:tcPr>
            <w:tcW w:w="1890" w:type="dxa"/>
          </w:tcPr>
          <w:p w14:paraId="63E5714D" w14:textId="77777777" w:rsidR="00362C1A" w:rsidRDefault="00362C1A" w:rsidP="00104A5D">
            <w:pPr>
              <w:spacing w:line="276" w:lineRule="auto"/>
            </w:pPr>
            <w:r>
              <w:t>~63,300,000 (18.7%)</w:t>
            </w:r>
          </w:p>
        </w:tc>
        <w:tc>
          <w:tcPr>
            <w:tcW w:w="1710" w:type="dxa"/>
          </w:tcPr>
          <w:p w14:paraId="743878D3" w14:textId="77777777" w:rsidR="00362C1A" w:rsidRDefault="00362C1A" w:rsidP="00104A5D">
            <w:pPr>
              <w:spacing w:line="276" w:lineRule="auto"/>
            </w:pPr>
            <w:r>
              <w:t>~10,700,000 (20.9%)</w:t>
            </w:r>
          </w:p>
        </w:tc>
        <w:tc>
          <w:tcPr>
            <w:tcW w:w="1800" w:type="dxa"/>
          </w:tcPr>
          <w:p w14:paraId="35803F66" w14:textId="77777777" w:rsidR="00362C1A" w:rsidRDefault="00362C1A" w:rsidP="00104A5D">
            <w:pPr>
              <w:spacing w:line="276" w:lineRule="auto"/>
            </w:pPr>
            <w:r>
              <w:t>~74,000,000</w:t>
            </w:r>
          </w:p>
        </w:tc>
      </w:tr>
      <w:tr w:rsidR="00DA191E" w14:paraId="2D5AE7E4" w14:textId="77777777" w:rsidTr="00104A5D">
        <w:trPr>
          <w:trHeight w:val="486"/>
        </w:trPr>
        <w:tc>
          <w:tcPr>
            <w:tcW w:w="3685" w:type="dxa"/>
          </w:tcPr>
          <w:p w14:paraId="4FC2553B" w14:textId="77777777" w:rsidR="00362C1A" w:rsidRDefault="00362C1A" w:rsidP="00104A5D">
            <w:pPr>
              <w:spacing w:line="276" w:lineRule="auto"/>
            </w:pPr>
            <w:r>
              <w:lastRenderedPageBreak/>
              <w:t>10-year projected age split: 0-19</w:t>
            </w:r>
            <w:r>
              <w:rPr>
                <w:rStyle w:val="FootnoteReference"/>
              </w:rPr>
              <w:footnoteReference w:id="7"/>
            </w:r>
          </w:p>
        </w:tc>
        <w:tc>
          <w:tcPr>
            <w:tcW w:w="1890" w:type="dxa"/>
          </w:tcPr>
          <w:p w14:paraId="6D4C86E2" w14:textId="77777777" w:rsidR="00362C1A" w:rsidRDefault="00362C1A" w:rsidP="00104A5D">
            <w:pPr>
              <w:spacing w:line="276" w:lineRule="auto"/>
            </w:pPr>
            <w:r>
              <w:t>~76,200,000 (21.7%)</w:t>
            </w:r>
          </w:p>
        </w:tc>
        <w:tc>
          <w:tcPr>
            <w:tcW w:w="1710" w:type="dxa"/>
          </w:tcPr>
          <w:p w14:paraId="2BDF6CC3" w14:textId="77777777" w:rsidR="00362C1A" w:rsidRDefault="00362C1A" w:rsidP="00104A5D">
            <w:pPr>
              <w:spacing w:line="276" w:lineRule="auto"/>
            </w:pPr>
            <w:r>
              <w:t>~5,000,000 (9.9%)</w:t>
            </w:r>
          </w:p>
        </w:tc>
        <w:tc>
          <w:tcPr>
            <w:tcW w:w="1800" w:type="dxa"/>
          </w:tcPr>
          <w:p w14:paraId="355C349B" w14:textId="77777777" w:rsidR="00362C1A" w:rsidRDefault="00362C1A" w:rsidP="00104A5D">
            <w:pPr>
              <w:spacing w:line="276" w:lineRule="auto"/>
            </w:pPr>
            <w:r>
              <w:t>~81,200,000</w:t>
            </w:r>
          </w:p>
        </w:tc>
      </w:tr>
      <w:tr w:rsidR="00DA191E" w14:paraId="19F4E17D" w14:textId="77777777" w:rsidTr="00104A5D">
        <w:trPr>
          <w:trHeight w:val="486"/>
        </w:trPr>
        <w:tc>
          <w:tcPr>
            <w:tcW w:w="3685" w:type="dxa"/>
          </w:tcPr>
          <w:p w14:paraId="137ED78B" w14:textId="77777777" w:rsidR="00362C1A" w:rsidRDefault="00362C1A" w:rsidP="00104A5D">
            <w:pPr>
              <w:spacing w:line="276" w:lineRule="auto"/>
            </w:pPr>
            <w:r>
              <w:t>10-year projected age split: 20-34</w:t>
            </w:r>
          </w:p>
        </w:tc>
        <w:tc>
          <w:tcPr>
            <w:tcW w:w="1890" w:type="dxa"/>
          </w:tcPr>
          <w:p w14:paraId="041FAE71" w14:textId="77777777" w:rsidR="00362C1A" w:rsidRDefault="00362C1A" w:rsidP="00104A5D">
            <w:pPr>
              <w:spacing w:line="276" w:lineRule="auto"/>
            </w:pPr>
            <w:r>
              <w:t>~68,300,000 (19.5%)</w:t>
            </w:r>
          </w:p>
        </w:tc>
        <w:tc>
          <w:tcPr>
            <w:tcW w:w="1710" w:type="dxa"/>
          </w:tcPr>
          <w:p w14:paraId="4E73C857" w14:textId="77777777" w:rsidR="00362C1A" w:rsidRDefault="00362C1A" w:rsidP="00104A5D">
            <w:pPr>
              <w:spacing w:line="276" w:lineRule="auto"/>
            </w:pPr>
            <w:r>
              <w:t>~7,400,000 (14.7%)</w:t>
            </w:r>
          </w:p>
        </w:tc>
        <w:tc>
          <w:tcPr>
            <w:tcW w:w="1800" w:type="dxa"/>
          </w:tcPr>
          <w:p w14:paraId="4AD9A0A6" w14:textId="77777777" w:rsidR="00362C1A" w:rsidRDefault="00362C1A" w:rsidP="00104A5D">
            <w:pPr>
              <w:spacing w:line="276" w:lineRule="auto"/>
            </w:pPr>
            <w:r>
              <w:t>~75,700,000</w:t>
            </w:r>
          </w:p>
        </w:tc>
      </w:tr>
      <w:tr w:rsidR="00DA191E" w14:paraId="1688B22B" w14:textId="77777777" w:rsidTr="00104A5D">
        <w:trPr>
          <w:trHeight w:val="486"/>
        </w:trPr>
        <w:tc>
          <w:tcPr>
            <w:tcW w:w="3685" w:type="dxa"/>
          </w:tcPr>
          <w:p w14:paraId="627B4270" w14:textId="77777777" w:rsidR="00362C1A" w:rsidRDefault="00362C1A" w:rsidP="00104A5D">
            <w:pPr>
              <w:spacing w:line="276" w:lineRule="auto"/>
            </w:pPr>
            <w:r>
              <w:t>10-year projected age split: 35-49</w:t>
            </w:r>
          </w:p>
        </w:tc>
        <w:tc>
          <w:tcPr>
            <w:tcW w:w="1890" w:type="dxa"/>
          </w:tcPr>
          <w:p w14:paraId="2DB0AE36" w14:textId="77777777" w:rsidR="00362C1A" w:rsidRDefault="00362C1A" w:rsidP="00104A5D">
            <w:pPr>
              <w:spacing w:line="276" w:lineRule="auto"/>
            </w:pPr>
            <w:r>
              <w:t>~70,300,000 (19.9%)</w:t>
            </w:r>
          </w:p>
        </w:tc>
        <w:tc>
          <w:tcPr>
            <w:tcW w:w="1710" w:type="dxa"/>
          </w:tcPr>
          <w:p w14:paraId="6E181A31" w14:textId="77777777" w:rsidR="00362C1A" w:rsidRDefault="00362C1A" w:rsidP="00104A5D">
            <w:pPr>
              <w:spacing w:line="276" w:lineRule="auto"/>
            </w:pPr>
            <w:r>
              <w:t>~10,400,000 (20.5%)</w:t>
            </w:r>
          </w:p>
        </w:tc>
        <w:tc>
          <w:tcPr>
            <w:tcW w:w="1800" w:type="dxa"/>
          </w:tcPr>
          <w:p w14:paraId="2DB1BC11" w14:textId="77777777" w:rsidR="00362C1A" w:rsidRDefault="00362C1A" w:rsidP="00104A5D">
            <w:pPr>
              <w:spacing w:line="276" w:lineRule="auto"/>
            </w:pPr>
            <w:r>
              <w:t>~80,700,000</w:t>
            </w:r>
          </w:p>
        </w:tc>
      </w:tr>
      <w:tr w:rsidR="00DA191E" w14:paraId="30283886" w14:textId="77777777" w:rsidTr="00104A5D">
        <w:trPr>
          <w:trHeight w:val="486"/>
        </w:trPr>
        <w:tc>
          <w:tcPr>
            <w:tcW w:w="3685" w:type="dxa"/>
          </w:tcPr>
          <w:p w14:paraId="1527D4DF" w14:textId="77777777" w:rsidR="00362C1A" w:rsidRDefault="00362C1A" w:rsidP="00104A5D">
            <w:pPr>
              <w:spacing w:line="276" w:lineRule="auto"/>
            </w:pPr>
            <w:r>
              <w:t>10-year projected age split: 50-64</w:t>
            </w:r>
          </w:p>
        </w:tc>
        <w:tc>
          <w:tcPr>
            <w:tcW w:w="1890" w:type="dxa"/>
          </w:tcPr>
          <w:p w14:paraId="341E19CC" w14:textId="77777777" w:rsidR="00362C1A" w:rsidRDefault="00362C1A" w:rsidP="00104A5D">
            <w:pPr>
              <w:spacing w:line="276" w:lineRule="auto"/>
            </w:pPr>
            <w:r>
              <w:t>~60,200,000 (17.2%)</w:t>
            </w:r>
          </w:p>
        </w:tc>
        <w:tc>
          <w:tcPr>
            <w:tcW w:w="1710" w:type="dxa"/>
          </w:tcPr>
          <w:p w14:paraId="01D07617" w14:textId="77777777" w:rsidR="00362C1A" w:rsidRDefault="00362C1A" w:rsidP="00104A5D">
            <w:pPr>
              <w:spacing w:line="276" w:lineRule="auto"/>
            </w:pPr>
            <w:r>
              <w:t>~12,000,000 (24.0%)</w:t>
            </w:r>
          </w:p>
        </w:tc>
        <w:tc>
          <w:tcPr>
            <w:tcW w:w="1800" w:type="dxa"/>
          </w:tcPr>
          <w:p w14:paraId="354EEEB4" w14:textId="77777777" w:rsidR="00362C1A" w:rsidRDefault="00362C1A" w:rsidP="00104A5D">
            <w:pPr>
              <w:spacing w:line="276" w:lineRule="auto"/>
            </w:pPr>
            <w:r>
              <w:t>~72,200,000</w:t>
            </w:r>
          </w:p>
        </w:tc>
      </w:tr>
      <w:tr w:rsidR="00DA191E" w14:paraId="2B5712C6" w14:textId="77777777" w:rsidTr="00104A5D">
        <w:trPr>
          <w:trHeight w:val="486"/>
        </w:trPr>
        <w:tc>
          <w:tcPr>
            <w:tcW w:w="3685" w:type="dxa"/>
          </w:tcPr>
          <w:p w14:paraId="120D41F4" w14:textId="77777777" w:rsidR="00362C1A" w:rsidRDefault="00362C1A" w:rsidP="00104A5D">
            <w:pPr>
              <w:spacing w:line="276" w:lineRule="auto"/>
            </w:pPr>
            <w:r>
              <w:t>10-year projected age split: 65+</w:t>
            </w:r>
          </w:p>
        </w:tc>
        <w:tc>
          <w:tcPr>
            <w:tcW w:w="1890" w:type="dxa"/>
          </w:tcPr>
          <w:p w14:paraId="21A7D5E1" w14:textId="77777777" w:rsidR="00362C1A" w:rsidRDefault="00362C1A" w:rsidP="00104A5D">
            <w:pPr>
              <w:spacing w:line="276" w:lineRule="auto"/>
            </w:pPr>
            <w:r>
              <w:t>~75,800,000 (21.5%)</w:t>
            </w:r>
          </w:p>
        </w:tc>
        <w:tc>
          <w:tcPr>
            <w:tcW w:w="1710" w:type="dxa"/>
          </w:tcPr>
          <w:p w14:paraId="3EC4E0F8" w14:textId="77777777" w:rsidR="00362C1A" w:rsidRDefault="00362C1A" w:rsidP="00104A5D">
            <w:pPr>
              <w:spacing w:line="276" w:lineRule="auto"/>
            </w:pPr>
            <w:r>
              <w:t>~15,500,000 (30.9%)</w:t>
            </w:r>
          </w:p>
        </w:tc>
        <w:tc>
          <w:tcPr>
            <w:tcW w:w="1800" w:type="dxa"/>
          </w:tcPr>
          <w:p w14:paraId="21F767D5" w14:textId="77777777" w:rsidR="00362C1A" w:rsidRDefault="00362C1A" w:rsidP="00104A5D">
            <w:pPr>
              <w:spacing w:line="276" w:lineRule="auto"/>
            </w:pPr>
            <w:r>
              <w:t>~91,300,000</w:t>
            </w:r>
          </w:p>
        </w:tc>
      </w:tr>
      <w:tr w:rsidR="00DA191E" w14:paraId="5D90029E" w14:textId="77777777" w:rsidTr="00104A5D">
        <w:trPr>
          <w:trHeight w:val="486"/>
        </w:trPr>
        <w:tc>
          <w:tcPr>
            <w:tcW w:w="3685" w:type="dxa"/>
          </w:tcPr>
          <w:p w14:paraId="4677F8D7" w14:textId="77777777" w:rsidR="00362C1A" w:rsidRDefault="00362C1A" w:rsidP="00104A5D">
            <w:pPr>
              <w:spacing w:line="276" w:lineRule="auto"/>
            </w:pPr>
            <w:r>
              <w:t>Mobile device users:</w:t>
            </w:r>
          </w:p>
        </w:tc>
        <w:tc>
          <w:tcPr>
            <w:tcW w:w="1890" w:type="dxa"/>
          </w:tcPr>
          <w:p w14:paraId="039231D1" w14:textId="77777777" w:rsidR="00362C1A" w:rsidRDefault="00362C1A" w:rsidP="00104A5D">
            <w:pPr>
              <w:spacing w:line="276" w:lineRule="auto"/>
            </w:pPr>
            <w:r>
              <w:t>~317,000,000 (92.8%)</w:t>
            </w:r>
            <w:r>
              <w:rPr>
                <w:rStyle w:val="FootnoteReference"/>
              </w:rPr>
              <w:footnoteReference w:id="8"/>
            </w:r>
          </w:p>
        </w:tc>
        <w:tc>
          <w:tcPr>
            <w:tcW w:w="1710" w:type="dxa"/>
          </w:tcPr>
          <w:p w14:paraId="1A8DCD02" w14:textId="31E59B3C" w:rsidR="00362C1A" w:rsidRDefault="00DA191E" w:rsidP="00104A5D">
            <w:pPr>
              <w:spacing w:line="276" w:lineRule="auto"/>
            </w:pPr>
            <w:r>
              <w:t xml:space="preserve">~45,500,000 </w:t>
            </w:r>
            <w:r w:rsidR="00362C1A">
              <w:t>(88.4%)</w:t>
            </w:r>
            <w:r w:rsidR="00362C1A">
              <w:rPr>
                <w:rStyle w:val="FootnoteReference"/>
              </w:rPr>
              <w:footnoteReference w:id="9"/>
            </w:r>
          </w:p>
        </w:tc>
        <w:tc>
          <w:tcPr>
            <w:tcW w:w="1800" w:type="dxa"/>
          </w:tcPr>
          <w:p w14:paraId="4CFE9467" w14:textId="647B92B1" w:rsidR="00362C1A" w:rsidRDefault="00DA191E" w:rsidP="00104A5D">
            <w:pPr>
              <w:spacing w:line="276" w:lineRule="auto"/>
            </w:pPr>
            <w:r>
              <w:t>~362,500,000</w:t>
            </w:r>
          </w:p>
        </w:tc>
      </w:tr>
      <w:tr w:rsidR="00DA191E" w14:paraId="4FDE0048" w14:textId="77777777" w:rsidTr="00104A5D">
        <w:trPr>
          <w:trHeight w:val="486"/>
        </w:trPr>
        <w:tc>
          <w:tcPr>
            <w:tcW w:w="3685" w:type="dxa"/>
          </w:tcPr>
          <w:p w14:paraId="78C14102" w14:textId="77777777" w:rsidR="00362C1A" w:rsidRDefault="00362C1A" w:rsidP="00104A5D">
            <w:pPr>
              <w:spacing w:line="276" w:lineRule="auto"/>
            </w:pPr>
            <w:r>
              <w:t>4-year projected mobile users:</w:t>
            </w:r>
          </w:p>
        </w:tc>
        <w:tc>
          <w:tcPr>
            <w:tcW w:w="1890" w:type="dxa"/>
          </w:tcPr>
          <w:p w14:paraId="28E7F339" w14:textId="7A565928" w:rsidR="00362C1A" w:rsidRDefault="00362C1A" w:rsidP="00104A5D">
            <w:pPr>
              <w:spacing w:line="276" w:lineRule="auto"/>
            </w:pPr>
            <w:r>
              <w:t>~327,500,000</w:t>
            </w:r>
            <w:r w:rsidR="00DA191E">
              <w:t xml:space="preserve"> (95.3%)</w:t>
            </w:r>
            <w:r>
              <w:rPr>
                <w:rStyle w:val="FootnoteReference"/>
              </w:rPr>
              <w:footnoteReference w:id="10"/>
            </w:r>
          </w:p>
        </w:tc>
        <w:tc>
          <w:tcPr>
            <w:tcW w:w="1710" w:type="dxa"/>
          </w:tcPr>
          <w:p w14:paraId="656A912B" w14:textId="45F0D5CE" w:rsidR="00362C1A" w:rsidRDefault="00DA191E" w:rsidP="00104A5D">
            <w:pPr>
              <w:spacing w:line="276" w:lineRule="auto"/>
            </w:pPr>
            <w:r>
              <w:t xml:space="preserve">~48,700,000 </w:t>
            </w:r>
            <w:r w:rsidR="00362C1A">
              <w:t>(95.1%)</w:t>
            </w:r>
            <w:r w:rsidR="00362C1A">
              <w:rPr>
                <w:rStyle w:val="FootnoteReference"/>
              </w:rPr>
              <w:footnoteReference w:id="11"/>
            </w:r>
          </w:p>
        </w:tc>
        <w:tc>
          <w:tcPr>
            <w:tcW w:w="1800" w:type="dxa"/>
          </w:tcPr>
          <w:p w14:paraId="4450190E" w14:textId="11F498CE" w:rsidR="00362C1A" w:rsidRDefault="00DA191E" w:rsidP="00104A5D">
            <w:pPr>
              <w:spacing w:line="276" w:lineRule="auto"/>
            </w:pPr>
            <w:r>
              <w:t>~376,200,000</w:t>
            </w:r>
          </w:p>
        </w:tc>
      </w:tr>
    </w:tbl>
    <w:p w14:paraId="77750AF9" w14:textId="17DDA2DA" w:rsidR="00395F71" w:rsidRDefault="00395F71" w:rsidP="00104A5D">
      <w:pPr>
        <w:spacing w:after="0" w:line="276" w:lineRule="auto"/>
      </w:pPr>
      <w:r>
        <w:br/>
      </w:r>
      <w:r w:rsidR="00FE412D">
        <w:t xml:space="preserve">This data provides some useful insight </w:t>
      </w:r>
      <w:r w:rsidR="001D42C1">
        <w:t>into</w:t>
      </w:r>
      <w:r w:rsidR="00FE412D">
        <w:t xml:space="preserve"> the prevalence of disability and the need for universal design. While I knew that there is a significant portion of the US population that deals with disability, I did not realize how large that percentage is. </w:t>
      </w:r>
      <w:r w:rsidR="001D42C1">
        <w:t xml:space="preserve">This shows just how important it is to employ the theory of Universal Design </w:t>
      </w:r>
      <w:r w:rsidR="001D42C1" w:rsidRPr="001D42C1">
        <w:t>—</w:t>
      </w:r>
      <w:r w:rsidR="001D42C1">
        <w:t xml:space="preserve"> if one was to show a 28.7% improvement at work, they would be instantly promoted. By using universal design and accommodating for all disabled people, we can get that 28.7% (in the United States) from the start. </w:t>
      </w:r>
    </w:p>
    <w:p w14:paraId="482ED91D" w14:textId="77777777" w:rsidR="001D42C1" w:rsidRDefault="001D42C1" w:rsidP="00104A5D">
      <w:pPr>
        <w:spacing w:after="0" w:line="276" w:lineRule="auto"/>
      </w:pPr>
    </w:p>
    <w:p w14:paraId="1D3B8C11" w14:textId="0C88D0DA" w:rsidR="003061D3" w:rsidRDefault="001D42C1" w:rsidP="00104A5D">
      <w:pPr>
        <w:spacing w:after="0" w:line="276" w:lineRule="auto"/>
      </w:pPr>
      <w:r>
        <w:t>The differences between the data for the United States and South Korea are a mix of surprising and expected. I was previously aware of the differences in technology usage and age demographics between South Korea and the United State</w:t>
      </w:r>
      <w:r w:rsidR="003061D3">
        <w:t>s. The age difference is a result of economic conditions and birth rates, and the technology differences are likely a result of the prevalence of public internet café’s in South Korea. However,</w:t>
      </w:r>
      <w:r>
        <w:t xml:space="preserve"> I find it very surprising how much lower disability is in Korea, especially considering how the Korean population trends older than the US population. This leads me to wonder about the cause of this discrepancy: different definitions of what counts as disability; cultural differences leading fewer Koreans to identify as disabled; a cheaper and more robust healthcare system in South Korea; or some other factor.</w:t>
      </w:r>
    </w:p>
    <w:p w14:paraId="3F917C2E" w14:textId="77777777" w:rsidR="001D42C1" w:rsidRDefault="001D42C1" w:rsidP="00104A5D">
      <w:pPr>
        <w:spacing w:after="0" w:line="276" w:lineRule="auto"/>
      </w:pPr>
    </w:p>
    <w:p w14:paraId="32F26FCC" w14:textId="4C66C3A7" w:rsidR="001D42C1" w:rsidRDefault="003061D3" w:rsidP="00104A5D">
      <w:pPr>
        <w:spacing w:after="0" w:line="276" w:lineRule="auto"/>
      </w:pPr>
      <w:r>
        <w:t xml:space="preserve">Another difference that I found interesting is the difference between the percentage of disabled people who have learning disabilities in the United States and in South Korea. I strongly suspect that this discrepancy is the result of what each country considers a learning disability </w:t>
      </w:r>
      <w:r w:rsidRPr="003061D3">
        <w:t>—</w:t>
      </w:r>
      <w:r>
        <w:t xml:space="preserve"> the South Korean database that I sourced this statistic from describes learning disability as “mental retardation.” While this term is no longer used widely in the United States, it has a connotation of a more significant disability. In contrast, the US statistic uses the term “cognitive disability,” which has a connotation of a much wider range of mental disorders, some of which I know from experience are not considered disability in South Korea (such as ADHD). I personally appreciate this wider view of what counts as disability in the United States, as I have personally benefited from accommodations that serve these relatively “minor” cognitive disabilities.</w:t>
      </w:r>
    </w:p>
    <w:sectPr w:rsidR="001D4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2A6BC" w14:textId="77777777" w:rsidR="00026024" w:rsidRDefault="00026024" w:rsidP="0073196C">
      <w:pPr>
        <w:spacing w:after="0" w:line="240" w:lineRule="auto"/>
      </w:pPr>
      <w:r>
        <w:separator/>
      </w:r>
    </w:p>
  </w:endnote>
  <w:endnote w:type="continuationSeparator" w:id="0">
    <w:p w14:paraId="33E1FE08" w14:textId="77777777" w:rsidR="00026024" w:rsidRDefault="00026024" w:rsidP="0073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ECDD6" w14:textId="77777777" w:rsidR="00026024" w:rsidRDefault="00026024" w:rsidP="0073196C">
      <w:pPr>
        <w:spacing w:after="0" w:line="240" w:lineRule="auto"/>
      </w:pPr>
      <w:r>
        <w:separator/>
      </w:r>
    </w:p>
  </w:footnote>
  <w:footnote w:type="continuationSeparator" w:id="0">
    <w:p w14:paraId="39A43364" w14:textId="77777777" w:rsidR="00026024" w:rsidRDefault="00026024" w:rsidP="0073196C">
      <w:pPr>
        <w:spacing w:after="0" w:line="240" w:lineRule="auto"/>
      </w:pPr>
      <w:r>
        <w:continuationSeparator/>
      </w:r>
    </w:p>
  </w:footnote>
  <w:footnote w:id="1">
    <w:p w14:paraId="12BDADF7" w14:textId="563BF93B" w:rsidR="00362C1A" w:rsidRDefault="00362C1A" w:rsidP="00362C1A">
      <w:pPr>
        <w:pStyle w:val="FootnoteText"/>
      </w:pPr>
      <w:r>
        <w:rPr>
          <w:rStyle w:val="FootnoteReference"/>
        </w:rPr>
        <w:footnoteRef/>
      </w:r>
      <w:r>
        <w:t xml:space="preserve"> </w:t>
      </w:r>
      <w:r w:rsidR="00104A5D">
        <w:t>h</w:t>
      </w:r>
      <w:r w:rsidRPr="004F3162">
        <w:t>ttps://www.census.gov/data-tools/demo/idb/</w:t>
      </w:r>
    </w:p>
  </w:footnote>
  <w:footnote w:id="2">
    <w:p w14:paraId="11C78E1D" w14:textId="77777777" w:rsidR="00362C1A" w:rsidRDefault="00362C1A" w:rsidP="00362C1A">
      <w:pPr>
        <w:pStyle w:val="FootnoteText"/>
      </w:pPr>
      <w:r>
        <w:rPr>
          <w:rStyle w:val="FootnoteReference"/>
        </w:rPr>
        <w:footnoteRef/>
      </w:r>
      <w:r>
        <w:t xml:space="preserve"> </w:t>
      </w:r>
      <w:r w:rsidRPr="00BC6DC8">
        <w:t>https://www.statista.com/topics/2237/internet-usage-in-the-united-states/</w:t>
      </w:r>
    </w:p>
  </w:footnote>
  <w:footnote w:id="3">
    <w:p w14:paraId="2FA3968C" w14:textId="77777777" w:rsidR="00362C1A" w:rsidRDefault="00362C1A" w:rsidP="00362C1A">
      <w:pPr>
        <w:pStyle w:val="FootnoteText"/>
      </w:pPr>
      <w:r>
        <w:rPr>
          <w:rStyle w:val="FootnoteReference"/>
        </w:rPr>
        <w:footnoteRef/>
      </w:r>
      <w:r>
        <w:t xml:space="preserve"> </w:t>
      </w:r>
      <w:r w:rsidRPr="004600E5">
        <w:t>https://www.statista.com/topics/2230/internet-usage-in-south-korea/</w:t>
      </w:r>
    </w:p>
  </w:footnote>
  <w:footnote w:id="4">
    <w:p w14:paraId="38C372D2" w14:textId="1B926077" w:rsidR="00806279" w:rsidRDefault="00806279">
      <w:pPr>
        <w:pStyle w:val="FootnoteText"/>
      </w:pPr>
      <w:r>
        <w:rPr>
          <w:rStyle w:val="FootnoteReference"/>
        </w:rPr>
        <w:footnoteRef/>
      </w:r>
      <w:r>
        <w:t xml:space="preserve"> For all disability splits: </w:t>
      </w:r>
      <w:r w:rsidRPr="00806279">
        <w:t>https://dhds.cdc.gov/LP?CategoryId=DISEST&amp;View=Table</w:t>
      </w:r>
    </w:p>
  </w:footnote>
  <w:footnote w:id="5">
    <w:p w14:paraId="67F16806" w14:textId="55B71B90" w:rsidR="00AD31DD" w:rsidRDefault="00AD31DD">
      <w:pPr>
        <w:pStyle w:val="FootnoteText"/>
      </w:pPr>
      <w:r>
        <w:rPr>
          <w:rStyle w:val="FootnoteReference"/>
        </w:rPr>
        <w:footnoteRef/>
      </w:r>
      <w:r>
        <w:t xml:space="preserve"> For all disability splits: </w:t>
      </w:r>
      <w:r w:rsidRPr="00AD31DD">
        <w:t>https://kosis.kr/statHtml/statHtml.do?orgId=117&amp;tblId=DT_11761_N001&amp;conn_path=I2&amp;language=en</w:t>
      </w:r>
    </w:p>
  </w:footnote>
  <w:footnote w:id="6">
    <w:p w14:paraId="31D3528D" w14:textId="77777777" w:rsidR="00362C1A" w:rsidRDefault="00362C1A" w:rsidP="00362C1A">
      <w:pPr>
        <w:pStyle w:val="FootnoteText"/>
      </w:pPr>
      <w:r>
        <w:rPr>
          <w:rStyle w:val="FootnoteReference"/>
        </w:rPr>
        <w:footnoteRef/>
      </w:r>
      <w:r>
        <w:t xml:space="preserve"> For all age splits: </w:t>
      </w:r>
      <w:r w:rsidRPr="004F3162">
        <w:t>https://www.census.gov/data-tools/demo/idb/</w:t>
      </w:r>
    </w:p>
  </w:footnote>
  <w:footnote w:id="7">
    <w:p w14:paraId="1312AEF6" w14:textId="77777777" w:rsidR="00362C1A" w:rsidRDefault="00362C1A" w:rsidP="00362C1A">
      <w:pPr>
        <w:pStyle w:val="FootnoteText"/>
      </w:pPr>
      <w:r>
        <w:rPr>
          <w:rStyle w:val="FootnoteReference"/>
        </w:rPr>
        <w:footnoteRef/>
      </w:r>
      <w:r>
        <w:t xml:space="preserve"> For all age splits: </w:t>
      </w:r>
      <w:r w:rsidRPr="004F3162">
        <w:t>https://www.census.gov/data-tools/demo/idb/</w:t>
      </w:r>
    </w:p>
  </w:footnote>
  <w:footnote w:id="8">
    <w:p w14:paraId="4ECECEA3" w14:textId="77777777" w:rsidR="00362C1A" w:rsidRDefault="00362C1A" w:rsidP="00362C1A">
      <w:pPr>
        <w:pStyle w:val="FootnoteText"/>
      </w:pPr>
      <w:r>
        <w:rPr>
          <w:rStyle w:val="FootnoteReference"/>
        </w:rPr>
        <w:footnoteRef/>
      </w:r>
      <w:r>
        <w:t xml:space="preserve"> </w:t>
      </w:r>
      <w:r w:rsidRPr="00BC6DC8">
        <w:t>https://www.statista.com/statistics/275591/number-of-mobile-internet-user-in-usa/</w:t>
      </w:r>
    </w:p>
  </w:footnote>
  <w:footnote w:id="9">
    <w:p w14:paraId="0C8CB188" w14:textId="4C2316BE" w:rsidR="00362C1A" w:rsidRDefault="00362C1A">
      <w:pPr>
        <w:pStyle w:val="FootnoteText"/>
      </w:pPr>
      <w:r>
        <w:rPr>
          <w:rStyle w:val="FootnoteReference"/>
        </w:rPr>
        <w:footnoteRef/>
      </w:r>
      <w:r>
        <w:t xml:space="preserve"> </w:t>
      </w:r>
      <w:r w:rsidRPr="00362C1A">
        <w:t>https://www.statista.com/statistics/321408/smartphone-user-penetration-in-south-korea/</w:t>
      </w:r>
    </w:p>
  </w:footnote>
  <w:footnote w:id="10">
    <w:p w14:paraId="16D9A304" w14:textId="77777777" w:rsidR="00362C1A" w:rsidRDefault="00362C1A" w:rsidP="00362C1A">
      <w:pPr>
        <w:pStyle w:val="FootnoteText"/>
      </w:pPr>
      <w:r>
        <w:rPr>
          <w:rStyle w:val="FootnoteReference"/>
        </w:rPr>
        <w:footnoteRef/>
      </w:r>
      <w:r>
        <w:t xml:space="preserve"> </w:t>
      </w:r>
      <w:r w:rsidRPr="00BC6DC8">
        <w:t>https://www.statista.com/statistics/275591/number-of-mobile-internet-user-in-usa/</w:t>
      </w:r>
    </w:p>
  </w:footnote>
  <w:footnote w:id="11">
    <w:p w14:paraId="5A442725" w14:textId="48D65291" w:rsidR="00362C1A" w:rsidRDefault="00362C1A">
      <w:pPr>
        <w:pStyle w:val="FootnoteText"/>
      </w:pPr>
      <w:r>
        <w:rPr>
          <w:rStyle w:val="FootnoteReference"/>
        </w:rPr>
        <w:footnoteRef/>
      </w:r>
      <w:r>
        <w:t xml:space="preserve"> </w:t>
      </w:r>
      <w:r w:rsidRPr="00362C1A">
        <w:t>https://www.statista.com/statistics/321408/smartphone-user-penetration-in-south-korea/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F4"/>
    <w:rsid w:val="00026024"/>
    <w:rsid w:val="00104A5D"/>
    <w:rsid w:val="00165029"/>
    <w:rsid w:val="001D42C1"/>
    <w:rsid w:val="003061D3"/>
    <w:rsid w:val="003218F3"/>
    <w:rsid w:val="00362C1A"/>
    <w:rsid w:val="00395F71"/>
    <w:rsid w:val="00415C9E"/>
    <w:rsid w:val="004600E5"/>
    <w:rsid w:val="004F3162"/>
    <w:rsid w:val="005D7641"/>
    <w:rsid w:val="0073196C"/>
    <w:rsid w:val="00806279"/>
    <w:rsid w:val="008D4DBC"/>
    <w:rsid w:val="009D0396"/>
    <w:rsid w:val="00AD31DD"/>
    <w:rsid w:val="00BC6DC8"/>
    <w:rsid w:val="00BF7999"/>
    <w:rsid w:val="00CC2F6E"/>
    <w:rsid w:val="00DA191E"/>
    <w:rsid w:val="00E559F4"/>
    <w:rsid w:val="00ED1A8A"/>
    <w:rsid w:val="00F3046B"/>
    <w:rsid w:val="00F673B0"/>
    <w:rsid w:val="00FE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46AB"/>
  <w15:chartTrackingRefBased/>
  <w15:docId w15:val="{0E57641F-9EC6-4108-8E4B-DC4F155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F4"/>
    <w:rPr>
      <w:rFonts w:eastAsiaTheme="majorEastAsia" w:cstheme="majorBidi"/>
      <w:color w:val="272727" w:themeColor="text1" w:themeTint="D8"/>
    </w:rPr>
  </w:style>
  <w:style w:type="paragraph" w:styleId="Title">
    <w:name w:val="Title"/>
    <w:basedOn w:val="Normal"/>
    <w:next w:val="Normal"/>
    <w:link w:val="TitleChar"/>
    <w:uiPriority w:val="10"/>
    <w:qFormat/>
    <w:rsid w:val="00E5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F4"/>
    <w:pPr>
      <w:spacing w:before="160"/>
      <w:jc w:val="center"/>
    </w:pPr>
    <w:rPr>
      <w:i/>
      <w:iCs/>
      <w:color w:val="404040" w:themeColor="text1" w:themeTint="BF"/>
    </w:rPr>
  </w:style>
  <w:style w:type="character" w:customStyle="1" w:styleId="QuoteChar">
    <w:name w:val="Quote Char"/>
    <w:basedOn w:val="DefaultParagraphFont"/>
    <w:link w:val="Quote"/>
    <w:uiPriority w:val="29"/>
    <w:rsid w:val="00E559F4"/>
    <w:rPr>
      <w:i/>
      <w:iCs/>
      <w:color w:val="404040" w:themeColor="text1" w:themeTint="BF"/>
    </w:rPr>
  </w:style>
  <w:style w:type="paragraph" w:styleId="ListParagraph">
    <w:name w:val="List Paragraph"/>
    <w:basedOn w:val="Normal"/>
    <w:uiPriority w:val="34"/>
    <w:qFormat/>
    <w:rsid w:val="00E559F4"/>
    <w:pPr>
      <w:ind w:left="720"/>
      <w:contextualSpacing/>
    </w:pPr>
  </w:style>
  <w:style w:type="character" w:styleId="IntenseEmphasis">
    <w:name w:val="Intense Emphasis"/>
    <w:basedOn w:val="DefaultParagraphFont"/>
    <w:uiPriority w:val="21"/>
    <w:qFormat/>
    <w:rsid w:val="00E559F4"/>
    <w:rPr>
      <w:i/>
      <w:iCs/>
      <w:color w:val="0F4761" w:themeColor="accent1" w:themeShade="BF"/>
    </w:rPr>
  </w:style>
  <w:style w:type="paragraph" w:styleId="IntenseQuote">
    <w:name w:val="Intense Quote"/>
    <w:basedOn w:val="Normal"/>
    <w:next w:val="Normal"/>
    <w:link w:val="IntenseQuoteChar"/>
    <w:uiPriority w:val="30"/>
    <w:qFormat/>
    <w:rsid w:val="00E5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9F4"/>
    <w:rPr>
      <w:i/>
      <w:iCs/>
      <w:color w:val="0F4761" w:themeColor="accent1" w:themeShade="BF"/>
    </w:rPr>
  </w:style>
  <w:style w:type="character" w:styleId="IntenseReference">
    <w:name w:val="Intense Reference"/>
    <w:basedOn w:val="DefaultParagraphFont"/>
    <w:uiPriority w:val="32"/>
    <w:qFormat/>
    <w:rsid w:val="00E559F4"/>
    <w:rPr>
      <w:b/>
      <w:bCs/>
      <w:smallCaps/>
      <w:color w:val="0F4761" w:themeColor="accent1" w:themeShade="BF"/>
      <w:spacing w:val="5"/>
    </w:rPr>
  </w:style>
  <w:style w:type="table" w:styleId="TableGrid">
    <w:name w:val="Table Grid"/>
    <w:basedOn w:val="TableNormal"/>
    <w:uiPriority w:val="39"/>
    <w:rsid w:val="0073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19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96C"/>
    <w:rPr>
      <w:sz w:val="20"/>
      <w:szCs w:val="20"/>
    </w:rPr>
  </w:style>
  <w:style w:type="character" w:styleId="FootnoteReference">
    <w:name w:val="footnote reference"/>
    <w:basedOn w:val="DefaultParagraphFont"/>
    <w:uiPriority w:val="99"/>
    <w:semiHidden/>
    <w:unhideWhenUsed/>
    <w:rsid w:val="007319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0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Harrison</dc:creator>
  <cp:keywords/>
  <dc:description/>
  <cp:lastModifiedBy>Chase Harrison</cp:lastModifiedBy>
  <cp:revision>13</cp:revision>
  <dcterms:created xsi:type="dcterms:W3CDTF">2025-02-22T00:38:00Z</dcterms:created>
  <dcterms:modified xsi:type="dcterms:W3CDTF">2025-02-22T02:19:00Z</dcterms:modified>
</cp:coreProperties>
</file>