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AGREEMENT</w:t>
      </w:r>
    </w:p>
    <w:p>
      <w:r>
        <w:rPr>
          <w:b/>
        </w:rPr>
        <w:t xml:space="preserve">This Service Agreement ("Agreement") is made on 4 May 2026 between </w:t>
      </w:r>
      <w:r>
        <w:rPr>
          <w:i/>
        </w:rPr>
        <w:t>BlockFusion Tech Private Limited, Hyderabad, India ("Service Provider")</w:t>
      </w:r>
      <w:r>
        <w:rPr>
          <w:b/>
        </w:rPr>
        <w:t xml:space="preserve"> and </w:t>
      </w:r>
      <w:r>
        <w:rPr>
          <w:i/>
        </w:rPr>
        <w:t>Metha Technologies FZCO, Dubai, United Arab Emirates ("Client")</w:t>
      </w:r>
      <w:r>
        <w:rPr>
          <w:b/>
        </w:rPr>
        <w:t>.</w:t>
      </w:r>
    </w:p>
    <w:p>
      <w:pPr>
        <w:pStyle w:val="Heading2"/>
      </w:pPr>
      <w:r>
        <w:t>1. Scope of Services</w:t>
      </w:r>
    </w:p>
    <w:p>
      <w:r>
        <w:t>The Service Provider agrees to provide IT consulting and technology services to the Client, including blockchain advisory, development support, technical consulting, and related professional services as agreed in writing by the parties.</w:t>
      </w:r>
    </w:p>
    <w:p>
      <w:pPr>
        <w:pStyle w:val="Heading2"/>
      </w:pPr>
      <w:r>
        <w:t>2. Term</w:t>
      </w:r>
    </w:p>
    <w:p>
      <w:r>
        <w:t>The term of this Agreement commences on 26 April 2026 and continues until the completion of the services or termination by either party in accordance with this Agreement.</w:t>
      </w:r>
    </w:p>
    <w:p>
      <w:pPr>
        <w:pStyle w:val="Heading2"/>
      </w:pPr>
      <w:r>
        <w:t>3. Fees and Payment</w:t>
      </w:r>
    </w:p>
    <w:p>
      <w:r>
        <w:t>The Client shall pay the Service Provider the fees set forth in the Invoice BF-INV-0426-001. Payment terms are Net 15 days from the invoice date. All payments shall be made in AED by bank transfer to the Service Provider’s nominated bank account unless otherwise agreed in writing.</w:t>
      </w:r>
    </w:p>
    <w:p>
      <w:pPr>
        <w:pStyle w:val="Heading2"/>
      </w:pPr>
      <w:r>
        <w:t>4. Change Requests</w:t>
      </w:r>
    </w:p>
    <w:p>
      <w:r>
        <w:t>Any changes to the scope, schedule, or deliverables must be documented in a written change order agreed by both parties.</w:t>
      </w:r>
    </w:p>
    <w:p>
      <w:pPr>
        <w:pStyle w:val="Heading2"/>
      </w:pPr>
      <w:r>
        <w:t>5. Taxes and Duties</w:t>
      </w:r>
    </w:p>
    <w:p>
      <w:r>
        <w:t>The parties agree that export of services to the Client in the UAE is exempt from Indian GST under applicable laws. The Client is responsible for any taxes or duties imposed by its local jurisdiction.</w:t>
      </w:r>
    </w:p>
    <w:p>
      <w:pPr>
        <w:pStyle w:val="Heading2"/>
      </w:pPr>
      <w:r>
        <w:t>6. Confidentiality</w:t>
      </w:r>
    </w:p>
    <w:p>
      <w:r>
        <w:t>Each party shall maintain the confidentiality of confidential information received from the other party and shall not disclose it to any third party except as required by law or with the prior written consent of the disclosing party.</w:t>
      </w:r>
    </w:p>
    <w:p>
      <w:pPr>
        <w:pStyle w:val="Heading2"/>
      </w:pPr>
      <w:r>
        <w:t>7. Intellectual Property</w:t>
      </w:r>
    </w:p>
    <w:p>
      <w:r>
        <w:t>All intellectual property developed by the Service Provider under this Agreement shall be owned by the Service Provider unless otherwise agreed in writing. The Service Provider grants the Client a non-exclusive license to use deliverables for its business purposes.</w:t>
      </w:r>
    </w:p>
    <w:p>
      <w:pPr>
        <w:pStyle w:val="Heading2"/>
      </w:pPr>
      <w:r>
        <w:t>8. Warranties and Disclaimers</w:t>
      </w:r>
    </w:p>
    <w:p>
      <w:r>
        <w:t>The Service Provider warrants that the services will be performed in a professional manner. Except as expressly provided in this Agreement, all other warranties are excluded to the maximum extent permitted by law.</w:t>
      </w:r>
    </w:p>
    <w:p>
      <w:pPr>
        <w:pStyle w:val="Heading2"/>
      </w:pPr>
      <w:r>
        <w:t>9. Limitation of Liability</w:t>
      </w:r>
    </w:p>
    <w:p>
      <w:r>
        <w:t>Neither party shall be liable for indirect, incidental, special, or consequential damages. The aggregate liability of either party shall be limited to the fees paid under this Agreement for the services giving rise to the claim.</w:t>
      </w:r>
    </w:p>
    <w:p>
      <w:pPr>
        <w:pStyle w:val="Heading2"/>
      </w:pPr>
      <w:r>
        <w:t>10. Termination</w:t>
      </w:r>
    </w:p>
    <w:p>
      <w:r>
        <w:t>Either party may terminate this Agreement for material breach if the breach is not cured within 30 days of written notice. The Client shall pay for all services performed and expenses incurred through the date of termination.</w:t>
      </w:r>
    </w:p>
    <w:p>
      <w:pPr>
        <w:pStyle w:val="Heading2"/>
      </w:pPr>
      <w:r>
        <w:t>11. Governing Law</w:t>
      </w:r>
    </w:p>
    <w:p>
      <w:r>
        <w:t>This Agreement shall be governed by and construed in accordance with the laws of India. Any dispute arising out of or in connection with this Agreement shall be resolved through good faith negotiations between the parties.</w:t>
      </w:r>
    </w:p>
    <w:p>
      <w:pPr>
        <w:pStyle w:val="Heading2"/>
      </w:pPr>
      <w:r>
        <w:t>12. Notices</w:t>
      </w:r>
    </w:p>
    <w:p>
      <w:r>
        <w:t>Notices shall be in writing and delivered by email, courier, or registered post to the addresses set out in this Agreement or to such other address as either party may notify in writing.</w:t>
      </w:r>
    </w:p>
    <w:p>
      <w:pPr>
        <w:pStyle w:val="Heading2"/>
      </w:pPr>
      <w:r>
        <w:t>13. Entire Agreement</w:t>
      </w:r>
    </w:p>
    <w:p>
      <w:r>
        <w:t>This Agreement constitutes the entire agreement between the parties with respect to its subject matter and supersedes all prior agreements, proposals, and communications, whether written or oral.</w:t>
      </w:r>
    </w:p>
    <w:p>
      <w:pPr>
        <w:pStyle w:val="Heading2"/>
      </w:pPr>
      <w:r>
        <w:t>14. Counterparts</w:t>
      </w:r>
    </w:p>
    <w:p>
      <w:r>
        <w:t>This Agreement may be executed in counterparts, each of which shall be deemed an original and all of which together shall constitute one instrument.</w:t>
      </w:r>
    </w:p>
    <w:p>
      <w:pPr>
        <w:pStyle w:val="Heading2"/>
      </w:pPr>
      <w:r>
        <w:t>IN WITNESS WHEREOF</w:t>
      </w:r>
    </w:p>
    <w:tbl>
      <w:tblPr>
        <w:tblW w:type="auto" w:w="0"/>
        <w:tblLook w:firstColumn="1" w:firstRow="1" w:lastColumn="0" w:lastRow="0" w:noHBand="0" w:noVBand="1" w:val="04A0"/>
      </w:tblPr>
      <w:tblGrid>
        <w:gridCol w:w="4320"/>
        <w:gridCol w:w="4320"/>
      </w:tblGrid>
      <w:tr>
        <w:tc>
          <w:tcPr>
            <w:tcW w:type="dxa" w:w="4320"/>
          </w:tcPr>
          <w:p>
            <w:r>
              <w:rPr>
                <w:b/>
              </w:rPr>
              <w:t>For BlockFusion Tech Private Limited</w:t>
            </w:r>
          </w:p>
        </w:tc>
        <w:tc>
          <w:tcPr>
            <w:tcW w:type="dxa" w:w="4320"/>
          </w:tcPr>
          <w:p>
            <w:r>
              <w:rPr>
                <w:b/>
              </w:rPr>
              <w:t>For Metha Technologies FZCO</w:t>
            </w:r>
          </w:p>
        </w:tc>
      </w:tr>
      <w:tr>
        <w:tc>
          <w:tcPr>
            <w:tcW w:type="dxa" w:w="4320"/>
          </w:tcPr>
          <w:p>
            <w:r>
              <w:rPr>
                <w:b w:val="0"/>
              </w:rPr>
              <w:br/>
              <w:br/>
              <w:t>__________________________</w:t>
              <w:br/>
              <w:t>Authorized Signatory</w:t>
            </w:r>
          </w:p>
        </w:tc>
        <w:tc>
          <w:tcPr>
            <w:tcW w:type="dxa" w:w="4320"/>
          </w:tcPr>
          <w:p>
            <w:r>
              <w:rPr>
                <w:b w:val="0"/>
              </w:rPr>
              <w:br/>
              <w:br/>
              <w:t>__________________________</w:t>
              <w:br/>
              <w:t>Authorized Signatory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