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F3864"/>
          <w:sz w:val="36"/>
          <w:szCs w:val="36"/>
        </w:rPr>
        <w:t xml:space="preserve">Software Requirements Specification (SRS)</w:t>
      </w:r>
    </w:p>
    <w:p>
      <w:pPr>
        <w:spacing w:after="60"/>
        <w:jc w:val="center"/>
      </w:pPr>
      <w:r>
        <w:rPr>
          <w:rFonts w:ascii="Calibri" w:cs="Calibri" w:eastAsia="Calibri" w:hAnsi="Calibri"/>
          <w:b/>
          <w:bCs/>
          <w:color w:val="222222"/>
          <w:sz w:val="24"/>
          <w:szCs w:val="24"/>
        </w:rPr>
        <w:t xml:space="preserve">Immunization Coverage and Maternal Health Trends:</w:t>
      </w:r>
    </w:p>
    <w:p>
      <w:pPr>
        <w:spacing w:after="300"/>
        <w:jc w:val="center"/>
      </w:pPr>
      <w:r>
        <w:rPr>
          <w:rFonts w:ascii="Calibri" w:cs="Calibri" w:eastAsia="Calibri" w:hAnsi="Calibri"/>
          <w:b/>
          <w:bCs/>
          <w:color w:val="222222"/>
          <w:sz w:val="24"/>
          <w:szCs w:val="24"/>
        </w:rPr>
        <w:t xml:space="preserve">A Sub-District Level Data Analysis</w:t>
      </w:r>
    </w:p>
    <w:p>
      <w:pPr>
        <w:spacing w:after="60"/>
        <w:jc w:val="center"/>
      </w:pPr>
      <w:r>
        <w:rPr>
          <w:rFonts w:ascii="Calibri" w:cs="Calibri" w:eastAsia="Calibri" w:hAnsi="Calibri"/>
          <w:color w:val="555555"/>
          <w:sz w:val="20"/>
          <w:szCs w:val="20"/>
        </w:rPr>
        <w:t xml:space="preserve">Version 1.0</w:t>
      </w:r>
    </w:p>
    <w:p>
      <w:pPr>
        <w:spacing w:after="400"/>
        <w:jc w:val="center"/>
      </w:pPr>
      <w:r>
        <w:rPr>
          <w:rFonts w:ascii="Calibri" w:cs="Calibri" w:eastAsia="Calibri" w:hAnsi="Calibri"/>
          <w:color w:val="555555"/>
          <w:sz w:val="20"/>
          <w:szCs w:val="20"/>
        </w:rPr>
        <w:t xml:space="preserve">7 October 2026</w:t>
      </w:r>
    </w:p>
    <w:p>
      <w:pPr>
        <w:pStyle w:val="Heading1"/>
        <w:pBdr>
          <w:bottom w:val="single" w:color="1F3864" w:sz="6" w:space="2"/>
        </w:pBdr>
        <w:spacing w:after="140" w:before="320"/>
      </w:pPr>
      <w:r>
        <w:rPr>
          <w:rFonts w:ascii="Calibri" w:cs="Calibri" w:eastAsia="Calibri" w:hAnsi="Calibri"/>
          <w:b/>
          <w:bCs/>
          <w:color w:val="1F3864"/>
          <w:sz w:val="28"/>
          <w:szCs w:val="28"/>
        </w:rPr>
        <w:t xml:space="preserve">1. Introduction</w:t>
      </w:r>
    </w:p>
    <w:p>
      <w:pPr>
        <w:pStyle w:val="Heading2"/>
        <w:spacing w:after="100" w:before="220"/>
      </w:pPr>
      <w:r>
        <w:rPr>
          <w:rFonts w:ascii="Calibri" w:cs="Calibri" w:eastAsia="Calibri" w:hAnsi="Calibri"/>
          <w:b/>
          <w:bCs/>
          <w:color w:val="1F3864"/>
          <w:sz w:val="23"/>
          <w:szCs w:val="23"/>
        </w:rPr>
        <w:t xml:space="preserve">1.1 Purpose</w:t>
      </w:r>
    </w:p>
    <w:p>
      <w:pPr>
        <w:spacing w:after="140" w:line="276"/>
      </w:pPr>
      <w:r>
        <w:rPr>
          <w:rFonts w:ascii="Calibri" w:cs="Calibri" w:eastAsia="Calibri" w:hAnsi="Calibri"/>
          <w:i w:val="false"/>
          <w:iCs w:val="false"/>
          <w:color w:val="222222"/>
          <w:sz w:val="21"/>
          <w:szCs w:val="21"/>
        </w:rPr>
        <w:t xml:space="preserve">This Software Requirements Specification (SRS) defines the functional and non-functional requirements for a Python-based data analysis project titled "Immunization Coverage and Maternal Health Trends: A Sub-District Level Data Analysis." The purpose of this document is to clearly describe what the project will do, the data it will process, and the outputs it is expected to produce, providing a reference for development, evaluation, and future extension of the project.</w:t>
      </w:r>
    </w:p>
    <w:p>
      <w:pPr>
        <w:pStyle w:val="Heading2"/>
        <w:spacing w:after="100" w:before="220"/>
      </w:pPr>
      <w:r>
        <w:rPr>
          <w:rFonts w:ascii="Calibri" w:cs="Calibri" w:eastAsia="Calibri" w:hAnsi="Calibri"/>
          <w:b/>
          <w:bCs/>
          <w:color w:val="1F3864"/>
          <w:sz w:val="23"/>
          <w:szCs w:val="23"/>
        </w:rPr>
        <w:t xml:space="preserve">1.2 Scope</w:t>
      </w:r>
    </w:p>
    <w:p>
      <w:pPr>
        <w:spacing w:after="140" w:line="276"/>
      </w:pPr>
      <w:r>
        <w:rPr>
          <w:rFonts w:ascii="Calibri" w:cs="Calibri" w:eastAsia="Calibri" w:hAnsi="Calibri"/>
          <w:i w:val="false"/>
          <w:iCs w:val="false"/>
          <w:color w:val="222222"/>
          <w:sz w:val="21"/>
          <w:szCs w:val="21"/>
        </w:rPr>
        <w:t xml:space="preserve">The project analyses publicly reported sub-district level health indicator data (modelled on India's Health Management Information System, HMIS) to study patterns in child immunization coverage and maternal health service delivery. The system will import, clean, explore, and visualize this data using Python libraries (Pandas, NumPy, Matplotlib, Seaborn, and Plotly), and will produce a set of statistical summaries, visualizations, and written insights. The project is an analytical/reporting tool; it does not include real-time data collection, patient-level case management, or any clinical decision-making functionality.</w:t>
      </w:r>
    </w:p>
    <w:p>
      <w:pPr>
        <w:pStyle w:val="Heading2"/>
        <w:spacing w:after="100" w:before="220"/>
      </w:pPr>
      <w:r>
        <w:rPr>
          <w:rFonts w:ascii="Calibri" w:cs="Calibri" w:eastAsia="Calibri" w:hAnsi="Calibri"/>
          <w:b/>
          <w:bCs/>
          <w:color w:val="1F3864"/>
          <w:sz w:val="23"/>
          <w:szCs w:val="23"/>
        </w:rPr>
        <w:t xml:space="preserve">1.3 Definitions, Acronyms and Abbreviations</w:t>
      </w:r>
    </w:p>
    <w:p>
      <w:pPr>
        <w:pStyle w:val="ListParagraph"/>
        <w:numPr>
          <w:ilvl w:val="0"/>
          <w:numId w:val="2"/>
        </w:numPr>
        <w:spacing w:after="60" w:line="264"/>
      </w:pPr>
      <w:r>
        <w:rPr>
          <w:rFonts w:ascii="Calibri" w:cs="Calibri" w:eastAsia="Calibri" w:hAnsi="Calibri"/>
          <w:color w:val="222222"/>
          <w:sz w:val="21"/>
          <w:szCs w:val="21"/>
        </w:rPr>
        <w:t xml:space="preserve">HMIS - Health Management Information System</w:t>
      </w:r>
    </w:p>
    <w:p>
      <w:pPr>
        <w:pStyle w:val="ListParagraph"/>
        <w:numPr>
          <w:ilvl w:val="0"/>
          <w:numId w:val="2"/>
        </w:numPr>
        <w:spacing w:after="60" w:line="264"/>
      </w:pPr>
      <w:r>
        <w:rPr>
          <w:rFonts w:ascii="Calibri" w:cs="Calibri" w:eastAsia="Calibri" w:hAnsi="Calibri"/>
          <w:color w:val="222222"/>
          <w:sz w:val="21"/>
          <w:szCs w:val="21"/>
        </w:rPr>
        <w:t xml:space="preserve">ANC - Antenatal Care</w:t>
      </w:r>
    </w:p>
    <w:p>
      <w:pPr>
        <w:pStyle w:val="ListParagraph"/>
        <w:numPr>
          <w:ilvl w:val="0"/>
          <w:numId w:val="2"/>
        </w:numPr>
        <w:spacing w:after="60" w:line="264"/>
      </w:pPr>
      <w:r>
        <w:rPr>
          <w:rFonts w:ascii="Calibri" w:cs="Calibri" w:eastAsia="Calibri" w:hAnsi="Calibri"/>
          <w:color w:val="222222"/>
          <w:sz w:val="21"/>
          <w:szCs w:val="21"/>
        </w:rPr>
        <w:t xml:space="preserve">OPD - Outpatient Department</w:t>
      </w:r>
    </w:p>
    <w:p>
      <w:pPr>
        <w:pStyle w:val="ListParagraph"/>
        <w:numPr>
          <w:ilvl w:val="0"/>
          <w:numId w:val="2"/>
        </w:numPr>
        <w:spacing w:after="60" w:line="264"/>
      </w:pPr>
      <w:r>
        <w:rPr>
          <w:rFonts w:ascii="Calibri" w:cs="Calibri" w:eastAsia="Calibri" w:hAnsi="Calibri"/>
          <w:color w:val="222222"/>
          <w:sz w:val="21"/>
          <w:szCs w:val="21"/>
        </w:rPr>
        <w:t xml:space="preserve">BCG/DPT/OPV/IPV - Standard childhood vaccine abbreviations (Bacillus Calmette-Guerin, Diphtheria-Pertussis-Tetanus, Oral Polio Vaccine, Inactivated Polio Vaccine)</w:t>
      </w:r>
    </w:p>
    <w:p>
      <w:pPr>
        <w:pStyle w:val="ListParagraph"/>
        <w:numPr>
          <w:ilvl w:val="0"/>
          <w:numId w:val="2"/>
        </w:numPr>
        <w:spacing w:after="60" w:line="264"/>
      </w:pPr>
      <w:r>
        <w:rPr>
          <w:rFonts w:ascii="Calibri" w:cs="Calibri" w:eastAsia="Calibri" w:hAnsi="Calibri"/>
          <w:color w:val="222222"/>
          <w:sz w:val="21"/>
          <w:szCs w:val="21"/>
        </w:rPr>
        <w:t xml:space="preserve">EDA - Exploratory Data Analysis</w:t>
      </w:r>
    </w:p>
    <w:p>
      <w:pPr>
        <w:pStyle w:val="ListParagraph"/>
        <w:numPr>
          <w:ilvl w:val="0"/>
          <w:numId w:val="2"/>
        </w:numPr>
        <w:spacing w:after="60" w:line="264"/>
      </w:pPr>
      <w:r>
        <w:rPr>
          <w:rFonts w:ascii="Calibri" w:cs="Calibri" w:eastAsia="Calibri" w:hAnsi="Calibri"/>
          <w:color w:val="222222"/>
          <w:sz w:val="21"/>
          <w:szCs w:val="21"/>
        </w:rPr>
        <w:t xml:space="preserve">CSV - Comma-Separated Values</w:t>
      </w:r>
    </w:p>
    <w:p>
      <w:pPr>
        <w:pStyle w:val="Heading2"/>
        <w:spacing w:after="100" w:before="220"/>
      </w:pPr>
      <w:r>
        <w:rPr>
          <w:rFonts w:ascii="Calibri" w:cs="Calibri" w:eastAsia="Calibri" w:hAnsi="Calibri"/>
          <w:b/>
          <w:bCs/>
          <w:color w:val="1F3864"/>
          <w:sz w:val="23"/>
          <w:szCs w:val="23"/>
        </w:rPr>
        <w:t xml:space="preserve">1.4 References</w:t>
      </w:r>
    </w:p>
    <w:p>
      <w:pPr>
        <w:pStyle w:val="ListParagraph"/>
        <w:numPr>
          <w:ilvl w:val="0"/>
          <w:numId w:val="2"/>
        </w:numPr>
        <w:spacing w:after="60" w:line="264"/>
      </w:pPr>
      <w:r>
        <w:rPr>
          <w:rFonts w:ascii="Calibri" w:cs="Calibri" w:eastAsia="Calibri" w:hAnsi="Calibri"/>
          <w:color w:val="222222"/>
          <w:sz w:val="21"/>
          <w:szCs w:val="21"/>
        </w:rPr>
        <w:t xml:space="preserve">Dataset: Major_Health_Indicators_Sub-district_Level_Sample_Data.csv (500 records, 311 indicator columns)</w:t>
      </w:r>
    </w:p>
    <w:p>
      <w:pPr>
        <w:pStyle w:val="ListParagraph"/>
        <w:numPr>
          <w:ilvl w:val="0"/>
          <w:numId w:val="2"/>
        </w:numPr>
        <w:spacing w:after="60" w:line="264"/>
      </w:pPr>
      <w:r>
        <w:rPr>
          <w:rFonts w:ascii="Calibri" w:cs="Calibri" w:eastAsia="Calibri" w:hAnsi="Calibri"/>
          <w:color w:val="222222"/>
          <w:sz w:val="21"/>
          <w:szCs w:val="21"/>
        </w:rPr>
        <w:t xml:space="preserve">Python libraries: Pandas, NumPy, Matplotlib, Seaborn, Plotly</w:t>
      </w:r>
    </w:p>
    <w:p>
      <w:pPr>
        <w:pStyle w:val="Heading2"/>
        <w:spacing w:after="100" w:before="220"/>
      </w:pPr>
      <w:r>
        <w:rPr>
          <w:rFonts w:ascii="Calibri" w:cs="Calibri" w:eastAsia="Calibri" w:hAnsi="Calibri"/>
          <w:b/>
          <w:bCs/>
          <w:color w:val="1F3864"/>
          <w:sz w:val="23"/>
          <w:szCs w:val="23"/>
        </w:rPr>
        <w:t xml:space="preserve">1.5 Overview</w:t>
      </w:r>
    </w:p>
    <w:p>
      <w:pPr>
        <w:spacing w:after="140" w:line="276"/>
      </w:pPr>
      <w:r>
        <w:rPr>
          <w:rFonts w:ascii="Calibri" w:cs="Calibri" w:eastAsia="Calibri" w:hAnsi="Calibri"/>
          <w:i w:val="false"/>
          <w:iCs w:val="false"/>
          <w:color w:val="222222"/>
          <w:sz w:val="21"/>
          <w:szCs w:val="21"/>
        </w:rPr>
        <w:t xml:space="preserve">The remainder of this document describes the overall project context (Section 2), detailed functional and non-functional requirements (Sections 3 and 4), and other supporting requirements including tools and data considerations (Section 5).</w:t>
      </w:r>
    </w:p>
    <w:p>
      <w:pPr>
        <w:pStyle w:val="Heading1"/>
        <w:pBdr>
          <w:bottom w:val="single" w:color="1F3864" w:sz="6" w:space="2"/>
        </w:pBdr>
        <w:spacing w:after="140" w:before="320"/>
      </w:pPr>
      <w:r>
        <w:rPr>
          <w:rFonts w:ascii="Calibri" w:cs="Calibri" w:eastAsia="Calibri" w:hAnsi="Calibri"/>
          <w:b/>
          <w:bCs/>
          <w:color w:val="1F3864"/>
          <w:sz w:val="28"/>
          <w:szCs w:val="28"/>
        </w:rPr>
        <w:t xml:space="preserve">2. Overall Description</w:t>
      </w:r>
    </w:p>
    <w:p>
      <w:pPr>
        <w:pStyle w:val="Heading2"/>
        <w:spacing w:after="100" w:before="220"/>
      </w:pPr>
      <w:r>
        <w:rPr>
          <w:rFonts w:ascii="Calibri" w:cs="Calibri" w:eastAsia="Calibri" w:hAnsi="Calibri"/>
          <w:b/>
          <w:bCs/>
          <w:color w:val="1F3864"/>
          <w:sz w:val="23"/>
          <w:szCs w:val="23"/>
        </w:rPr>
        <w:t xml:space="preserve">2.1 Project Perspective</w:t>
      </w:r>
    </w:p>
    <w:p>
      <w:pPr>
        <w:spacing w:after="140" w:line="276"/>
      </w:pPr>
      <w:r>
        <w:rPr>
          <w:rFonts w:ascii="Calibri" w:cs="Calibri" w:eastAsia="Calibri" w:hAnsi="Calibri"/>
          <w:i w:val="false"/>
          <w:iCs w:val="false"/>
          <w:color w:val="222222"/>
          <w:sz w:val="21"/>
          <w:szCs w:val="21"/>
        </w:rPr>
        <w:t xml:space="preserve">This is a standalone data analysis project, implemented as a Python script or Jupyter/Colab notebook. It consumes a single structured CSV file as input and produces statistical summaries, charts, and a written insights report as output. It does not depend on external APIs, databases, or live systems.</w:t>
      </w:r>
    </w:p>
    <w:p>
      <w:pPr>
        <w:pStyle w:val="Heading2"/>
        <w:spacing w:after="100" w:before="220"/>
      </w:pPr>
      <w:r>
        <w:rPr>
          <w:rFonts w:ascii="Calibri" w:cs="Calibri" w:eastAsia="Calibri" w:hAnsi="Calibri"/>
          <w:b/>
          <w:bCs/>
          <w:color w:val="1F3864"/>
          <w:sz w:val="23"/>
          <w:szCs w:val="23"/>
        </w:rPr>
        <w:t xml:space="preserve">2.2 Project Functions</w:t>
      </w:r>
    </w:p>
    <w:p>
      <w:pPr>
        <w:spacing w:after="140" w:line="276"/>
      </w:pPr>
      <w:r>
        <w:rPr>
          <w:rFonts w:ascii="Calibri" w:cs="Calibri" w:eastAsia="Calibri" w:hAnsi="Calibri"/>
          <w:i w:val="false"/>
          <w:iCs w:val="false"/>
          <w:color w:val="222222"/>
          <w:sz w:val="21"/>
          <w:szCs w:val="21"/>
        </w:rPr>
        <w:t xml:space="preserve">At a high level, the project will:</w:t>
      </w:r>
    </w:p>
    <w:p>
      <w:pPr>
        <w:pStyle w:val="ListParagraph"/>
        <w:numPr>
          <w:ilvl w:val="0"/>
          <w:numId w:val="3"/>
        </w:numPr>
        <w:spacing w:after="60" w:line="264"/>
      </w:pPr>
      <w:r>
        <w:rPr>
          <w:rFonts w:ascii="Calibri" w:cs="Calibri" w:eastAsia="Calibri" w:hAnsi="Calibri"/>
          <w:color w:val="222222"/>
          <w:sz w:val="21"/>
          <w:szCs w:val="21"/>
        </w:rPr>
        <w:t xml:space="preserve">Import the raw sub-district level CSV data into a Pandas DataFrame.</w:t>
      </w:r>
    </w:p>
    <w:p>
      <w:pPr>
        <w:pStyle w:val="ListParagraph"/>
        <w:numPr>
          <w:ilvl w:val="0"/>
          <w:numId w:val="3"/>
        </w:numPr>
        <w:spacing w:after="60" w:line="264"/>
      </w:pPr>
      <w:r>
        <w:rPr>
          <w:rFonts w:ascii="Calibri" w:cs="Calibri" w:eastAsia="Calibri" w:hAnsi="Calibri"/>
          <w:color w:val="222222"/>
          <w:sz w:val="21"/>
          <w:szCs w:val="21"/>
        </w:rPr>
        <w:t xml:space="preserve">Clean the data: handle missing values, remove duplicates, correct data types, and standardize categorical labels.</w:t>
      </w:r>
    </w:p>
    <w:p>
      <w:pPr>
        <w:pStyle w:val="ListParagraph"/>
        <w:numPr>
          <w:ilvl w:val="0"/>
          <w:numId w:val="3"/>
        </w:numPr>
        <w:spacing w:after="60" w:line="264"/>
      </w:pPr>
      <w:r>
        <w:rPr>
          <w:rFonts w:ascii="Calibri" w:cs="Calibri" w:eastAsia="Calibri" w:hAnsi="Calibri"/>
          <w:color w:val="222222"/>
          <w:sz w:val="21"/>
          <w:szCs w:val="21"/>
        </w:rPr>
        <w:t xml:space="preserve">Explore the data: summary statistics, distributions, and categorical breakdowns.</w:t>
      </w:r>
    </w:p>
    <w:p>
      <w:pPr>
        <w:pStyle w:val="ListParagraph"/>
        <w:numPr>
          <w:ilvl w:val="0"/>
          <w:numId w:val="3"/>
        </w:numPr>
        <w:spacing w:after="60" w:line="264"/>
      </w:pPr>
      <w:r>
        <w:rPr>
          <w:rFonts w:ascii="Calibri" w:cs="Calibri" w:eastAsia="Calibri" w:hAnsi="Calibri"/>
          <w:color w:val="222222"/>
          <w:sz w:val="21"/>
          <w:szCs w:val="21"/>
        </w:rPr>
        <w:t xml:space="preserve">Wrangle the data: construct derived fields and grouped summaries relevant to immunization coverage and maternal health.</w:t>
      </w:r>
    </w:p>
    <w:p>
      <w:pPr>
        <w:pStyle w:val="ListParagraph"/>
        <w:numPr>
          <w:ilvl w:val="0"/>
          <w:numId w:val="3"/>
        </w:numPr>
        <w:spacing w:after="60" w:line="264"/>
      </w:pPr>
      <w:r>
        <w:rPr>
          <w:rFonts w:ascii="Calibri" w:cs="Calibri" w:eastAsia="Calibri" w:hAnsi="Calibri"/>
          <w:color w:val="222222"/>
          <w:sz w:val="21"/>
          <w:szCs w:val="21"/>
        </w:rPr>
        <w:t xml:space="preserve">Perform statistical analysis on key indicators (mean, median, variance, percentiles, correlation).</w:t>
      </w:r>
    </w:p>
    <w:p>
      <w:pPr>
        <w:pStyle w:val="ListParagraph"/>
        <w:numPr>
          <w:ilvl w:val="0"/>
          <w:numId w:val="3"/>
        </w:numPr>
        <w:spacing w:after="60" w:line="264"/>
      </w:pPr>
      <w:r>
        <w:rPr>
          <w:rFonts w:ascii="Calibri" w:cs="Calibri" w:eastAsia="Calibri" w:hAnsi="Calibri"/>
          <w:color w:val="222222"/>
          <w:sz w:val="21"/>
          <w:szCs w:val="21"/>
        </w:rPr>
        <w:t xml:space="preserve">Visualize findings using Matplotlib, Seaborn, and Plotly.</w:t>
      </w:r>
    </w:p>
    <w:p>
      <w:pPr>
        <w:pStyle w:val="ListParagraph"/>
        <w:numPr>
          <w:ilvl w:val="0"/>
          <w:numId w:val="3"/>
        </w:numPr>
        <w:spacing w:after="60" w:line="264"/>
      </w:pPr>
      <w:r>
        <w:rPr>
          <w:rFonts w:ascii="Calibri" w:cs="Calibri" w:eastAsia="Calibri" w:hAnsi="Calibri"/>
          <w:color w:val="222222"/>
          <w:sz w:val="21"/>
          <w:szCs w:val="21"/>
        </w:rPr>
        <w:t xml:space="preserve">Summarize key insights on immunization coverage and maternal health trends across states, districts, and sectors.</w:t>
      </w:r>
    </w:p>
    <w:p>
      <w:pPr>
        <w:pStyle w:val="Heading2"/>
        <w:spacing w:after="100" w:before="220"/>
      </w:pPr>
      <w:r>
        <w:rPr>
          <w:rFonts w:ascii="Calibri" w:cs="Calibri" w:eastAsia="Calibri" w:hAnsi="Calibri"/>
          <w:b/>
          <w:bCs/>
          <w:color w:val="1F3864"/>
          <w:sz w:val="23"/>
          <w:szCs w:val="23"/>
        </w:rPr>
        <w:t xml:space="preserve">2.3 User Characteristics</w:t>
      </w:r>
    </w:p>
    <w:p>
      <w:pPr>
        <w:spacing w:after="140" w:line="276"/>
      </w:pPr>
      <w:r>
        <w:rPr>
          <w:rFonts w:ascii="Calibri" w:cs="Calibri" w:eastAsia="Calibri" w:hAnsi="Calibri"/>
          <w:i w:val="false"/>
          <w:iCs w:val="false"/>
          <w:color w:val="222222"/>
          <w:sz w:val="21"/>
          <w:szCs w:val="21"/>
        </w:rPr>
        <w:t xml:space="preserve">The primary user is the project author/analyst (student or researcher) working in a Python/Jupyter environment such as Google Colab. The user is assumed to have basic Python and data analysis familiarity. A secondary audience is an evaluator or reader reviewing the resulting notebook and its visual/statistical outputs.</w:t>
      </w:r>
    </w:p>
    <w:p>
      <w:pPr>
        <w:pStyle w:val="Heading2"/>
        <w:spacing w:after="100" w:before="220"/>
      </w:pPr>
      <w:r>
        <w:rPr>
          <w:rFonts w:ascii="Calibri" w:cs="Calibri" w:eastAsia="Calibri" w:hAnsi="Calibri"/>
          <w:b/>
          <w:bCs/>
          <w:color w:val="1F3864"/>
          <w:sz w:val="23"/>
          <w:szCs w:val="23"/>
        </w:rPr>
        <w:t xml:space="preserve">2.4 Constraints</w:t>
      </w:r>
    </w:p>
    <w:p>
      <w:pPr>
        <w:pStyle w:val="ListParagraph"/>
        <w:numPr>
          <w:ilvl w:val="0"/>
          <w:numId w:val="2"/>
        </w:numPr>
        <w:spacing w:after="60" w:line="264"/>
      </w:pPr>
      <w:r>
        <w:rPr>
          <w:rFonts w:ascii="Calibri" w:cs="Calibri" w:eastAsia="Calibri" w:hAnsi="Calibri"/>
          <w:color w:val="222222"/>
          <w:sz w:val="21"/>
          <w:szCs w:val="21"/>
        </w:rPr>
        <w:t xml:space="preserve">The analysis is limited to the fields present in the provided dataset; no additional data sources are integrated.</w:t>
      </w:r>
    </w:p>
    <w:p>
      <w:pPr>
        <w:pStyle w:val="ListParagraph"/>
        <w:numPr>
          <w:ilvl w:val="0"/>
          <w:numId w:val="2"/>
        </w:numPr>
        <w:spacing w:after="60" w:line="264"/>
      </w:pPr>
      <w:r>
        <w:rPr>
          <w:rFonts w:ascii="Calibri" w:cs="Calibri" w:eastAsia="Calibri" w:hAnsi="Calibri"/>
          <w:color w:val="222222"/>
          <w:sz w:val="21"/>
          <w:szCs w:val="21"/>
        </w:rPr>
        <w:t xml:space="preserve">The dataset is a sample (500 records); findings are illustrative and not necessarily nationally representative.</w:t>
      </w:r>
    </w:p>
    <w:p>
      <w:pPr>
        <w:pStyle w:val="ListParagraph"/>
        <w:numPr>
          <w:ilvl w:val="0"/>
          <w:numId w:val="2"/>
        </w:numPr>
        <w:spacing w:after="60" w:line="264"/>
      </w:pPr>
      <w:r>
        <w:rPr>
          <w:rFonts w:ascii="Calibri" w:cs="Calibri" w:eastAsia="Calibri" w:hAnsi="Calibri"/>
          <w:color w:val="222222"/>
          <w:sz w:val="21"/>
          <w:szCs w:val="21"/>
        </w:rPr>
        <w:t xml:space="preserve">Many indicator columns are sparse (containing zeros where a service was not reported), which constrains which indicators can be reliably analysed.</w:t>
      </w:r>
    </w:p>
    <w:p>
      <w:pPr>
        <w:pStyle w:val="ListParagraph"/>
        <w:numPr>
          <w:ilvl w:val="0"/>
          <w:numId w:val="2"/>
        </w:numPr>
        <w:spacing w:after="60" w:line="264"/>
      </w:pPr>
      <w:r>
        <w:rPr>
          <w:rFonts w:ascii="Calibri" w:cs="Calibri" w:eastAsia="Calibri" w:hAnsi="Calibri"/>
          <w:color w:val="222222"/>
          <w:sz w:val="21"/>
          <w:szCs w:val="21"/>
        </w:rPr>
        <w:t xml:space="preserve">The project must run in a standard Python 3 environment (Jupyter Notebook or Google Colab) without specialised infrastructure.</w:t>
      </w:r>
    </w:p>
    <w:p>
      <w:pPr>
        <w:pStyle w:val="Heading2"/>
        <w:spacing w:after="100" w:before="220"/>
      </w:pPr>
      <w:r>
        <w:rPr>
          <w:rFonts w:ascii="Calibri" w:cs="Calibri" w:eastAsia="Calibri" w:hAnsi="Calibri"/>
          <w:b/>
          <w:bCs/>
          <w:color w:val="1F3864"/>
          <w:sz w:val="23"/>
          <w:szCs w:val="23"/>
        </w:rPr>
        <w:t xml:space="preserve">2.5 Assumptions and Dependencies</w:t>
      </w:r>
    </w:p>
    <w:p>
      <w:pPr>
        <w:pStyle w:val="ListParagraph"/>
        <w:numPr>
          <w:ilvl w:val="0"/>
          <w:numId w:val="2"/>
        </w:numPr>
        <w:spacing w:after="60" w:line="264"/>
      </w:pPr>
      <w:r>
        <w:rPr>
          <w:rFonts w:ascii="Calibri" w:cs="Calibri" w:eastAsia="Calibri" w:hAnsi="Calibri"/>
          <w:color w:val="222222"/>
          <w:sz w:val="21"/>
          <w:szCs w:val="21"/>
        </w:rPr>
        <w:t xml:space="preserve">The CSV file is available locally (or via Google Drive, for Colab) at the time of execution.</w:t>
      </w:r>
    </w:p>
    <w:p>
      <w:pPr>
        <w:pStyle w:val="ListParagraph"/>
        <w:numPr>
          <w:ilvl w:val="0"/>
          <w:numId w:val="2"/>
        </w:numPr>
        <w:spacing w:after="60" w:line="264"/>
      </w:pPr>
      <w:r>
        <w:rPr>
          <w:rFonts w:ascii="Calibri" w:cs="Calibri" w:eastAsia="Calibri" w:hAnsi="Calibri"/>
          <w:color w:val="222222"/>
          <w:sz w:val="21"/>
          <w:szCs w:val="21"/>
        </w:rPr>
        <w:t xml:space="preserve">Required Python libraries (pandas, numpy, matplotlib, seaborn, plotly) are installed or installable in the execution environment.</w:t>
      </w:r>
    </w:p>
    <w:p>
      <w:pPr>
        <w:pStyle w:val="ListParagraph"/>
        <w:numPr>
          <w:ilvl w:val="0"/>
          <w:numId w:val="2"/>
        </w:numPr>
        <w:spacing w:after="60" w:line="264"/>
      </w:pPr>
      <w:r>
        <w:rPr>
          <w:rFonts w:ascii="Calibri" w:cs="Calibri" w:eastAsia="Calibri" w:hAnsi="Calibri"/>
          <w:color w:val="222222"/>
          <w:sz w:val="21"/>
          <w:szCs w:val="21"/>
        </w:rPr>
        <w:t xml:space="preserve">Zero values in service-count columns are treated as "no service recorded," not as missing data, unless a column is entirely blank.</w:t>
      </w:r>
    </w:p>
    <w:p>
      <w:pPr>
        <w:pStyle w:val="Heading1"/>
        <w:pBdr>
          <w:bottom w:val="single" w:color="1F3864" w:sz="6" w:space="2"/>
        </w:pBdr>
        <w:spacing w:after="140" w:before="320"/>
      </w:pPr>
      <w:r>
        <w:rPr>
          <w:rFonts w:ascii="Calibri" w:cs="Calibri" w:eastAsia="Calibri" w:hAnsi="Calibri"/>
          <w:b/>
          <w:bCs/>
          <w:color w:val="1F3864"/>
          <w:sz w:val="28"/>
          <w:szCs w:val="28"/>
        </w:rPr>
        <w:t xml:space="preserve">3. Functional Requirements</w:t>
      </w:r>
    </w:p>
    <w:p>
      <w:pPr>
        <w:spacing w:after="140" w:line="276"/>
      </w:pPr>
      <w:r>
        <w:rPr>
          <w:rFonts w:ascii="Calibri" w:cs="Calibri" w:eastAsia="Calibri" w:hAnsi="Calibri"/>
          <w:i w:val="false"/>
          <w:iCs w:val="false"/>
          <w:color w:val="222222"/>
          <w:sz w:val="21"/>
          <w:szCs w:val="21"/>
        </w:rPr>
        <w:t xml:space="preserve">The table below lists the specific functional requirements (FR) for the project, each with a unique ID and priority level.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c>
          <w:tcPr>
            <w:tcW w:type="dxa" w:w="1200"/>
            <w:shd w:fill="1F3864" w:val="clear"/>
          </w:tcPr>
          <w:p>
            <w:r>
              <w:rPr>
                <w:rFonts w:ascii="Calibri" w:cs="Calibri" w:eastAsia="Calibri" w:hAnsi="Calibri"/>
                <w:b/>
                <w:bCs/>
                <w:color w:val="FFFFFF"/>
                <w:sz w:val="20"/>
                <w:szCs w:val="20"/>
              </w:rPr>
              <w:t xml:space="preserve">ID</w:t>
            </w:r>
          </w:p>
        </w:tc>
        <w:tc>
          <w:tcPr>
            <w:tcW w:type="dxa" w:w="6650"/>
            <w:shd w:fill="1F3864" w:val="clear"/>
          </w:tcPr>
          <w:p>
            <w:r>
              <w:rPr>
                <w:rFonts w:ascii="Calibri" w:cs="Calibri" w:eastAsia="Calibri" w:hAnsi="Calibri"/>
                <w:b/>
                <w:bCs/>
                <w:color w:val="FFFFFF"/>
                <w:sz w:val="20"/>
                <w:szCs w:val="20"/>
              </w:rPr>
              <w:t xml:space="preserve">Requirement</w:t>
            </w:r>
          </w:p>
        </w:tc>
        <w:tc>
          <w:tcPr>
            <w:tcW w:type="dxa" w:w="1500"/>
            <w:shd w:fill="1F3864" w:val="clear"/>
          </w:tcPr>
          <w:p>
            <w:r>
              <w:rPr>
                <w:rFonts w:ascii="Calibri" w:cs="Calibri" w:eastAsia="Calibri" w:hAnsi="Calibri"/>
                <w:b/>
                <w:bCs/>
                <w:color w:val="FFFFFF"/>
                <w:sz w:val="20"/>
                <w:szCs w:val="20"/>
              </w:rPr>
              <w:t xml:space="preserve">Priority</w:t>
            </w:r>
          </w:p>
        </w:tc>
      </w:tr>
      <w:tr>
        <w:tc>
          <w:tcPr>
            <w:tcW w:type="dxa" w:w="1200"/>
          </w:tcPr>
          <w:p>
            <w:r>
              <w:rPr>
                <w:rFonts w:ascii="Calibri" w:cs="Calibri" w:eastAsia="Calibri" w:hAnsi="Calibri"/>
                <w:b w:val="false"/>
                <w:bCs w:val="false"/>
                <w:color w:val="222222"/>
                <w:sz w:val="20"/>
                <w:szCs w:val="20"/>
              </w:rPr>
              <w:t xml:space="preserve">FR-1</w:t>
            </w:r>
          </w:p>
        </w:tc>
        <w:tc>
          <w:tcPr>
            <w:tcW w:type="dxa" w:w="6650"/>
          </w:tcPr>
          <w:p>
            <w:r>
              <w:rPr>
                <w:rFonts w:ascii="Calibri" w:cs="Calibri" w:eastAsia="Calibri" w:hAnsi="Calibri"/>
                <w:b w:val="false"/>
                <w:bCs w:val="false"/>
                <w:color w:val="222222"/>
                <w:sz w:val="20"/>
                <w:szCs w:val="20"/>
              </w:rPr>
              <w:t xml:space="preserve">The system shall import the sub-district health indicator CSV file using Pandas, preserving all 311 columns.</w:t>
            </w:r>
          </w:p>
        </w:tc>
        <w:tc>
          <w:tcPr>
            <w:tcW w:type="dxa" w:w="1500"/>
          </w:tcPr>
          <w:p>
            <w:r>
              <w:rPr>
                <w:rFonts w:ascii="Calibri" w:cs="Calibri" w:eastAsia="Calibri" w:hAnsi="Calibri"/>
                <w:b w:val="false"/>
                <w:bCs w:val="false"/>
                <w:color w:val="222222"/>
                <w:sz w:val="20"/>
                <w:szCs w:val="20"/>
              </w:rPr>
              <w:t xml:space="preserve">High</w:t>
            </w:r>
          </w:p>
        </w:tc>
      </w:tr>
      <w:tr>
        <w:tc>
          <w:tcPr>
            <w:tcW w:type="dxa" w:w="1200"/>
          </w:tcPr>
          <w:p>
            <w:r>
              <w:rPr>
                <w:rFonts w:ascii="Calibri" w:cs="Calibri" w:eastAsia="Calibri" w:hAnsi="Calibri"/>
                <w:b w:val="false"/>
                <w:bCs w:val="false"/>
                <w:color w:val="222222"/>
                <w:sz w:val="20"/>
                <w:szCs w:val="20"/>
              </w:rPr>
              <w:t xml:space="preserve">FR-2</w:t>
            </w:r>
          </w:p>
        </w:tc>
        <w:tc>
          <w:tcPr>
            <w:tcW w:type="dxa" w:w="6650"/>
          </w:tcPr>
          <w:p>
            <w:r>
              <w:rPr>
                <w:rFonts w:ascii="Calibri" w:cs="Calibri" w:eastAsia="Calibri" w:hAnsi="Calibri"/>
                <w:b w:val="false"/>
                <w:bCs w:val="false"/>
                <w:color w:val="222222"/>
                <w:sz w:val="20"/>
                <w:szCs w:val="20"/>
              </w:rPr>
              <w:t xml:space="preserve">The system shall convert the date field into a proper datetime format for time-series analysis.</w:t>
            </w:r>
          </w:p>
        </w:tc>
        <w:tc>
          <w:tcPr>
            <w:tcW w:type="dxa" w:w="1500"/>
          </w:tcPr>
          <w:p>
            <w:r>
              <w:rPr>
                <w:rFonts w:ascii="Calibri" w:cs="Calibri" w:eastAsia="Calibri" w:hAnsi="Calibri"/>
                <w:b w:val="false"/>
                <w:bCs w:val="false"/>
                <w:color w:val="222222"/>
                <w:sz w:val="20"/>
                <w:szCs w:val="20"/>
              </w:rPr>
              <w:t xml:space="preserve">High</w:t>
            </w:r>
          </w:p>
        </w:tc>
      </w:tr>
      <w:tr>
        <w:tc>
          <w:tcPr>
            <w:tcW w:type="dxa" w:w="1200"/>
          </w:tcPr>
          <w:p>
            <w:r>
              <w:rPr>
                <w:rFonts w:ascii="Calibri" w:cs="Calibri" w:eastAsia="Calibri" w:hAnsi="Calibri"/>
                <w:b w:val="false"/>
                <w:bCs w:val="false"/>
                <w:color w:val="222222"/>
                <w:sz w:val="20"/>
                <w:szCs w:val="20"/>
              </w:rPr>
              <w:t xml:space="preserve">FR-3</w:t>
            </w:r>
          </w:p>
        </w:tc>
        <w:tc>
          <w:tcPr>
            <w:tcW w:type="dxa" w:w="6650"/>
          </w:tcPr>
          <w:p>
            <w:r>
              <w:rPr>
                <w:rFonts w:ascii="Calibri" w:cs="Calibri" w:eastAsia="Calibri" w:hAnsi="Calibri"/>
                <w:b w:val="false"/>
                <w:bCs w:val="false"/>
                <w:color w:val="222222"/>
                <w:sz w:val="20"/>
                <w:szCs w:val="20"/>
              </w:rPr>
              <w:t xml:space="preserve">The system shall detect and report missing values across all immunization and maternal health columns.</w:t>
            </w:r>
          </w:p>
        </w:tc>
        <w:tc>
          <w:tcPr>
            <w:tcW w:type="dxa" w:w="1500"/>
          </w:tcPr>
          <w:p>
            <w:r>
              <w:rPr>
                <w:rFonts w:ascii="Calibri" w:cs="Calibri" w:eastAsia="Calibri" w:hAnsi="Calibri"/>
                <w:b w:val="false"/>
                <w:bCs w:val="false"/>
                <w:color w:val="222222"/>
                <w:sz w:val="20"/>
                <w:szCs w:val="20"/>
              </w:rPr>
              <w:t xml:space="preserve">High</w:t>
            </w:r>
          </w:p>
        </w:tc>
      </w:tr>
      <w:tr>
        <w:tc>
          <w:tcPr>
            <w:tcW w:type="dxa" w:w="1200"/>
          </w:tcPr>
          <w:p>
            <w:r>
              <w:rPr>
                <w:rFonts w:ascii="Calibri" w:cs="Calibri" w:eastAsia="Calibri" w:hAnsi="Calibri"/>
                <w:b w:val="false"/>
                <w:bCs w:val="false"/>
                <w:color w:val="222222"/>
                <w:sz w:val="20"/>
                <w:szCs w:val="20"/>
              </w:rPr>
              <w:t xml:space="preserve">FR-4</w:t>
            </w:r>
          </w:p>
        </w:tc>
        <w:tc>
          <w:tcPr>
            <w:tcW w:type="dxa" w:w="6650"/>
          </w:tcPr>
          <w:p>
            <w:r>
              <w:rPr>
                <w:rFonts w:ascii="Calibri" w:cs="Calibri" w:eastAsia="Calibri" w:hAnsi="Calibri"/>
                <w:b w:val="false"/>
                <w:bCs w:val="false"/>
                <w:color w:val="222222"/>
                <w:sz w:val="20"/>
                <w:szCs w:val="20"/>
              </w:rPr>
              <w:t xml:space="preserve">The system shall distinguish true missing values from legitimate zero-reported values during cleaning.</w:t>
            </w:r>
          </w:p>
        </w:tc>
        <w:tc>
          <w:tcPr>
            <w:tcW w:type="dxa" w:w="1500"/>
          </w:tcPr>
          <w:p>
            <w:r>
              <w:rPr>
                <w:rFonts w:ascii="Calibri" w:cs="Calibri" w:eastAsia="Calibri" w:hAnsi="Calibri"/>
                <w:b w:val="false"/>
                <w:bCs w:val="false"/>
                <w:color w:val="222222"/>
                <w:sz w:val="20"/>
                <w:szCs w:val="20"/>
              </w:rPr>
              <w:t xml:space="preserve">High</w:t>
            </w:r>
          </w:p>
        </w:tc>
      </w:tr>
      <w:tr>
        <w:tc>
          <w:tcPr>
            <w:tcW w:type="dxa" w:w="1200"/>
          </w:tcPr>
          <w:p>
            <w:r>
              <w:rPr>
                <w:rFonts w:ascii="Calibri" w:cs="Calibri" w:eastAsia="Calibri" w:hAnsi="Calibri"/>
                <w:b w:val="false"/>
                <w:bCs w:val="false"/>
                <w:color w:val="222222"/>
                <w:sz w:val="20"/>
                <w:szCs w:val="20"/>
              </w:rPr>
              <w:t xml:space="preserve">FR-5</w:t>
            </w:r>
          </w:p>
        </w:tc>
        <w:tc>
          <w:tcPr>
            <w:tcW w:type="dxa" w:w="6650"/>
          </w:tcPr>
          <w:p>
            <w:r>
              <w:rPr>
                <w:rFonts w:ascii="Calibri" w:cs="Calibri" w:eastAsia="Calibri" w:hAnsi="Calibri"/>
                <w:b w:val="false"/>
                <w:bCs w:val="false"/>
                <w:color w:val="222222"/>
                <w:sz w:val="20"/>
                <w:szCs w:val="20"/>
              </w:rPr>
              <w:t xml:space="preserve">The system shall standardize categorical fields (e.g., Sector: Public/Private/Rural) to consistent labels.</w:t>
            </w:r>
          </w:p>
        </w:tc>
        <w:tc>
          <w:tcPr>
            <w:tcW w:type="dxa" w:w="1500"/>
          </w:tcPr>
          <w:p>
            <w:r>
              <w:rPr>
                <w:rFonts w:ascii="Calibri" w:cs="Calibri" w:eastAsia="Calibri" w:hAnsi="Calibri"/>
                <w:b w:val="false"/>
                <w:bCs w:val="false"/>
                <w:color w:val="222222"/>
                <w:sz w:val="20"/>
                <w:szCs w:val="20"/>
              </w:rPr>
              <w:t xml:space="preserve">Medium</w:t>
            </w:r>
          </w:p>
        </w:tc>
      </w:tr>
      <w:tr>
        <w:tc>
          <w:tcPr>
            <w:tcW w:type="dxa" w:w="1200"/>
          </w:tcPr>
          <w:p>
            <w:r>
              <w:rPr>
                <w:rFonts w:ascii="Calibri" w:cs="Calibri" w:eastAsia="Calibri" w:hAnsi="Calibri"/>
                <w:b w:val="false"/>
                <w:bCs w:val="false"/>
                <w:color w:val="222222"/>
                <w:sz w:val="20"/>
                <w:szCs w:val="20"/>
              </w:rPr>
              <w:t xml:space="preserve">FR-6</w:t>
            </w:r>
          </w:p>
        </w:tc>
        <w:tc>
          <w:tcPr>
            <w:tcW w:type="dxa" w:w="6650"/>
          </w:tcPr>
          <w:p>
            <w:r>
              <w:rPr>
                <w:rFonts w:ascii="Calibri" w:cs="Calibri" w:eastAsia="Calibri" w:hAnsi="Calibri"/>
                <w:b w:val="false"/>
                <w:bCs w:val="false"/>
                <w:color w:val="222222"/>
                <w:sz w:val="20"/>
                <w:szCs w:val="20"/>
              </w:rPr>
              <w:t xml:space="preserve">The system shall remove duplicate records based on state, district, sub-district, sector, and date.</w:t>
            </w:r>
          </w:p>
        </w:tc>
        <w:tc>
          <w:tcPr>
            <w:tcW w:type="dxa" w:w="1500"/>
          </w:tcPr>
          <w:p>
            <w:r>
              <w:rPr>
                <w:rFonts w:ascii="Calibri" w:cs="Calibri" w:eastAsia="Calibri" w:hAnsi="Calibri"/>
                <w:b w:val="false"/>
                <w:bCs w:val="false"/>
                <w:color w:val="222222"/>
                <w:sz w:val="20"/>
                <w:szCs w:val="20"/>
              </w:rPr>
              <w:t xml:space="preserve">Medium</w:t>
            </w:r>
          </w:p>
        </w:tc>
      </w:tr>
      <w:tr>
        <w:tc>
          <w:tcPr>
            <w:tcW w:type="dxa" w:w="1200"/>
          </w:tcPr>
          <w:p>
            <w:r>
              <w:rPr>
                <w:rFonts w:ascii="Calibri" w:cs="Calibri" w:eastAsia="Calibri" w:hAnsi="Calibri"/>
                <w:b w:val="false"/>
                <w:bCs w:val="false"/>
                <w:color w:val="222222"/>
                <w:sz w:val="20"/>
                <w:szCs w:val="20"/>
              </w:rPr>
              <w:t xml:space="preserve">FR-7</w:t>
            </w:r>
          </w:p>
        </w:tc>
        <w:tc>
          <w:tcPr>
            <w:tcW w:type="dxa" w:w="6650"/>
          </w:tcPr>
          <w:p>
            <w:r>
              <w:rPr>
                <w:rFonts w:ascii="Calibri" w:cs="Calibri" w:eastAsia="Calibri" w:hAnsi="Calibri"/>
                <w:b w:val="false"/>
                <w:bCs w:val="false"/>
                <w:color w:val="222222"/>
                <w:sz w:val="20"/>
                <w:szCs w:val="20"/>
              </w:rPr>
              <w:t xml:space="preserve">The system shall compute summary statistics (mean, median, std, percentiles) for key immunization and maternal indicators.</w:t>
            </w:r>
          </w:p>
        </w:tc>
        <w:tc>
          <w:tcPr>
            <w:tcW w:type="dxa" w:w="1500"/>
          </w:tcPr>
          <w:p>
            <w:r>
              <w:rPr>
                <w:rFonts w:ascii="Calibri" w:cs="Calibri" w:eastAsia="Calibri" w:hAnsi="Calibri"/>
                <w:b w:val="false"/>
                <w:bCs w:val="false"/>
                <w:color w:val="222222"/>
                <w:sz w:val="20"/>
                <w:szCs w:val="20"/>
              </w:rPr>
              <w:t xml:space="preserve">High</w:t>
            </w:r>
          </w:p>
        </w:tc>
      </w:tr>
      <w:tr>
        <w:tc>
          <w:tcPr>
            <w:tcW w:type="dxa" w:w="1200"/>
          </w:tcPr>
          <w:p>
            <w:r>
              <w:rPr>
                <w:rFonts w:ascii="Calibri" w:cs="Calibri" w:eastAsia="Calibri" w:hAnsi="Calibri"/>
                <w:b w:val="false"/>
                <w:bCs w:val="false"/>
                <w:color w:val="222222"/>
                <w:sz w:val="20"/>
                <w:szCs w:val="20"/>
              </w:rPr>
              <w:t xml:space="preserve">FR-8</w:t>
            </w:r>
          </w:p>
        </w:tc>
        <w:tc>
          <w:tcPr>
            <w:tcW w:type="dxa" w:w="6650"/>
          </w:tcPr>
          <w:p>
            <w:r>
              <w:rPr>
                <w:rFonts w:ascii="Calibri" w:cs="Calibri" w:eastAsia="Calibri" w:hAnsi="Calibri"/>
                <w:b w:val="false"/>
                <w:bCs w:val="false"/>
                <w:color w:val="222222"/>
                <w:sz w:val="20"/>
                <w:szCs w:val="20"/>
              </w:rPr>
              <w:t xml:space="preserve">The system shall generate a correlation matrix across selected immunization and maternal health indicators.</w:t>
            </w:r>
          </w:p>
        </w:tc>
        <w:tc>
          <w:tcPr>
            <w:tcW w:type="dxa" w:w="1500"/>
          </w:tcPr>
          <w:p>
            <w:r>
              <w:rPr>
                <w:rFonts w:ascii="Calibri" w:cs="Calibri" w:eastAsia="Calibri" w:hAnsi="Calibri"/>
                <w:b w:val="false"/>
                <w:bCs w:val="false"/>
                <w:color w:val="222222"/>
                <w:sz w:val="20"/>
                <w:szCs w:val="20"/>
              </w:rPr>
              <w:t xml:space="preserve">Medium</w:t>
            </w:r>
          </w:p>
        </w:tc>
      </w:tr>
      <w:tr>
        <w:tc>
          <w:tcPr>
            <w:tcW w:type="dxa" w:w="1200"/>
          </w:tcPr>
          <w:p>
            <w:r>
              <w:rPr>
                <w:rFonts w:ascii="Calibri" w:cs="Calibri" w:eastAsia="Calibri" w:hAnsi="Calibri"/>
                <w:b w:val="false"/>
                <w:bCs w:val="false"/>
                <w:color w:val="222222"/>
                <w:sz w:val="20"/>
                <w:szCs w:val="20"/>
              </w:rPr>
              <w:t xml:space="preserve">FR-9</w:t>
            </w:r>
          </w:p>
        </w:tc>
        <w:tc>
          <w:tcPr>
            <w:tcW w:type="dxa" w:w="6650"/>
          </w:tcPr>
          <w:p>
            <w:r>
              <w:rPr>
                <w:rFonts w:ascii="Calibri" w:cs="Calibri" w:eastAsia="Calibri" w:hAnsi="Calibri"/>
                <w:b w:val="false"/>
                <w:bCs w:val="false"/>
                <w:color w:val="222222"/>
                <w:sz w:val="20"/>
                <w:szCs w:val="20"/>
              </w:rPr>
              <w:t xml:space="preserve">The system shall produce groupby summaries of indicators by State, District, and Sector.</w:t>
            </w:r>
          </w:p>
        </w:tc>
        <w:tc>
          <w:tcPr>
            <w:tcW w:type="dxa" w:w="1500"/>
          </w:tcPr>
          <w:p>
            <w:r>
              <w:rPr>
                <w:rFonts w:ascii="Calibri" w:cs="Calibri" w:eastAsia="Calibri" w:hAnsi="Calibri"/>
                <w:b w:val="false"/>
                <w:bCs w:val="false"/>
                <w:color w:val="222222"/>
                <w:sz w:val="20"/>
                <w:szCs w:val="20"/>
              </w:rPr>
              <w:t xml:space="preserve">High</w:t>
            </w:r>
          </w:p>
        </w:tc>
      </w:tr>
      <w:tr>
        <w:tc>
          <w:tcPr>
            <w:tcW w:type="dxa" w:w="1200"/>
          </w:tcPr>
          <w:p>
            <w:r>
              <w:rPr>
                <w:rFonts w:ascii="Calibri" w:cs="Calibri" w:eastAsia="Calibri" w:hAnsi="Calibri"/>
                <w:b w:val="false"/>
                <w:bCs w:val="false"/>
                <w:color w:val="222222"/>
                <w:sz w:val="20"/>
                <w:szCs w:val="20"/>
              </w:rPr>
              <w:t xml:space="preserve">FR-10</w:t>
            </w:r>
          </w:p>
        </w:tc>
        <w:tc>
          <w:tcPr>
            <w:tcW w:type="dxa" w:w="6650"/>
          </w:tcPr>
          <w:p>
            <w:r>
              <w:rPr>
                <w:rFonts w:ascii="Calibri" w:cs="Calibri" w:eastAsia="Calibri" w:hAnsi="Calibri"/>
                <w:b w:val="false"/>
                <w:bCs w:val="false"/>
                <w:color w:val="222222"/>
                <w:sz w:val="20"/>
                <w:szCs w:val="20"/>
              </w:rPr>
              <w:t xml:space="preserve">The system shall visualize immunization coverage trends over time using line charts.</w:t>
            </w:r>
          </w:p>
        </w:tc>
        <w:tc>
          <w:tcPr>
            <w:tcW w:type="dxa" w:w="1500"/>
          </w:tcPr>
          <w:p>
            <w:r>
              <w:rPr>
                <w:rFonts w:ascii="Calibri" w:cs="Calibri" w:eastAsia="Calibri" w:hAnsi="Calibri"/>
                <w:b w:val="false"/>
                <w:bCs w:val="false"/>
                <w:color w:val="222222"/>
                <w:sz w:val="20"/>
                <w:szCs w:val="20"/>
              </w:rPr>
              <w:t xml:space="preserve">High</w:t>
            </w:r>
          </w:p>
        </w:tc>
      </w:tr>
      <w:tr>
        <w:tc>
          <w:tcPr>
            <w:tcW w:type="dxa" w:w="1200"/>
          </w:tcPr>
          <w:p>
            <w:r>
              <w:rPr>
                <w:rFonts w:ascii="Calibri" w:cs="Calibri" w:eastAsia="Calibri" w:hAnsi="Calibri"/>
                <w:b w:val="false"/>
                <w:bCs w:val="false"/>
                <w:color w:val="222222"/>
                <w:sz w:val="20"/>
                <w:szCs w:val="20"/>
              </w:rPr>
              <w:t xml:space="preserve">FR-11</w:t>
            </w:r>
          </w:p>
        </w:tc>
        <w:tc>
          <w:tcPr>
            <w:tcW w:type="dxa" w:w="6650"/>
          </w:tcPr>
          <w:p>
            <w:r>
              <w:rPr>
                <w:rFonts w:ascii="Calibri" w:cs="Calibri" w:eastAsia="Calibri" w:hAnsi="Calibri"/>
                <w:b w:val="false"/>
                <w:bCs w:val="false"/>
                <w:color w:val="222222"/>
                <w:sz w:val="20"/>
                <w:szCs w:val="20"/>
              </w:rPr>
              <w:t xml:space="preserve">The system shall visualize geographic variation in immunization and maternal health indicators using bar charts.</w:t>
            </w:r>
          </w:p>
        </w:tc>
        <w:tc>
          <w:tcPr>
            <w:tcW w:type="dxa" w:w="1500"/>
          </w:tcPr>
          <w:p>
            <w:r>
              <w:rPr>
                <w:rFonts w:ascii="Calibri" w:cs="Calibri" w:eastAsia="Calibri" w:hAnsi="Calibri"/>
                <w:b w:val="false"/>
                <w:bCs w:val="false"/>
                <w:color w:val="222222"/>
                <w:sz w:val="20"/>
                <w:szCs w:val="20"/>
              </w:rPr>
              <w:t xml:space="preserve">High</w:t>
            </w:r>
          </w:p>
        </w:tc>
      </w:tr>
      <w:tr>
        <w:tc>
          <w:tcPr>
            <w:tcW w:type="dxa" w:w="1200"/>
          </w:tcPr>
          <w:p>
            <w:r>
              <w:rPr>
                <w:rFonts w:ascii="Calibri" w:cs="Calibri" w:eastAsia="Calibri" w:hAnsi="Calibri"/>
                <w:b w:val="false"/>
                <w:bCs w:val="false"/>
                <w:color w:val="222222"/>
                <w:sz w:val="20"/>
                <w:szCs w:val="20"/>
              </w:rPr>
              <w:t xml:space="preserve">FR-12</w:t>
            </w:r>
          </w:p>
        </w:tc>
        <w:tc>
          <w:tcPr>
            <w:tcW w:type="dxa" w:w="6650"/>
          </w:tcPr>
          <w:p>
            <w:r>
              <w:rPr>
                <w:rFonts w:ascii="Calibri" w:cs="Calibri" w:eastAsia="Calibri" w:hAnsi="Calibri"/>
                <w:b w:val="false"/>
                <w:bCs w:val="false"/>
                <w:color w:val="222222"/>
                <w:sz w:val="20"/>
                <w:szCs w:val="20"/>
              </w:rPr>
              <w:t xml:space="preserve">The system shall visualize maternal health indicators (ANC registration, institutional deliveries, maternal deaths) by state/sector.</w:t>
            </w:r>
          </w:p>
        </w:tc>
        <w:tc>
          <w:tcPr>
            <w:tcW w:type="dxa" w:w="1500"/>
          </w:tcPr>
          <w:p>
            <w:r>
              <w:rPr>
                <w:rFonts w:ascii="Calibri" w:cs="Calibri" w:eastAsia="Calibri" w:hAnsi="Calibri"/>
                <w:b w:val="false"/>
                <w:bCs w:val="false"/>
                <w:color w:val="222222"/>
                <w:sz w:val="20"/>
                <w:szCs w:val="20"/>
              </w:rPr>
              <w:t xml:space="preserve">High</w:t>
            </w:r>
          </w:p>
        </w:tc>
      </w:tr>
      <w:tr>
        <w:tc>
          <w:tcPr>
            <w:tcW w:type="dxa" w:w="1200"/>
          </w:tcPr>
          <w:p>
            <w:r>
              <w:rPr>
                <w:rFonts w:ascii="Calibri" w:cs="Calibri" w:eastAsia="Calibri" w:hAnsi="Calibri"/>
                <w:b w:val="false"/>
                <w:bCs w:val="false"/>
                <w:color w:val="222222"/>
                <w:sz w:val="20"/>
                <w:szCs w:val="20"/>
              </w:rPr>
              <w:t xml:space="preserve">FR-13</w:t>
            </w:r>
          </w:p>
        </w:tc>
        <w:tc>
          <w:tcPr>
            <w:tcW w:type="dxa" w:w="6650"/>
          </w:tcPr>
          <w:p>
            <w:r>
              <w:rPr>
                <w:rFonts w:ascii="Calibri" w:cs="Calibri" w:eastAsia="Calibri" w:hAnsi="Calibri"/>
                <w:b w:val="false"/>
                <w:bCs w:val="false"/>
                <w:color w:val="222222"/>
                <w:sz w:val="20"/>
                <w:szCs w:val="20"/>
              </w:rPr>
              <w:t xml:space="preserve">The system shall produce at least one interactive (Plotly) visualization for exploratory use.</w:t>
            </w:r>
          </w:p>
        </w:tc>
        <w:tc>
          <w:tcPr>
            <w:tcW w:type="dxa" w:w="1500"/>
          </w:tcPr>
          <w:p>
            <w:r>
              <w:rPr>
                <w:rFonts w:ascii="Calibri" w:cs="Calibri" w:eastAsia="Calibri" w:hAnsi="Calibri"/>
                <w:b w:val="false"/>
                <w:bCs w:val="false"/>
                <w:color w:val="222222"/>
                <w:sz w:val="20"/>
                <w:szCs w:val="20"/>
              </w:rPr>
              <w:t xml:space="preserve">Medium</w:t>
            </w:r>
          </w:p>
        </w:tc>
      </w:tr>
      <w:tr>
        <w:tc>
          <w:tcPr>
            <w:tcW w:type="dxa" w:w="1200"/>
          </w:tcPr>
          <w:p>
            <w:r>
              <w:rPr>
                <w:rFonts w:ascii="Calibri" w:cs="Calibri" w:eastAsia="Calibri" w:hAnsi="Calibri"/>
                <w:b w:val="false"/>
                <w:bCs w:val="false"/>
                <w:color w:val="222222"/>
                <w:sz w:val="20"/>
                <w:szCs w:val="20"/>
              </w:rPr>
              <w:t xml:space="preserve">FR-14</w:t>
            </w:r>
          </w:p>
        </w:tc>
        <w:tc>
          <w:tcPr>
            <w:tcW w:type="dxa" w:w="6650"/>
          </w:tcPr>
          <w:p>
            <w:r>
              <w:rPr>
                <w:rFonts w:ascii="Calibri" w:cs="Calibri" w:eastAsia="Calibri" w:hAnsi="Calibri"/>
                <w:b w:val="false"/>
                <w:bCs w:val="false"/>
                <w:color w:val="222222"/>
                <w:sz w:val="20"/>
                <w:szCs w:val="20"/>
              </w:rPr>
              <w:t xml:space="preserve">The system shall generate a final written summary of key findings on immunization coverage and maternal health trends.</w:t>
            </w:r>
          </w:p>
        </w:tc>
        <w:tc>
          <w:tcPr>
            <w:tcW w:type="dxa" w:w="1500"/>
          </w:tcPr>
          <w:p>
            <w:r>
              <w:rPr>
                <w:rFonts w:ascii="Calibri" w:cs="Calibri" w:eastAsia="Calibri" w:hAnsi="Calibri"/>
                <w:b w:val="false"/>
                <w:bCs w:val="false"/>
                <w:color w:val="222222"/>
                <w:sz w:val="20"/>
                <w:szCs w:val="20"/>
              </w:rPr>
              <w:t xml:space="preserve">High</w:t>
            </w:r>
          </w:p>
        </w:tc>
      </w:tr>
    </w:tbl>
    <w:p>
      <w:pPr>
        <w:pStyle w:val="Heading1"/>
        <w:pBdr>
          <w:bottom w:val="single" w:color="1F3864" w:sz="6" w:space="2"/>
        </w:pBdr>
        <w:spacing w:after="140" w:before="320"/>
      </w:pPr>
      <w:r>
        <w:rPr>
          <w:rFonts w:ascii="Calibri" w:cs="Calibri" w:eastAsia="Calibri" w:hAnsi="Calibri"/>
          <w:b/>
          <w:bCs/>
          <w:color w:val="1F3864"/>
          <w:sz w:val="28"/>
          <w:szCs w:val="28"/>
        </w:rPr>
        <w:t xml:space="preserve">4. External Interface Requirements</w:t>
      </w:r>
    </w:p>
    <w:p>
      <w:pPr>
        <w:pStyle w:val="Heading2"/>
        <w:spacing w:after="100" w:before="220"/>
      </w:pPr>
      <w:r>
        <w:rPr>
          <w:rFonts w:ascii="Calibri" w:cs="Calibri" w:eastAsia="Calibri" w:hAnsi="Calibri"/>
          <w:b/>
          <w:bCs/>
          <w:color w:val="1F3864"/>
          <w:sz w:val="23"/>
          <w:szCs w:val="23"/>
        </w:rPr>
        <w:t xml:space="preserve">4.1 User Interface</w:t>
      </w:r>
    </w:p>
    <w:p>
      <w:pPr>
        <w:spacing w:after="140" w:line="276"/>
      </w:pPr>
      <w:r>
        <w:rPr>
          <w:rFonts w:ascii="Calibri" w:cs="Calibri" w:eastAsia="Calibri" w:hAnsi="Calibri"/>
          <w:i w:val="false"/>
          <w:iCs w:val="false"/>
          <w:color w:val="222222"/>
          <w:sz w:val="21"/>
          <w:szCs w:val="21"/>
        </w:rPr>
        <w:t xml:space="preserve">The project is delivered as a Jupyter/Colab notebook. Users interact with it by running cells sequentially; outputs (tables, statistics, and charts) are rendered inline within the notebook.</w:t>
      </w:r>
    </w:p>
    <w:p>
      <w:pPr>
        <w:pStyle w:val="Heading2"/>
        <w:spacing w:after="100" w:before="220"/>
      </w:pPr>
      <w:r>
        <w:rPr>
          <w:rFonts w:ascii="Calibri" w:cs="Calibri" w:eastAsia="Calibri" w:hAnsi="Calibri"/>
          <w:b/>
          <w:bCs/>
          <w:color w:val="1F3864"/>
          <w:sz w:val="23"/>
          <w:szCs w:val="23"/>
        </w:rPr>
        <w:t xml:space="preserve">4.2 Hardware Interfaces</w:t>
      </w:r>
    </w:p>
    <w:p>
      <w:pPr>
        <w:spacing w:after="140" w:line="276"/>
      </w:pPr>
      <w:r>
        <w:rPr>
          <w:rFonts w:ascii="Calibri" w:cs="Calibri" w:eastAsia="Calibri" w:hAnsi="Calibri"/>
          <w:i w:val="false"/>
          <w:iCs w:val="false"/>
          <w:color w:val="222222"/>
          <w:sz w:val="21"/>
          <w:szCs w:val="21"/>
        </w:rPr>
        <w:t xml:space="preserve">No special hardware is required. The project runs on any machine capable of running Python 3 and a web browser (for Colab) or a local Jupyter installation.</w:t>
      </w:r>
    </w:p>
    <w:p>
      <w:pPr>
        <w:pStyle w:val="Heading2"/>
        <w:spacing w:after="100" w:before="220"/>
      </w:pPr>
      <w:r>
        <w:rPr>
          <w:rFonts w:ascii="Calibri" w:cs="Calibri" w:eastAsia="Calibri" w:hAnsi="Calibri"/>
          <w:b/>
          <w:bCs/>
          <w:color w:val="1F3864"/>
          <w:sz w:val="23"/>
          <w:szCs w:val="23"/>
        </w:rPr>
        <w:t xml:space="preserve">4.3 Software Interfaces</w:t>
      </w:r>
    </w:p>
    <w:p>
      <w:pPr>
        <w:pStyle w:val="ListParagraph"/>
        <w:numPr>
          <w:ilvl w:val="0"/>
          <w:numId w:val="2"/>
        </w:numPr>
        <w:spacing w:after="60" w:line="264"/>
      </w:pPr>
      <w:r>
        <w:rPr>
          <w:rFonts w:ascii="Calibri" w:cs="Calibri" w:eastAsia="Calibri" w:hAnsi="Calibri"/>
          <w:color w:val="222222"/>
          <w:sz w:val="21"/>
          <w:szCs w:val="21"/>
        </w:rPr>
        <w:t xml:space="preserve">Python 3.x</w:t>
      </w:r>
    </w:p>
    <w:p>
      <w:pPr>
        <w:pStyle w:val="ListParagraph"/>
        <w:numPr>
          <w:ilvl w:val="0"/>
          <w:numId w:val="2"/>
        </w:numPr>
        <w:spacing w:after="60" w:line="264"/>
      </w:pPr>
      <w:r>
        <w:rPr>
          <w:rFonts w:ascii="Calibri" w:cs="Calibri" w:eastAsia="Calibri" w:hAnsi="Calibri"/>
          <w:color w:val="222222"/>
          <w:sz w:val="21"/>
          <w:szCs w:val="21"/>
        </w:rPr>
        <w:t xml:space="preserve">Pandas and NumPy for data handling</w:t>
      </w:r>
    </w:p>
    <w:p>
      <w:pPr>
        <w:pStyle w:val="ListParagraph"/>
        <w:numPr>
          <w:ilvl w:val="0"/>
          <w:numId w:val="2"/>
        </w:numPr>
        <w:spacing w:after="60" w:line="264"/>
      </w:pPr>
      <w:r>
        <w:rPr>
          <w:rFonts w:ascii="Calibri" w:cs="Calibri" w:eastAsia="Calibri" w:hAnsi="Calibri"/>
          <w:color w:val="222222"/>
          <w:sz w:val="21"/>
          <w:szCs w:val="21"/>
        </w:rPr>
        <w:t xml:space="preserve">Matplotlib and Seaborn for static visualizations</w:t>
      </w:r>
    </w:p>
    <w:p>
      <w:pPr>
        <w:pStyle w:val="ListParagraph"/>
        <w:numPr>
          <w:ilvl w:val="0"/>
          <w:numId w:val="2"/>
        </w:numPr>
        <w:spacing w:after="60" w:line="264"/>
      </w:pPr>
      <w:r>
        <w:rPr>
          <w:rFonts w:ascii="Calibri" w:cs="Calibri" w:eastAsia="Calibri" w:hAnsi="Calibri"/>
          <w:color w:val="222222"/>
          <w:sz w:val="21"/>
          <w:szCs w:val="21"/>
        </w:rPr>
        <w:t xml:space="preserve">Plotly for interactive visualizations</w:t>
      </w:r>
    </w:p>
    <w:p>
      <w:pPr>
        <w:pStyle w:val="ListParagraph"/>
        <w:numPr>
          <w:ilvl w:val="0"/>
          <w:numId w:val="2"/>
        </w:numPr>
        <w:spacing w:after="60" w:line="264"/>
      </w:pPr>
      <w:r>
        <w:rPr>
          <w:rFonts w:ascii="Calibri" w:cs="Calibri" w:eastAsia="Calibri" w:hAnsi="Calibri"/>
          <w:color w:val="222222"/>
          <w:sz w:val="21"/>
          <w:szCs w:val="21"/>
        </w:rPr>
        <w:t xml:space="preserve">Jupyter Notebook or Google Colab as the execution environment</w:t>
      </w:r>
    </w:p>
    <w:p>
      <w:pPr>
        <w:pStyle w:val="Heading2"/>
        <w:spacing w:after="100" w:before="220"/>
      </w:pPr>
      <w:r>
        <w:rPr>
          <w:rFonts w:ascii="Calibri" w:cs="Calibri" w:eastAsia="Calibri" w:hAnsi="Calibri"/>
          <w:b/>
          <w:bCs/>
          <w:color w:val="1F3864"/>
          <w:sz w:val="23"/>
          <w:szCs w:val="23"/>
        </w:rPr>
        <w:t xml:space="preserve">4.4 Data Interfaces</w:t>
      </w:r>
    </w:p>
    <w:p>
      <w:pPr>
        <w:spacing w:after="140" w:line="276"/>
      </w:pPr>
      <w:r>
        <w:rPr>
          <w:rFonts w:ascii="Calibri" w:cs="Calibri" w:eastAsia="Calibri" w:hAnsi="Calibri"/>
          <w:i w:val="false"/>
          <w:iCs w:val="false"/>
          <w:color w:val="222222"/>
          <w:sz w:val="21"/>
          <w:szCs w:val="21"/>
        </w:rPr>
        <w:t xml:space="preserve">The sole data interface is the CSV file Major_Health_Indicators_Sub-district_Level_Sample_Data.csv, read via pandas.read_csv(). No database connection or API integration is required.</w:t>
      </w:r>
    </w:p>
    <w:p>
      <w:pPr>
        <w:pStyle w:val="Heading1"/>
        <w:pBdr>
          <w:bottom w:val="single" w:color="1F3864" w:sz="6" w:space="2"/>
        </w:pBdr>
        <w:spacing w:after="140" w:before="320"/>
      </w:pPr>
      <w:r>
        <w:rPr>
          <w:rFonts w:ascii="Calibri" w:cs="Calibri" w:eastAsia="Calibri" w:hAnsi="Calibri"/>
          <w:b/>
          <w:bCs/>
          <w:color w:val="1F3864"/>
          <w:sz w:val="28"/>
          <w:szCs w:val="28"/>
        </w:rPr>
        <w:t xml:space="preserve">5. Non-Functional Requirements</w:t>
      </w:r>
    </w:p>
    <w:p>
      <w:pPr>
        <w:pStyle w:val="Heading2"/>
        <w:spacing w:after="100" w:before="220"/>
      </w:pPr>
      <w:r>
        <w:rPr>
          <w:rFonts w:ascii="Calibri" w:cs="Calibri" w:eastAsia="Calibri" w:hAnsi="Calibri"/>
          <w:b/>
          <w:bCs/>
          <w:color w:val="1F3864"/>
          <w:sz w:val="23"/>
          <w:szCs w:val="23"/>
        </w:rPr>
        <w:t xml:space="preserve">5.1 Performance</w:t>
      </w:r>
    </w:p>
    <w:p>
      <w:pPr>
        <w:spacing w:after="140" w:line="276"/>
      </w:pPr>
      <w:r>
        <w:rPr>
          <w:rFonts w:ascii="Calibri" w:cs="Calibri" w:eastAsia="Calibri" w:hAnsi="Calibri"/>
          <w:i w:val="false"/>
          <w:iCs w:val="false"/>
          <w:color w:val="222222"/>
          <w:sz w:val="21"/>
          <w:szCs w:val="21"/>
        </w:rPr>
        <w:t xml:space="preserve">Given the dataset size (500 rows, 311 columns), all cleaning, statistical, and visualization operations are expected to complete in well under one minute on a standard machine.</w:t>
      </w:r>
    </w:p>
    <w:p>
      <w:pPr>
        <w:pStyle w:val="Heading2"/>
        <w:spacing w:after="100" w:before="220"/>
      </w:pPr>
      <w:r>
        <w:rPr>
          <w:rFonts w:ascii="Calibri" w:cs="Calibri" w:eastAsia="Calibri" w:hAnsi="Calibri"/>
          <w:b/>
          <w:bCs/>
          <w:color w:val="1F3864"/>
          <w:sz w:val="23"/>
          <w:szCs w:val="23"/>
        </w:rPr>
        <w:t xml:space="preserve">5.2 Reliability</w:t>
      </w:r>
    </w:p>
    <w:p>
      <w:pPr>
        <w:spacing w:after="140" w:line="276"/>
      </w:pPr>
      <w:r>
        <w:rPr>
          <w:rFonts w:ascii="Calibri" w:cs="Calibri" w:eastAsia="Calibri" w:hAnsi="Calibri"/>
          <w:i w:val="false"/>
          <w:iCs w:val="false"/>
          <w:color w:val="222222"/>
          <w:sz w:val="21"/>
          <w:szCs w:val="21"/>
        </w:rPr>
        <w:t xml:space="preserve">The notebook shall run end-to-end without manual intervention once the data file path is correctly set, producing consistent outputs on repeated runs with the same input data.</w:t>
      </w:r>
    </w:p>
    <w:p>
      <w:pPr>
        <w:pStyle w:val="Heading2"/>
        <w:spacing w:after="100" w:before="220"/>
      </w:pPr>
      <w:r>
        <w:rPr>
          <w:rFonts w:ascii="Calibri" w:cs="Calibri" w:eastAsia="Calibri" w:hAnsi="Calibri"/>
          <w:b/>
          <w:bCs/>
          <w:color w:val="1F3864"/>
          <w:sz w:val="23"/>
          <w:szCs w:val="23"/>
        </w:rPr>
        <w:t xml:space="preserve">5.3 Usability</w:t>
      </w:r>
    </w:p>
    <w:p>
      <w:pPr>
        <w:spacing w:after="140" w:line="276"/>
      </w:pPr>
      <w:r>
        <w:rPr>
          <w:rFonts w:ascii="Calibri" w:cs="Calibri" w:eastAsia="Calibri" w:hAnsi="Calibri"/>
          <w:i w:val="false"/>
          <w:iCs w:val="false"/>
          <w:color w:val="222222"/>
          <w:sz w:val="21"/>
          <w:szCs w:val="21"/>
        </w:rPr>
        <w:t xml:space="preserve">Code shall be organised into clearly labelled sections (Import, Cleaning, Exploration, Wrangling, Statistics, Visualization, Insights) with markdown headers, so a reader can follow the analysis without needing to read every line of code.</w:t>
      </w:r>
    </w:p>
    <w:p>
      <w:pPr>
        <w:pStyle w:val="Heading2"/>
        <w:spacing w:after="100" w:before="220"/>
      </w:pPr>
      <w:r>
        <w:rPr>
          <w:rFonts w:ascii="Calibri" w:cs="Calibri" w:eastAsia="Calibri" w:hAnsi="Calibri"/>
          <w:b/>
          <w:bCs/>
          <w:color w:val="1F3864"/>
          <w:sz w:val="23"/>
          <w:szCs w:val="23"/>
        </w:rPr>
        <w:t xml:space="preserve">5.4 Maintainability</w:t>
      </w:r>
    </w:p>
    <w:p>
      <w:pPr>
        <w:spacing w:after="140" w:line="276"/>
      </w:pPr>
      <w:r>
        <w:rPr>
          <w:rFonts w:ascii="Calibri" w:cs="Calibri" w:eastAsia="Calibri" w:hAnsi="Calibri"/>
          <w:i w:val="false"/>
          <w:iCs w:val="false"/>
          <w:color w:val="222222"/>
          <w:sz w:val="21"/>
          <w:szCs w:val="21"/>
        </w:rPr>
        <w:t xml:space="preserve">Column references shall use the short snake_case codes (e.g., child_dpt1) rather than the full human-readable labels, to keep code concise and easier to update if new indicator columns are added.</w:t>
      </w:r>
    </w:p>
    <w:p>
      <w:pPr>
        <w:pStyle w:val="Heading2"/>
        <w:spacing w:after="100" w:before="220"/>
      </w:pPr>
      <w:r>
        <w:rPr>
          <w:rFonts w:ascii="Calibri" w:cs="Calibri" w:eastAsia="Calibri" w:hAnsi="Calibri"/>
          <w:b/>
          <w:bCs/>
          <w:color w:val="1F3864"/>
          <w:sz w:val="23"/>
          <w:szCs w:val="23"/>
        </w:rPr>
        <w:t xml:space="preserve">5.5 Portability</w:t>
      </w:r>
    </w:p>
    <w:p>
      <w:pPr>
        <w:spacing w:after="140" w:line="276"/>
      </w:pPr>
      <w:r>
        <w:rPr>
          <w:rFonts w:ascii="Calibri" w:cs="Calibri" w:eastAsia="Calibri" w:hAnsi="Calibri"/>
          <w:i w:val="false"/>
          <w:iCs w:val="false"/>
          <w:color w:val="222222"/>
          <w:sz w:val="21"/>
          <w:szCs w:val="21"/>
        </w:rPr>
        <w:t xml:space="preserve">The notebook shall be runnable in both a local Jupyter environment and Google Colab with minimal modification (e.g., adjusting only the file path).</w:t>
      </w:r>
    </w:p>
    <w:p>
      <w:pPr>
        <w:pStyle w:val="Heading1"/>
        <w:pBdr>
          <w:bottom w:val="single" w:color="1F3864" w:sz="6" w:space="2"/>
        </w:pBdr>
        <w:spacing w:after="140" w:before="320"/>
      </w:pPr>
      <w:r>
        <w:rPr>
          <w:rFonts w:ascii="Calibri" w:cs="Calibri" w:eastAsia="Calibri" w:hAnsi="Calibri"/>
          <w:b/>
          <w:bCs/>
          <w:color w:val="1F3864"/>
          <w:sz w:val="28"/>
          <w:szCs w:val="28"/>
        </w:rPr>
        <w:t xml:space="preserve">6. Other Requirements</w:t>
      </w:r>
    </w:p>
    <w:p>
      <w:pPr>
        <w:pStyle w:val="Heading2"/>
        <w:spacing w:after="100" w:before="220"/>
      </w:pPr>
      <w:r>
        <w:rPr>
          <w:rFonts w:ascii="Calibri" w:cs="Calibri" w:eastAsia="Calibri" w:hAnsi="Calibri"/>
          <w:b/>
          <w:bCs/>
          <w:color w:val="1F3864"/>
          <w:sz w:val="23"/>
          <w:szCs w:val="23"/>
        </w:rPr>
        <w:t xml:space="preserve">6.1 Data Requirements</w:t>
      </w:r>
    </w:p>
    <w:p>
      <w:pPr>
        <w:pStyle w:val="ListParagraph"/>
        <w:numPr>
          <w:ilvl w:val="0"/>
          <w:numId w:val="2"/>
        </w:numPr>
        <w:spacing w:after="60" w:line="264"/>
      </w:pPr>
      <w:r>
        <w:rPr>
          <w:rFonts w:ascii="Calibri" w:cs="Calibri" w:eastAsia="Calibri" w:hAnsi="Calibri"/>
          <w:color w:val="222222"/>
          <w:sz w:val="21"/>
          <w:szCs w:val="21"/>
        </w:rPr>
        <w:t xml:space="preserve">Geographic identifiers: state_name, district_name, subdistrict_name, sector</w:t>
      </w:r>
    </w:p>
    <w:p>
      <w:pPr>
        <w:pStyle w:val="ListParagraph"/>
        <w:numPr>
          <w:ilvl w:val="0"/>
          <w:numId w:val="2"/>
        </w:numPr>
        <w:spacing w:after="60" w:line="264"/>
      </w:pPr>
      <w:r>
        <w:rPr>
          <w:rFonts w:ascii="Calibri" w:cs="Calibri" w:eastAsia="Calibri" w:hAnsi="Calibri"/>
          <w:color w:val="222222"/>
          <w:sz w:val="21"/>
          <w:szCs w:val="21"/>
        </w:rPr>
        <w:t xml:space="preserve">Temporal identifier: date</w:t>
      </w:r>
    </w:p>
    <w:p>
      <w:pPr>
        <w:pStyle w:val="ListParagraph"/>
        <w:numPr>
          <w:ilvl w:val="0"/>
          <w:numId w:val="2"/>
        </w:numPr>
        <w:spacing w:after="60" w:line="264"/>
      </w:pPr>
      <w:r>
        <w:rPr>
          <w:rFonts w:ascii="Calibri" w:cs="Calibri" w:eastAsia="Calibri" w:hAnsi="Calibri"/>
          <w:color w:val="222222"/>
          <w:sz w:val="21"/>
          <w:szCs w:val="21"/>
        </w:rPr>
        <w:t xml:space="preserve">Immunization indicators: child_bcg, child_dpt1-3, child_opv1-3, child_measles1, child_rota1-3, child_vita1, and related full-immunization fields</w:t>
      </w:r>
    </w:p>
    <w:p>
      <w:pPr>
        <w:pStyle w:val="ListParagraph"/>
        <w:numPr>
          <w:ilvl w:val="0"/>
          <w:numId w:val="2"/>
        </w:numPr>
        <w:spacing w:after="60" w:line="264"/>
      </w:pPr>
      <w:r>
        <w:rPr>
          <w:rFonts w:ascii="Calibri" w:cs="Calibri" w:eastAsia="Calibri" w:hAnsi="Calibri"/>
          <w:color w:val="222222"/>
          <w:sz w:val="21"/>
          <w:szCs w:val="21"/>
        </w:rPr>
        <w:t xml:space="preserve">Maternal health indicators: pw_anc_reg, pw_tt1, pw_hb4plus_test, pw_gdm_pos, mat_death_bleed, mat_death_htn_fits, inst_deliv_csec, home_deliv_sba</w:t>
      </w:r>
    </w:p>
    <w:p>
      <w:pPr>
        <w:pStyle w:val="Heading2"/>
        <w:spacing w:after="100" w:before="220"/>
      </w:pPr>
      <w:r>
        <w:rPr>
          <w:rFonts w:ascii="Calibri" w:cs="Calibri" w:eastAsia="Calibri" w:hAnsi="Calibri"/>
          <w:b/>
          <w:bCs/>
          <w:color w:val="1F3864"/>
          <w:sz w:val="23"/>
          <w:szCs w:val="23"/>
        </w:rPr>
        <w:t xml:space="preserve">6.2 Deliverables</w:t>
      </w:r>
    </w:p>
    <w:p>
      <w:pPr>
        <w:pStyle w:val="ListParagraph"/>
        <w:numPr>
          <w:ilvl w:val="0"/>
          <w:numId w:val="2"/>
        </w:numPr>
        <w:spacing w:after="60" w:line="264"/>
      </w:pPr>
      <w:r>
        <w:rPr>
          <w:rFonts w:ascii="Calibri" w:cs="Calibri" w:eastAsia="Calibri" w:hAnsi="Calibri"/>
          <w:color w:val="222222"/>
          <w:sz w:val="21"/>
          <w:szCs w:val="21"/>
        </w:rPr>
        <w:t xml:space="preserve">A Python/Jupyter notebook implementing all functional requirements in Section 3</w:t>
      </w:r>
    </w:p>
    <w:p>
      <w:pPr>
        <w:pStyle w:val="ListParagraph"/>
        <w:numPr>
          <w:ilvl w:val="0"/>
          <w:numId w:val="2"/>
        </w:numPr>
        <w:spacing w:after="60" w:line="264"/>
      </w:pPr>
      <w:r>
        <w:rPr>
          <w:rFonts w:ascii="Calibri" w:cs="Calibri" w:eastAsia="Calibri" w:hAnsi="Calibri"/>
          <w:color w:val="222222"/>
          <w:sz w:val="21"/>
          <w:szCs w:val="21"/>
        </w:rPr>
        <w:t xml:space="preserve">A README.md describing the dataset and project</w:t>
      </w:r>
    </w:p>
    <w:p>
      <w:pPr>
        <w:pStyle w:val="ListParagraph"/>
        <w:numPr>
          <w:ilvl w:val="0"/>
          <w:numId w:val="2"/>
        </w:numPr>
        <w:spacing w:after="60" w:line="264"/>
      </w:pPr>
      <w:r>
        <w:rPr>
          <w:rFonts w:ascii="Calibri" w:cs="Calibri" w:eastAsia="Calibri" w:hAnsi="Calibri"/>
          <w:color w:val="222222"/>
          <w:sz w:val="21"/>
          <w:szCs w:val="21"/>
        </w:rPr>
        <w:t xml:space="preserve">A one-page summary of key insights on immunization coverage and maternal health trends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abstractNum>
  <w:abstractNum w:abstractNumId="3" w15:restartNumberingAfterBreak="0">
    <w:multiLevelType w:val="hybridMultilevel"/>
    <w:lvl w:ilvl="0" w15:tentative="1">
      <w:start w:val="1"/>
      <w:numFmt w:val="decimal"/>
      <w:lvlText w:val="%1."/>
      <w:lvlJc w:val="left"/>
      <w:pPr>
        <w:ind w:left="26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2026-10-07T09:47:05.192Z</dcterms:created>
  <dcterms:modified xsi:type="dcterms:W3CDTF">2026-10-07T09:47:05.195Z</dcterms:modified>
</cp:coreProperties>
</file>

<file path=docProps/custom.xml><?xml version="1.0" encoding="utf-8"?>
<Properties xmlns="http://schemas.openxmlformats.org/officeDocument/2006/custom-properties" xmlns:vt="http://schemas.openxmlformats.org/officeDocument/2006/docPropsVTypes"/>
</file>