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create a private hosted zone named "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ttn-internal.com</w:t>
        </w:r>
      </w:hyperlink>
      <w:r w:rsidDel="00000000" w:rsidR="00000000" w:rsidRPr="00000000">
        <w:rPr>
          <w:rtl w:val="0"/>
        </w:rPr>
        <w:t xml:space="preserve">" attached to the default vpc. and created a cname record "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myloadbalance.ttn-internal.com</w:t>
        </w:r>
      </w:hyperlink>
      <w:r w:rsidDel="00000000" w:rsidR="00000000" w:rsidRPr="00000000">
        <w:rPr>
          <w:rtl w:val="0"/>
        </w:rPr>
        <w:t xml:space="preserve">" for any load balancer pointed to its dns.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Create a non-public S3 bucket and give appropriate permissions to a server to download objects from the bucket but not to put or delete anything in it.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://ttn-internal.com/" TargetMode="External"/><Relationship Id="rId7" Type="http://schemas.openxmlformats.org/officeDocument/2006/relationships/hyperlink" Target="http://myloadbalance.ttn-internal.com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