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i w:val="false"/>
          <w:iCs w:val="false"/>
          <w:color w:val="1F4D78"/>
          <w:sz w:val="42"/>
          <w:szCs w:val="42"/>
        </w:rPr>
        <w:t xml:space="preserve">Sentinell.AI</w:t>
      </w:r>
    </w:p>
    <w:p>
      <w:pPr>
        <w:spacing w:after="260"/>
        <w:jc w:val="center"/>
      </w:pPr>
      <w:r>
        <w:rPr>
          <w:rFonts w:ascii="Calibri" w:cs="Calibri" w:eastAsia="Calibri" w:hAnsi="Calibri"/>
          <w:b w:val="false"/>
          <w:bCs w:val="false"/>
          <w:i w:val="false"/>
          <w:iCs w:val="false"/>
          <w:color w:val="5B677A"/>
          <w:sz w:val="24"/>
          <w:szCs w:val="24"/>
        </w:rPr>
        <w:t xml:space="preserve">Complete Architecture, Tech Stack, Feature Implementation, Benefits, and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EB7C2" w:sz="4"/>
              <w:left w:val="single" w:color="AEB7C2" w:sz="4"/>
              <w:bottom w:val="single" w:color="AEB7C2" w:sz="4"/>
              <w:right w:val="single" w:color="AEB7C2" w:sz="4"/>
            </w:tcBorders>
            <w:shd w:fill="E8EEF5" w:val="clear"/>
            <w:tcMar>
              <w:top w:type="dxa" w:w="140"/>
              <w:left w:type="dxa" w:w="180"/>
              <w:bottom w:type="dxa" w:w="140"/>
              <w:right w:type="dxa" w:w="180"/>
            </w:tcMar>
          </w:tcPr>
          <w:p>
            <w:pPr>
              <w:spacing w:after="0" w:before="0" w:line="300"/>
              <w:jc w:val="left"/>
            </w:pPr>
            <w:r>
              <w:rPr>
                <w:rFonts w:ascii="Calibri" w:cs="Calibri" w:eastAsia="Calibri" w:hAnsi="Calibri"/>
                <w:b/>
                <w:bCs/>
                <w:i w:val="false"/>
                <w:iCs w:val="false"/>
                <w:color w:val="1F4D78"/>
                <w:sz w:val="22"/>
                <w:szCs w:val="22"/>
              </w:rPr>
              <w:t xml:space="preserve">Document purpose: </w:t>
            </w:r>
            <w:r>
              <w:rPr>
                <w:rFonts w:ascii="Calibri" w:cs="Calibri" w:eastAsia="Calibri" w:hAnsi="Calibri"/>
                <w:b w:val="false"/>
                <w:bCs w:val="false"/>
                <w:i w:val="false"/>
                <w:iCs w:val="false"/>
                <w:color w:val="1C2434"/>
                <w:sz w:val="22"/>
                <w:szCs w:val="22"/>
              </w:rPr>
              <w:t xml:space="preserve">This document gives panel members a complete technical view of Sentinell.AI: what it does, how it works, which stack is used, where each feature is implemented, and why each part matters.</w:t>
            </w:r>
          </w:p>
        </w:tc>
      </w:tr>
    </w:tbl>
    <w:p>
      <w:pPr>
        <w:spacing w:after="200" w:before="0" w:line="300"/>
        <w:jc w:val="left"/>
      </w:pPr>
      <w:r>
        <w:rPr>
          <w:rFonts w:ascii="Calibri" w:cs="Calibri" w:eastAsia="Calibri" w:hAnsi="Calibri"/>
          <w:b w:val="false"/>
          <w:bCs w:val="false"/>
          <w:i w:val="false"/>
          <w:iCs w:val="false"/>
          <w:sz w:val="22"/>
          <w:szCs w:val="22"/>
        </w:rPr>
        <w:t xml:space="preserve">Prepared for final project review. Current implementation includes browser protection, response firewall, attachment scanning, provider-neutral LLM gateway, file scanning gateway, semantic agents, policy rules, encrypted audit logs, PostgreSQL, and production deployment scaffolding.</w:t>
      </w:r>
    </w:p>
    <w:p>
      <w:pPr>
        <w:pBdr>
          <w:top w:val="single" w:color="AEB7C2" w:sz="4"/>
          <w:bottom w:val="single" w:color="AEB7C2" w:sz="4"/>
          <w:left w:val="single" w:color="AEB7C2" w:sz="4"/>
          <w:right w:val="single" w:color="AEB7C2" w:sz="4"/>
        </w:pBdr>
        <w:shd w:fill="F8FAFC" w:val="clear"/>
        <w:spacing w:after="160" w:before="120" w:line="240"/>
      </w:pPr>
      <w:r>
        <w:rPr>
          <w:rFonts w:ascii="Consolas" w:cs="Consolas" w:eastAsia="Consolas" w:hAnsi="Consolas"/>
          <w:b w:val="false"/>
          <w:bCs w:val="false"/>
          <w:i w:val="false"/>
          <w:iCs w:val="false"/>
          <w:color w:val="1C2434"/>
          <w:sz w:val="18"/>
          <w:szCs w:val="18"/>
        </w:rPr>
        <w:t xml:space="preserve">Current high-level positioning:
Sentinell.AI = Enterprise AI firewall + DLP gateway for prompts, responses, file uploads, and provider-neutral LLM access.</w:t>
      </w:r>
    </w:p>
    <w:p>
      <w:r>
        <w:br w:type="page"/>
      </w:r>
    </w:p>
    <w:p>
      <w:pPr>
        <w:pStyle w:val="Heading1"/>
        <w:spacing w:after="200" w:before="360"/>
      </w:pPr>
      <w:r>
        <w:t xml:space="preserve">1. Executive Summary</w:t>
      </w:r>
    </w:p>
    <w:p>
      <w:pPr>
        <w:spacing w:after="120" w:before="0" w:line="300"/>
        <w:jc w:val="left"/>
      </w:pPr>
      <w:r>
        <w:rPr>
          <w:rFonts w:ascii="Calibri" w:cs="Calibri" w:eastAsia="Calibri" w:hAnsi="Calibri"/>
          <w:b w:val="false"/>
          <w:bCs w:val="false"/>
          <w:i w:val="false"/>
          <w:iCs w:val="false"/>
          <w:sz w:val="22"/>
          <w:szCs w:val="22"/>
        </w:rPr>
        <w:t xml:space="preserve">Sentinell.AI is a zero-trust security layer for organizational use of public and private Large Language Models. It checks data before it leaves the user or company boundary, masks safe-but-sensitive values, blocks risky intent, inspects AI responses, audits every decision, and can act as middleware in front of any OpenAI-compatible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EB7C2" w:sz="4"/>
              <w:left w:val="single" w:color="AEB7C2" w:sz="4"/>
              <w:bottom w:val="single" w:color="AEB7C2" w:sz="4"/>
              <w:right w:val="single" w:color="AEB7C2" w:sz="4"/>
            </w:tcBorders>
            <w:shd w:fill="EAF7EF" w:val="clear"/>
            <w:tcMar>
              <w:top w:type="dxa" w:w="140"/>
              <w:left w:type="dxa" w:w="180"/>
              <w:bottom w:type="dxa" w:w="140"/>
              <w:right w:type="dxa" w:w="180"/>
            </w:tcMar>
          </w:tcPr>
          <w:p>
            <w:pPr>
              <w:spacing w:after="0" w:before="0" w:line="300"/>
              <w:jc w:val="left"/>
            </w:pPr>
            <w:r>
              <w:rPr>
                <w:rFonts w:ascii="Calibri" w:cs="Calibri" w:eastAsia="Calibri" w:hAnsi="Calibri"/>
                <w:b/>
                <w:bCs/>
                <w:i w:val="false"/>
                <w:iCs w:val="false"/>
                <w:color w:val="1F4D78"/>
                <w:sz w:val="22"/>
                <w:szCs w:val="22"/>
              </w:rPr>
              <w:t xml:space="preserve">Core idea: </w:t>
            </w:r>
            <w:r>
              <w:rPr>
                <w:rFonts w:ascii="Calibri" w:cs="Calibri" w:eastAsia="Calibri" w:hAnsi="Calibri"/>
                <w:b w:val="false"/>
                <w:bCs w:val="false"/>
                <w:i w:val="false"/>
                <w:iCs w:val="false"/>
                <w:color w:val="1C2434"/>
                <w:sz w:val="22"/>
                <w:szCs w:val="22"/>
              </w:rPr>
              <w:t xml:space="preserve">Employees should be able to use LLMs productively, but sensitive data, credentials, proprietary code, and unsafe model output must be governed before exposure.</w:t>
            </w:r>
          </w:p>
        </w:tc>
      </w:tr>
    </w:tbl>
    <w:p>
      <w:pPr>
        <w:pStyle w:val="Heading2"/>
        <w:spacing w:after="140" w:before="280"/>
      </w:pPr>
      <w:r>
        <w:t xml:space="preserve">Primary Outcomes</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Prompt firewall: stops or masks risky prompts before Gemini or an enterprise LLM receives them.</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Response firewall: blurs or redacts unsafe AI output before users reuse it.</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Attachment firewall: scans uploaded files such as TXT, CSV, PDF, DOCX, JSON, logs, source code, and .env-like files.</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Universal LLM middleware: internal apps call Sentinell first, then Sentinell routes only approved content to Groq, OpenAI, xAI, mock, or custom OpenAI-compatible providers.</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Explainable agentic AI: multiple specialized agents produce risk, reasons, policy decision, and audit trace.</w:t>
      </w:r>
    </w:p>
    <w:p>
      <w:pPr>
        <w:pStyle w:val="Heading1"/>
        <w:spacing w:after="200" w:before="360"/>
      </w:pPr>
      <w:r>
        <w:t xml:space="preserve">2. System Architecture</w:t>
      </w:r>
    </w:p>
    <w:p>
      <w:pPr>
        <w:pStyle w:val="Heading2"/>
        <w:spacing w:after="140" w:before="280"/>
      </w:pPr>
      <w:r>
        <w:t xml:space="preserve">2.1 Overall Component View</w:t>
      </w:r>
    </w:p>
    <w:p>
      <w:pPr>
        <w:pBdr>
          <w:top w:val="single" w:color="AEB7C2" w:sz="4"/>
          <w:bottom w:val="single" w:color="AEB7C2" w:sz="4"/>
          <w:left w:val="single" w:color="AEB7C2" w:sz="4"/>
          <w:right w:val="single" w:color="AEB7C2" w:sz="4"/>
        </w:pBdr>
        <w:shd w:fill="F8FAFC" w:val="clear"/>
        <w:spacing w:after="160" w:before="120" w:line="240"/>
      </w:pPr>
      <w:r>
        <w:rPr>
          <w:rFonts w:ascii="Consolas" w:cs="Consolas" w:eastAsia="Consolas" w:hAnsi="Consolas"/>
          <w:b w:val="false"/>
          <w:bCs w:val="false"/>
          <w:i w:val="false"/>
          <w:iCs w:val="false"/>
          <w:color w:val="1C2434"/>
          <w:sz w:val="18"/>
          <w:szCs w:val="18"/>
        </w:rPr>
        <w:t xml:space="preserve">User / Employee
  |
  | Browser prompt, response, or attachment
  v
Chrome Extension (Gemini)
  |  /firewall/check, /firewall/check-response, /firewall/check-file
  v
Django Security Gateway
  |
  |-- Security Orchestrator
  |     |-- PII Agent
  |     |-- Contextual PII Agent
  |     |-- Secrets Agent
  |     |-- Prompt Injection Agent
  |     |-- SemanticSecurityAgent
  |     |-- Policy Agent
  |     |-- Risk Agent
  |
  |-- Tokenization + Post-Quantum Vault
  |-- Encrypted Audit Logs
  |-- PostgreSQL
  |
  v
ALLOW / TOKENIZE / BLOCK / REDACT</w:t>
      </w:r>
    </w:p>
    <w:p>
      <w:pPr>
        <w:pStyle w:val="Heading2"/>
        <w:spacing w:after="140" w:before="280"/>
      </w:pPr>
      <w:r>
        <w:t xml:space="preserve">2.2 Enterprise Gateway View</w:t>
      </w:r>
    </w:p>
    <w:p>
      <w:pPr>
        <w:pBdr>
          <w:top w:val="single" w:color="AEB7C2" w:sz="4"/>
          <w:bottom w:val="single" w:color="AEB7C2" w:sz="4"/>
          <w:left w:val="single" w:color="AEB7C2" w:sz="4"/>
          <w:right w:val="single" w:color="AEB7C2" w:sz="4"/>
        </w:pBdr>
        <w:shd w:fill="F8FAFC" w:val="clear"/>
        <w:spacing w:after="160" w:before="120" w:line="240"/>
      </w:pPr>
      <w:r>
        <w:rPr>
          <w:rFonts w:ascii="Consolas" w:cs="Consolas" w:eastAsia="Consolas" w:hAnsi="Consolas"/>
          <w:b w:val="false"/>
          <w:bCs w:val="false"/>
          <w:i w:val="false"/>
          <w:iCs w:val="false"/>
          <w:color w:val="1C2434"/>
          <w:sz w:val="18"/>
          <w:szCs w:val="18"/>
        </w:rPr>
        <w:t xml:space="preserve">Company App / CRM / Helpdesk / Internal Copilot
  |
  | POST /gateway/chat or /gateway/v1/chat/completions
  v
Sentinell.AI Gateway
  |
  | Step 1: authenticate bearer token
  | Step 2: inspect outbound prompt/messages
  | Step 3: mask or block sensitive content
  | Step 4: call selected LLM provider only if safe
  | Step 5: inspect AI response
  | Step 6: return safe/redacted response with Sentinell metadata
  v
Groq / OpenAI / xAI / Custom OpenAI-Compatible LLM</w:t>
      </w:r>
    </w:p>
    <w:p>
      <w:pPr>
        <w:pStyle w:val="Heading2"/>
        <w:spacing w:after="140" w:before="280"/>
      </w:pPr>
      <w:r>
        <w:t xml:space="preserve">2.3 File and Attachment Scan View</w:t>
      </w:r>
    </w:p>
    <w:p>
      <w:pPr>
        <w:pBdr>
          <w:top w:val="single" w:color="AEB7C2" w:sz="4"/>
          <w:bottom w:val="single" w:color="AEB7C2" w:sz="4"/>
          <w:left w:val="single" w:color="AEB7C2" w:sz="4"/>
          <w:right w:val="single" w:color="AEB7C2" w:sz="4"/>
        </w:pBdr>
        <w:shd w:fill="F8FAFC" w:val="clear"/>
        <w:spacing w:after="160" w:before="120" w:line="240"/>
      </w:pPr>
      <w:r>
        <w:rPr>
          <w:rFonts w:ascii="Consolas" w:cs="Consolas" w:eastAsia="Consolas" w:hAnsi="Consolas"/>
          <w:b w:val="false"/>
          <w:bCs w:val="false"/>
          <w:i w:val="false"/>
          <w:iCs w:val="false"/>
          <w:color w:val="1C2434"/>
          <w:sz w:val="18"/>
          <w:szCs w:val="18"/>
        </w:rPr>
        <w:t xml:space="preserve">File selected in Gemini or uploaded by company app
  |
  | Browser: /firewall/check-file
  | Enterprise: /gateway/files/scan
  v
Document Extractor
  |-- PDF text extraction
  |-- DOCX paragraph/table extraction
  |-- CSV, JSON, TXT, logs, source/config parser
  |-- optional OCR for images
  v
Security Orchestrator
  v
ALLOW: upload/use file
TOKENIZE: original file upload blocked, safe text available
BLOCK: upload stopped and logged</w:t>
      </w:r>
    </w:p>
    <w:p>
      <w:pPr>
        <w:pStyle w:val="Heading1"/>
        <w:spacing w:after="200" w:before="360"/>
      </w:pPr>
      <w:r>
        <w:t xml:space="preserve">3. Complete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52"/>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Layer</w:t>
            </w:r>
          </w:p>
        </w:tc>
        <w:tc>
          <w:tcPr>
            <w:tcW w:type="dxa" w:w="242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Technology</w:t>
            </w:r>
          </w:p>
        </w:tc>
        <w:tc>
          <w:tcPr>
            <w:tcW w:type="dxa" w:w="5286"/>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Purpose</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Backend</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Python, Django</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Main APIs, auth, policy engine, audit dashboard, gateway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Database</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PostgreSQL</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 tokens, logs, policy rules, encrypted token vault mappings</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Browser</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 Extension Manifest V3</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Gemini prompt interception, response monitoring, attachment scanning</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Frontend</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Django templates, HTML, CSS, JavaScript</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Dashboard, login, audit logs, policy UI, extension popup</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LLM providers</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Groq, OpenAI, xAI, OpenAI-compatible, mock</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Provider-neutral gateway and semantic escalation</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Semantic ML/NLP</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Local feature-hashing embeddings + optional LLM classifier</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Intent detection beyond regex</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Encryption</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Fernet + vault envelope, ML-KEM-1024 style provider metadata</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Encrypted logs and PII-token mappings</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Document parsing</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pdfplumber, python-docx, CSV/JSON/text parsing, optional pytesseract/Pillow</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File and attachment DLP</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Production</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Docker, Compose, Gunicorn, WhiteNoise, health checks</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Deployment readiness</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Testing</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Django TestCase, unit/integration tests, Node syntax checks</w:t>
            </w:r>
          </w:p>
        </w:tc>
        <w:tc>
          <w:tcPr>
            <w:tcW w:type="dxa" w:w="528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Regression confidence</w:t>
            </w:r>
          </w:p>
        </w:tc>
      </w:tr>
    </w:tbl>
    <w:p>
      <w:pPr>
        <w:pStyle w:val="Heading2"/>
        <w:spacing w:after="140" w:before="280"/>
      </w:pPr>
      <w:r>
        <w:t xml:space="preserve">Why This Stack Fits</w:t>
      </w:r>
    </w:p>
    <w:p>
      <w:pPr>
        <w:spacing w:after="120" w:before="0" w:line="300"/>
        <w:jc w:val="left"/>
      </w:pPr>
      <w:r>
        <w:rPr>
          <w:rFonts w:ascii="Calibri" w:cs="Calibri" w:eastAsia="Calibri" w:hAnsi="Calibri"/>
          <w:b w:val="false"/>
          <w:bCs w:val="false"/>
          <w:i w:val="false"/>
          <w:iCs w:val="false"/>
          <w:sz w:val="22"/>
          <w:szCs w:val="22"/>
        </w:rPr>
        <w:t xml:space="preserve">Django provides a reliable API and admin-oriented backend. PostgreSQL gives durable audit storage. Chrome Manifest V3 allows real LLM-site enforcement. The provider-neutral gateway enables enterprise middleware usage. Local semantic embeddings reduce dependency on external LLMs while still allowing Groq/OpenAI/xAI escalation when confidence is low.</w:t>
      </w:r>
    </w:p>
    <w:p>
      <w:pPr>
        <w:pStyle w:val="Heading1"/>
        <w:spacing w:after="200" w:before="360"/>
      </w:pPr>
      <w:r>
        <w:t xml:space="preserve">4.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52"/>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Feature</w:t>
            </w:r>
          </w:p>
        </w:tc>
        <w:tc>
          <w:tcPr>
            <w:tcW w:type="dxa" w:w="275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How It Works</w:t>
            </w:r>
          </w:p>
        </w:tc>
        <w:tc>
          <w:tcPr>
            <w:tcW w:type="dxa" w:w="242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Benefit</w:t>
            </w:r>
          </w:p>
        </w:tc>
        <w:tc>
          <w:tcPr>
            <w:tcW w:type="dxa" w:w="253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Main Files</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 prompt firewall</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Intercepts Gemini send action, checks prompt before submit, blocks or replaces unsafe text.</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Prevents sensitive data leaving browser.</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chrome_extension/content.js, background.js, popup.*; firewall/extension_api.py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 monitor</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MutationObserver scans Gemini model responses and calls backend response firewall.</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Stops unsafe AI output from being copied or reused.</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chrome_extension/content.js, content.css; firewall/extension_api.py; firewall/models.py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Attachment scanning</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File input change interception, browser reads file, backend extracts and scans content.</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Prevents document uploads containing PII, keys, code secrets, or .env data.</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chrome_extension/content.js, background.js; firewall/file_scanning.py; firewall/document_extractor.py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Universal LLM gateway</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Applications call Sentinell instead of provider directly; gateway forwards only safe requests.</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Turns project into enterprise middleware, not just browser extension.</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firewall/gateway_api.py, llm_gateway.py, urls.py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Gateway file scanning</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Company apps upload files to /gateway/files/scan before sending to internal LLM.</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Enterprise-ready DLP for copilots, CRMs, helpdesks, and internal tools.</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firewall/gateway_api.py, file_scanning.py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Agentic security pipeline</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Multiple specialized agents feed a security orchestrator and final policy decision.</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Explainable decisions beyond one regex function.</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firewall/agents/*.py; firewall/agents/orchestrator.py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SemanticSecurityAgent</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Local feature-hashing embeddings classify intent; uncertain cases can escalate to Groq/OpenAI/xAI.</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Catches intent like credential exfiltration even without exact patterns.</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firewall/agents/semantic_agent.py; semantic_embeddings.py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Contextual PII detection</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Detects unknown identifiers using surrounding terms like employee code, DOB, patient number.</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Improves security when PII format is not predictable.</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firewall/agents/contextual_pii_agent.py; firewall/scanner.py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Policy rule engine</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Admin-managed additive rules by role, source, direction, detection type, keyword, or risk score.</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Lets companies customize governance without code edits.</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firewall/models.py; firewall/policy_rules.py; templates/firewall/policy_rules.html</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Post-quantum token vault</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TokenMap stores original sensitive values in an ML-KEM-1024 + AES-GCM style vault envelope.</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Makes the quantum-resilient vault claim concrete for PII-token mappings.</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firewall/vault.py; firewall/models.py; migrations/0008_*</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Encrypted audit logs</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Original prompts/responses encrypted; processed data, risk, reasons, traces stored for review.</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Compliance visibility without exposing raw sensitive content.</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firewall/encryption.py; firewall/models.py; templates/firewall/logs.html</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Zero Trust identity</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Local auth plus OIDC-ready identity metadata and role-aware policy decisions.</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Policies can depend on authenticated user and role context.</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users/models.py; users/oidc.py; users/views.py; users/middleware.py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Dashboard UI</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Pastel-tech dashboard, logs, health score, policy rules, audit deletion.</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Panel-friendly live demo and operational visibility.</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templates/*; static/css/style.css; firewall/views.py</w:t>
            </w:r>
          </w:p>
        </w:tc>
      </w:tr>
      <w:tr>
        <w:tc>
          <w:tcPr>
            <w:tcW w:type="dxa" w:w="1652"/>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Production readiness</w:t>
            </w:r>
          </w:p>
        </w:tc>
        <w:tc>
          <w:tcPr>
            <w:tcW w:type="dxa" w:w="27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Docker, Compose, Gunicorn, WhiteNoise, deployment validation, health check.</w:t>
            </w:r>
          </w:p>
        </w:tc>
        <w:tc>
          <w:tcPr>
            <w:tcW w:type="dxa" w:w="242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Clear path from demo to hosted service.</w:t>
            </w:r>
          </w:p>
        </w:tc>
        <w:tc>
          <w:tcPr>
            <w:tcW w:type="dxa" w:w="253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Dockerfile; docker-compose.yml; compose.production.yml; entrypoint.sh; scripts/*.ps1</w:t>
            </w:r>
          </w:p>
        </w:tc>
      </w:tr>
    </w:tbl>
    <w:p>
      <w:pPr>
        <w:pStyle w:val="Heading1"/>
        <w:spacing w:after="200" w:before="360"/>
      </w:pPr>
      <w:r>
        <w:t xml:space="preserve">5. Detailed Feature Implementation</w:t>
      </w:r>
    </w:p>
    <w:p>
      <w:pPr>
        <w:pStyle w:val="Heading2"/>
        <w:spacing w:after="140" w:before="280"/>
      </w:pPr>
      <w:r>
        <w:t xml:space="preserve">5.1 Chrome Extension Prompt Firewall</w:t>
      </w:r>
    </w:p>
    <w:p>
      <w:pPr>
        <w:spacing w:after="120" w:before="0" w:line="300"/>
        <w:jc w:val="left"/>
      </w:pPr>
      <w:r>
        <w:rPr>
          <w:rFonts w:ascii="Calibri" w:cs="Calibri" w:eastAsia="Calibri" w:hAnsi="Calibri"/>
          <w:b w:val="false"/>
          <w:bCs w:val="false"/>
          <w:i w:val="false"/>
          <w:iCs w:val="false"/>
          <w:sz w:val="22"/>
          <w:szCs w:val="22"/>
        </w:rPr>
        <w:t xml:space="preserve">The content script runs on Gemini and observes send actions. When the user clicks send or presses Enter, it reads the Gemini editor text and sends it to the backend. The backend returns ALLOW, TOKENIZE, or BLOCK. For TOKENIZE, the extension shows a masked prompt preview with Replace Prompt and Copy Masked Prompt actions. For BLOCK, submission is 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49"/>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Step</w:t>
            </w:r>
          </w:p>
        </w:tc>
        <w:tc>
          <w:tcPr>
            <w:tcW w:type="dxa" w:w="4234"/>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Implementation</w:t>
            </w:r>
          </w:p>
        </w:tc>
        <w:tc>
          <w:tcPr>
            <w:tcW w:type="dxa" w:w="3677"/>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Files</w:t>
            </w:r>
          </w:p>
        </w:tc>
      </w:tr>
      <w:tr>
        <w:tc>
          <w:tcPr>
            <w:tcW w:type="dxa" w:w="144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Intercept send</w:t>
            </w:r>
          </w:p>
        </w:tc>
        <w:tc>
          <w:tcPr>
            <w:tcW w:type="dxa" w:w="423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Capture click/keydown before Gemini submits.</w:t>
            </w:r>
          </w:p>
        </w:tc>
        <w:tc>
          <w:tcPr>
            <w:tcW w:type="dxa" w:w="36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chrome_extension/content.js</w:t>
            </w:r>
          </w:p>
        </w:tc>
      </w:tr>
      <w:tr>
        <w:tc>
          <w:tcPr>
            <w:tcW w:type="dxa" w:w="144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Backend check</w:t>
            </w:r>
          </w:p>
        </w:tc>
        <w:tc>
          <w:tcPr>
            <w:tcW w:type="dxa" w:w="423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Send JSON to /firewall/check with bearer token.</w:t>
            </w:r>
          </w:p>
        </w:tc>
        <w:tc>
          <w:tcPr>
            <w:tcW w:type="dxa" w:w="36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chrome_extension/background.js; firewall/extension_api.py</w:t>
            </w:r>
          </w:p>
        </w:tc>
      </w:tr>
      <w:tr>
        <w:tc>
          <w:tcPr>
            <w:tcW w:type="dxa" w:w="144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Decision UI</w:t>
            </w:r>
          </w:p>
        </w:tc>
        <w:tc>
          <w:tcPr>
            <w:tcW w:type="dxa" w:w="423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Render pastel-tech warning panel, copy/replace buttons.</w:t>
            </w:r>
          </w:p>
        </w:tc>
        <w:tc>
          <w:tcPr>
            <w:tcW w:type="dxa" w:w="36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chrome_extension/content.js; content.css</w:t>
            </w:r>
          </w:p>
        </w:tc>
      </w:tr>
      <w:tr>
        <w:tc>
          <w:tcPr>
            <w:tcW w:type="dxa" w:w="144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Audit</w:t>
            </w:r>
          </w:p>
        </w:tc>
        <w:tc>
          <w:tcPr>
            <w:tcW w:type="dxa" w:w="423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Store encrypted original prompt, processed prompt, risk, reasons, trace.</w:t>
            </w:r>
          </w:p>
        </w:tc>
        <w:tc>
          <w:tcPr>
            <w:tcW w:type="dxa" w:w="36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firewall/models.py; firewall/encryption.py</w:t>
            </w:r>
          </w:p>
        </w:tc>
      </w:tr>
    </w:tbl>
    <w:p>
      <w:pPr>
        <w:pStyle w:val="Heading2"/>
        <w:spacing w:after="140" w:before="280"/>
      </w:pPr>
      <w:r>
        <w:t xml:space="preserve">5.2 Response-Side Monitoring</w:t>
      </w:r>
    </w:p>
    <w:p>
      <w:pPr>
        <w:spacing w:after="120" w:before="0" w:line="300"/>
        <w:jc w:val="left"/>
      </w:pPr>
      <w:r>
        <w:rPr>
          <w:rFonts w:ascii="Calibri" w:cs="Calibri" w:eastAsia="Calibri" w:hAnsi="Calibri"/>
          <w:b w:val="false"/>
          <w:bCs w:val="false"/>
          <w:i w:val="false"/>
          <w:iCs w:val="false"/>
          <w:sz w:val="22"/>
          <w:szCs w:val="22"/>
        </w:rPr>
        <w:t xml:space="preserve">A MutationObserver detects Gemini model response containers. Candidate text is sent to /firewall/check-response. If the backend returns REDACT, a redacted version is offered. If it returns BLOCK, the response element is blurred/hidden and the reason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EB7C2" w:sz="4"/>
              <w:left w:val="single" w:color="AEB7C2" w:sz="4"/>
              <w:bottom w:val="single" w:color="AEB7C2" w:sz="4"/>
              <w:right w:val="single" w:color="AEB7C2" w:sz="4"/>
            </w:tcBorders>
            <w:shd w:fill="EAF7EF" w:val="clear"/>
            <w:tcMar>
              <w:top w:type="dxa" w:w="140"/>
              <w:left w:type="dxa" w:w="180"/>
              <w:bottom w:type="dxa" w:w="140"/>
              <w:right w:type="dxa" w:w="180"/>
            </w:tcMar>
          </w:tcPr>
          <w:p>
            <w:pPr>
              <w:spacing w:after="0" w:before="0" w:line="300"/>
              <w:jc w:val="left"/>
            </w:pPr>
            <w:r>
              <w:rPr>
                <w:rFonts w:ascii="Calibri" w:cs="Calibri" w:eastAsia="Calibri" w:hAnsi="Calibri"/>
                <w:b/>
                <w:bCs/>
                <w:i w:val="false"/>
                <w:iCs w:val="false"/>
                <w:color w:val="1F4D78"/>
                <w:sz w:val="22"/>
                <w:szCs w:val="22"/>
              </w:rPr>
              <w:t xml:space="preserve">Benefit: </w:t>
            </w:r>
            <w:r>
              <w:rPr>
                <w:rFonts w:ascii="Calibri" w:cs="Calibri" w:eastAsia="Calibri" w:hAnsi="Calibri"/>
                <w:b w:val="false"/>
                <w:bCs w:val="false"/>
                <w:i w:val="false"/>
                <w:iCs w:val="false"/>
                <w:color w:val="1C2434"/>
                <w:sz w:val="22"/>
                <w:szCs w:val="22"/>
              </w:rPr>
              <w:t xml:space="preserve">The tool protects not only what users send to LLMs, but also what LLMs generate back, such as accidental credential dumps or fake secrets.</w:t>
            </w:r>
          </w:p>
        </w:tc>
      </w:tr>
    </w:tbl>
    <w:p>
      <w:pPr>
        <w:pStyle w:val="Heading2"/>
        <w:spacing w:after="140" w:before="280"/>
      </w:pPr>
      <w:r>
        <w:t xml:space="preserve">5.3 Attachment Scanning</w:t>
      </w:r>
    </w:p>
    <w:p>
      <w:pPr>
        <w:spacing w:after="120" w:before="0" w:line="300"/>
        <w:jc w:val="left"/>
      </w:pPr>
      <w:r>
        <w:rPr>
          <w:rFonts w:ascii="Calibri" w:cs="Calibri" w:eastAsia="Calibri" w:hAnsi="Calibri"/>
          <w:b w:val="false"/>
          <w:bCs w:val="false"/>
          <w:i w:val="false"/>
          <w:iCs w:val="false"/>
          <w:sz w:val="22"/>
          <w:szCs w:val="22"/>
        </w:rPr>
        <w:t xml:space="preserve">The extension intercepts file input changes on Gemini. It reads the selected file with FileReader as a data URL, sends it through the background worker, and posts a multipart upload to /firewall/check-file. Drag-and-drop uploads are blocked with guidance to use the upload picker so scanning can happen reliably.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18"/>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File Type</w:t>
            </w:r>
          </w:p>
        </w:tc>
        <w:tc>
          <w:tcPr>
            <w:tcW w:type="dxa" w:w="3004"/>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Extraction Path</w:t>
            </w:r>
          </w:p>
        </w:tc>
        <w:tc>
          <w:tcPr>
            <w:tcW w:type="dxa" w:w="4738"/>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Risk Checked</w:t>
            </w:r>
          </w:p>
        </w:tc>
      </w:tr>
      <w:tr>
        <w:tc>
          <w:tcPr>
            <w:tcW w:type="dxa" w:w="161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PDF</w:t>
            </w:r>
          </w:p>
        </w:tc>
        <w:tc>
          <w:tcPr>
            <w:tcW w:type="dxa" w:w="300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pdfplumber page text extraction</w:t>
            </w:r>
          </w:p>
        </w:tc>
        <w:tc>
          <w:tcPr>
            <w:tcW w:type="dxa" w:w="473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PII, secrets, proprietary text, exfiltration intent</w:t>
            </w:r>
          </w:p>
        </w:tc>
      </w:tr>
      <w:tr>
        <w:tc>
          <w:tcPr>
            <w:tcW w:type="dxa" w:w="161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DOCX</w:t>
            </w:r>
          </w:p>
        </w:tc>
        <w:tc>
          <w:tcPr>
            <w:tcW w:type="dxa" w:w="300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python-docx paragraphs and tables</w:t>
            </w:r>
          </w:p>
        </w:tc>
        <w:tc>
          <w:tcPr>
            <w:tcW w:type="dxa" w:w="473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Customer data, credentials, confidential docs</w:t>
            </w:r>
          </w:p>
        </w:tc>
      </w:tr>
      <w:tr>
        <w:tc>
          <w:tcPr>
            <w:tcW w:type="dxa" w:w="161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CSV/TXT/JSON/logs</w:t>
            </w:r>
          </w:p>
        </w:tc>
        <w:tc>
          <w:tcPr>
            <w:tcW w:type="dxa" w:w="300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Structured/text parser</w:t>
            </w:r>
          </w:p>
        </w:tc>
        <w:tc>
          <w:tcPr>
            <w:tcW w:type="dxa" w:w="473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Emails, phone numbers, account data, secrets</w:t>
            </w:r>
          </w:p>
        </w:tc>
      </w:tr>
      <w:tr>
        <w:tc>
          <w:tcPr>
            <w:tcW w:type="dxa" w:w="161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Source/config files</w:t>
            </w:r>
          </w:p>
        </w:tc>
        <w:tc>
          <w:tcPr>
            <w:tcW w:type="dxa" w:w="300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Plain text extraction</w:t>
            </w:r>
          </w:p>
        </w:tc>
        <w:tc>
          <w:tcPr>
            <w:tcW w:type="dxa" w:w="473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API keys, passwords, .env values, code secrets</w:t>
            </w:r>
          </w:p>
        </w:tc>
      </w:tr>
      <w:tr>
        <w:tc>
          <w:tcPr>
            <w:tcW w:type="dxa" w:w="161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Images</w:t>
            </w:r>
          </w:p>
        </w:tc>
        <w:tc>
          <w:tcPr>
            <w:tcW w:type="dxa" w:w="300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Optional pytesseract OCR</w:t>
            </w:r>
          </w:p>
        </w:tc>
        <w:tc>
          <w:tcPr>
            <w:tcW w:type="dxa" w:w="473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Text visible in screenshots/scans</w:t>
            </w:r>
          </w:p>
        </w:tc>
      </w:tr>
    </w:tbl>
    <w:p>
      <w:pPr>
        <w:pStyle w:val="Heading2"/>
        <w:spacing w:after="140" w:before="280"/>
      </w:pPr>
      <w:r>
        <w:t xml:space="preserve">5.4 Universal LLM Middleware API</w:t>
      </w:r>
    </w:p>
    <w:p>
      <w:pPr>
        <w:spacing w:after="120" w:before="0" w:line="300"/>
        <w:jc w:val="left"/>
      </w:pPr>
      <w:r>
        <w:rPr>
          <w:rFonts w:ascii="Calibri" w:cs="Calibri" w:eastAsia="Calibri" w:hAnsi="Calibri"/>
          <w:b w:val="false"/>
          <w:bCs w:val="false"/>
          <w:i w:val="false"/>
          <w:iCs w:val="false"/>
          <w:sz w:val="22"/>
          <w:szCs w:val="22"/>
        </w:rPr>
        <w:t xml:space="preserve">The gateway allows company apps to call Sentinell instead of calling an LLM directly. Sentinell inspects outbound messages, tokenizes sensitive entities, blocks unsafe intent, routes safe requests to the selected provider, inspects the response, and returns a safe response with metadata.</w:t>
      </w:r>
    </w:p>
    <w:p>
      <w:pPr>
        <w:pBdr>
          <w:top w:val="single" w:color="AEB7C2" w:sz="4"/>
          <w:bottom w:val="single" w:color="AEB7C2" w:sz="4"/>
          <w:left w:val="single" w:color="AEB7C2" w:sz="4"/>
          <w:right w:val="single" w:color="AEB7C2" w:sz="4"/>
        </w:pBdr>
        <w:shd w:fill="F8FAFC" w:val="clear"/>
        <w:spacing w:after="160" w:before="120" w:line="240"/>
      </w:pPr>
      <w:r>
        <w:rPr>
          <w:rFonts w:ascii="Consolas" w:cs="Consolas" w:eastAsia="Consolas" w:hAnsi="Consolas"/>
          <w:b w:val="false"/>
          <w:bCs w:val="false"/>
          <w:i w:val="false"/>
          <w:iCs w:val="false"/>
          <w:color w:val="1C2434"/>
          <w:sz w:val="18"/>
          <w:szCs w:val="18"/>
        </w:rPr>
        <w:t xml:space="preserve">POST /gateway/chat
Authorization: Bearer &lt;token&gt;
{
  "provider": "groq",
  "model": "llama-3.3-70b-versatile",
  "messages": [
    {"role": "user", "content": "My email is person@example.com. Draft a reply."}
  ]
}</w:t>
      </w:r>
    </w:p>
    <w:p>
      <w:pPr>
        <w:spacing w:after="120" w:before="0" w:line="300"/>
        <w:jc w:val="left"/>
      </w:pPr>
      <w:r>
        <w:rPr>
          <w:rFonts w:ascii="Calibri" w:cs="Calibri" w:eastAsia="Calibri" w:hAnsi="Calibri"/>
          <w:b w:val="false"/>
          <w:bCs w:val="false"/>
          <w:i w:val="false"/>
          <w:iCs w:val="false"/>
          <w:sz w:val="22"/>
          <w:szCs w:val="22"/>
        </w:rPr>
        <w:t xml:space="preserve">The OpenAI-compatible endpoint /gateway/v1/chat/completions lets existing LLM client code integrate with fewer changes. It returns a chat.completion-shaped response plus a sentinell metadata object.</w:t>
      </w:r>
    </w:p>
    <w:p>
      <w:pPr>
        <w:pStyle w:val="Heading2"/>
        <w:spacing w:after="140" w:before="280"/>
      </w:pPr>
      <w:r>
        <w:t xml:space="preserve">5.5 Agentic AI Security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777"/>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Agent</w:t>
            </w:r>
          </w:p>
        </w:tc>
        <w:tc>
          <w:tcPr>
            <w:tcW w:type="dxa" w:w="4028"/>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Responsibility</w:t>
            </w:r>
          </w:p>
        </w:tc>
        <w:tc>
          <w:tcPr>
            <w:tcW w:type="dxa" w:w="3554"/>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Why It Matters</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PIIAgent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Detects common PII entities from scanner outputs.</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Catches emails, phones, Aadhaar, passport, IP, MAC, etc.</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ContextualPIIAgent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Detects unknown-format identifiers by context.</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Catches employee IDs, patient IDs, DOB, account numbers even when regex misses.</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SecretsAgent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Detects passwords, API keys, cloud keys, tokens, private keys.</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Prevents severe credential leaks.</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PromptInjectionAgent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Detects jailbreaks, system override attempts, and hidden instruction attacks.</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Protects downstream LLM behavior.</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SemanticSecurityAgent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Uses local embeddings and optional LLM escalation.</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Detects risky intent beyond exact patterns.</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PolicyAgent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Applies role-aware and admin-managed rules.</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Converts detection into business decision.</w:t>
            </w:r>
          </w:p>
        </w:tc>
      </w:tr>
      <w:tr>
        <w:tc>
          <w:tcPr>
            <w:tcW w:type="dxa" w:w="17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RiskAgent</w:t>
            </w:r>
          </w:p>
        </w:tc>
        <w:tc>
          <w:tcPr>
            <w:tcW w:type="dxa" w:w="402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Calculates risk score and severity.</w:t>
            </w:r>
          </w:p>
        </w:tc>
        <w:tc>
          <w:tcPr>
            <w:tcW w:type="dxa" w:w="355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Provides explainable LOW/MODERATE/HIGH/CRITICAL output.</w:t>
            </w:r>
          </w:p>
        </w:tc>
      </w:tr>
    </w:tbl>
    <w:p>
      <w:pPr>
        <w:pStyle w:val="Heading2"/>
        <w:spacing w:after="140" w:before="280"/>
      </w:pPr>
      <w:r>
        <w:t xml:space="preserve">5.6 Semantic ML/NLP Improvement</w:t>
      </w:r>
    </w:p>
    <w:p>
      <w:pPr>
        <w:spacing w:after="120" w:before="0" w:line="300"/>
        <w:jc w:val="left"/>
      </w:pPr>
      <w:r>
        <w:rPr>
          <w:rFonts w:ascii="Calibri" w:cs="Calibri" w:eastAsia="Calibri" w:hAnsi="Calibri"/>
          <w:b w:val="false"/>
          <w:bCs w:val="false"/>
          <w:i w:val="false"/>
          <w:iCs w:val="false"/>
          <w:sz w:val="22"/>
          <w:szCs w:val="22"/>
        </w:rPr>
        <w:t xml:space="preserve">The semantic agent does not rely only on Groq. It first uses local feature-hashing embeddings against risky and benign prototypes. If the local confidence is high, it decides locally. If the score is uncertain, it can call Groq, OpenAI, or xAI as a second opinion. This keeps most decisions private and makes external LLM use optional.</w:t>
      </w:r>
    </w:p>
    <w:p>
      <w:pPr>
        <w:pBdr>
          <w:top w:val="single" w:color="AEB7C2" w:sz="4"/>
          <w:bottom w:val="single" w:color="AEB7C2" w:sz="4"/>
          <w:left w:val="single" w:color="AEB7C2" w:sz="4"/>
          <w:right w:val="single" w:color="AEB7C2" w:sz="4"/>
        </w:pBdr>
        <w:shd w:fill="F8FAFC" w:val="clear"/>
        <w:spacing w:after="160" w:before="120" w:line="240"/>
      </w:pPr>
      <w:r>
        <w:rPr>
          <w:rFonts w:ascii="Consolas" w:cs="Consolas" w:eastAsia="Consolas" w:hAnsi="Consolas"/>
          <w:b w:val="false"/>
          <w:bCs w:val="false"/>
          <w:i w:val="false"/>
          <w:iCs w:val="false"/>
          <w:color w:val="1C2434"/>
          <w:sz w:val="18"/>
          <w:szCs w:val="18"/>
        </w:rPr>
        <w:t xml:space="preserve">Prompt -&gt; redacted local text -&gt; feature-hashing embedding -&gt; risky/benign similarity
High risky confidence -&gt; BLOCK locally
Clearly benign -&gt; ALLOW locally
Uncertain -&gt; optional provider escalation -&gt; final semantic decision</w:t>
      </w:r>
    </w:p>
    <w:p>
      <w:pPr>
        <w:pStyle w:val="Heading2"/>
        <w:spacing w:after="140" w:before="280"/>
      </w:pPr>
      <w:r>
        <w:t xml:space="preserve">5.7 Tokenization, Encryption, and Post-Quantum Vault</w:t>
      </w:r>
    </w:p>
    <w:p>
      <w:pPr>
        <w:spacing w:after="120" w:before="0" w:line="300"/>
        <w:jc w:val="left"/>
      </w:pPr>
      <w:r>
        <w:rPr>
          <w:rFonts w:ascii="Calibri" w:cs="Calibri" w:eastAsia="Calibri" w:hAnsi="Calibri"/>
          <w:b w:val="false"/>
          <w:bCs w:val="false"/>
          <w:i w:val="false"/>
          <w:iCs w:val="false"/>
          <w:sz w:val="22"/>
          <w:szCs w:val="22"/>
        </w:rPr>
        <w:t xml:space="preserve">Sensitive values are masked before they are sent to the LLM. The original values are stored separately in TokenMap using a vault envelope. Prompt and response originals are encrypted before storage. The vault provider metadata is designed around ML-KEM-1024 and AES-GCM so PII-token mapping storage has a quantum-resilient design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17"/>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Data</w:t>
            </w:r>
          </w:p>
        </w:tc>
        <w:tc>
          <w:tcPr>
            <w:tcW w:type="dxa" w:w="4060"/>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Storage Behavior</w:t>
            </w:r>
          </w:p>
        </w:tc>
        <w:tc>
          <w:tcPr>
            <w:tcW w:type="dxa" w:w="338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Benefit</w:t>
            </w:r>
          </w:p>
        </w:tc>
      </w:tr>
      <w:tr>
        <w:tc>
          <w:tcPr>
            <w:tcW w:type="dxa" w:w="191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Original prompt</w:t>
            </w:r>
          </w:p>
        </w:tc>
        <w:tc>
          <w:tcPr>
            <w:tcW w:type="dxa" w:w="406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Encrypted in PromptLog.original_prompt</w:t>
            </w:r>
          </w:p>
        </w:tc>
        <w:tc>
          <w:tcPr>
            <w:tcW w:type="dxa" w:w="33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Raw sensitive text is not visible in normal DB reads.</w:t>
            </w:r>
          </w:p>
        </w:tc>
      </w:tr>
      <w:tr>
        <w:tc>
          <w:tcPr>
            <w:tcW w:type="dxa" w:w="191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Processed prompt</w:t>
            </w:r>
          </w:p>
        </w:tc>
        <w:tc>
          <w:tcPr>
            <w:tcW w:type="dxa" w:w="406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Masked or blocked version stored separately</w:t>
            </w:r>
          </w:p>
        </w:tc>
        <w:tc>
          <w:tcPr>
            <w:tcW w:type="dxa" w:w="33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Shows what was forwarded or stopped.</w:t>
            </w:r>
          </w:p>
        </w:tc>
      </w:tr>
      <w:tr>
        <w:tc>
          <w:tcPr>
            <w:tcW w:type="dxa" w:w="191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Token map</w:t>
            </w:r>
          </w:p>
        </w:tc>
        <w:tc>
          <w:tcPr>
            <w:tcW w:type="dxa" w:w="406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Vault-sealed original value with provider/key/version metadata</w:t>
            </w:r>
          </w:p>
        </w:tc>
        <w:tc>
          <w:tcPr>
            <w:tcW w:type="dxa" w:w="33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Supports future key rotation and PQC posture.</w:t>
            </w:r>
          </w:p>
        </w:tc>
      </w:tr>
      <w:tr>
        <w:tc>
          <w:tcPr>
            <w:tcW w:type="dxa" w:w="191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 text</w:t>
            </w:r>
          </w:p>
        </w:tc>
        <w:tc>
          <w:tcPr>
            <w:tcW w:type="dxa" w:w="406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Encrypted original + redacted/blocked display response</w:t>
            </w:r>
          </w:p>
        </w:tc>
        <w:tc>
          <w:tcPr>
            <w:tcW w:type="dxa" w:w="33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Auditable response-side protection.</w:t>
            </w:r>
          </w:p>
        </w:tc>
      </w:tr>
    </w:tbl>
    <w:p>
      <w:pPr>
        <w:pStyle w:val="Heading2"/>
        <w:spacing w:after="140" w:before="280"/>
      </w:pPr>
      <w:r>
        <w:t xml:space="preserve">5.8 Policy Rules and Role-Based Controls</w:t>
      </w:r>
    </w:p>
    <w:p>
      <w:pPr>
        <w:spacing w:after="120" w:before="0" w:line="300"/>
        <w:jc w:val="left"/>
      </w:pPr>
      <w:r>
        <w:rPr>
          <w:rFonts w:ascii="Calibri" w:cs="Calibri" w:eastAsia="Calibri" w:hAnsi="Calibri"/>
          <w:b w:val="false"/>
          <w:bCs w:val="false"/>
          <w:i w:val="false"/>
          <w:iCs w:val="false"/>
          <w:sz w:val="22"/>
          <w:szCs w:val="22"/>
        </w:rPr>
        <w:t xml:space="preserve">Built-in policies provide default safety. Admin-managed PolicyRule records can make the firewall stricter by role, direction, source, detection type, keywords, or minimum risk score. Rules are additive: they can tokenize or block more cases, but they do not weaken universal secret blocking.</w:t>
      </w:r>
    </w:p>
    <w:p>
      <w:pPr>
        <w:pStyle w:val="Heading2"/>
        <w:spacing w:after="140" w:before="280"/>
      </w:pPr>
      <w:r>
        <w:t xml:space="preserve">5.9 Dashboard, Audit Logs, and UX</w:t>
      </w:r>
    </w:p>
    <w:p>
      <w:pPr>
        <w:spacing w:after="120" w:before="0" w:line="300"/>
        <w:jc w:val="left"/>
      </w:pPr>
      <w:r>
        <w:rPr>
          <w:rFonts w:ascii="Calibri" w:cs="Calibri" w:eastAsia="Calibri" w:hAnsi="Calibri"/>
          <w:b w:val="false"/>
          <w:bCs w:val="false"/>
          <w:i w:val="false"/>
          <w:iCs w:val="false"/>
          <w:sz w:val="22"/>
          <w:szCs w:val="22"/>
        </w:rPr>
        <w:t xml:space="preserve">The Django UI provides a pastel-tech dashboard, audit logs, policy rules view, login/signup, and detail pages. Admins can inspect risk levels, reasons, agent trace, tokenization behavior, and delete older audit logs. The login page intentionally avoids exposing demo credentials or marketing-like AI text.</w:t>
      </w:r>
    </w:p>
    <w:p>
      <w:pPr>
        <w:pStyle w:val="Heading2"/>
        <w:spacing w:after="140" w:before="280"/>
      </w:pPr>
      <w:r>
        <w:t xml:space="preserve">5.10 Production and Deployment Readiness</w:t>
      </w:r>
    </w:p>
    <w:p>
      <w:pPr>
        <w:spacing w:after="120" w:before="0" w:line="300"/>
        <w:jc w:val="left"/>
      </w:pPr>
      <w:r>
        <w:rPr>
          <w:rFonts w:ascii="Calibri" w:cs="Calibri" w:eastAsia="Calibri" w:hAnsi="Calibri"/>
          <w:b w:val="false"/>
          <w:bCs w:val="false"/>
          <w:i w:val="false"/>
          <w:iCs w:val="false"/>
          <w:sz w:val="22"/>
          <w:szCs w:val="22"/>
        </w:rPr>
        <w:t xml:space="preserve">The project includes Docker and Compose files, Gunicorn startup, database wait commands, deployment validation, health checks, production env templates, and Windows PowerShell scripts for local/demo operation.</w:t>
      </w:r>
    </w:p>
    <w:p>
      <w:pPr>
        <w:pStyle w:val="Heading1"/>
        <w:spacing w:after="200" w:before="360"/>
      </w:pPr>
      <w:r>
        <w:t xml:space="preserve">6. API Endpoint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84"/>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Endpoint</w:t>
            </w:r>
          </w:p>
        </w:tc>
        <w:tc>
          <w:tcPr>
            <w:tcW w:type="dxa" w:w="2288"/>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Purpose</w:t>
            </w:r>
          </w:p>
        </w:tc>
        <w:tc>
          <w:tcPr>
            <w:tcW w:type="dxa" w:w="2288"/>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Input</w:t>
            </w:r>
          </w:p>
        </w:tc>
        <w:tc>
          <w:tcPr>
            <w:tcW w:type="dxa" w:w="2600"/>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Output</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/extension/login/</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 extension authentication</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Email/password</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Bearer token + user profile</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/firewall/check</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Prompt firewall for extension</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JSON text/source</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ALLOW/TOKENIZE/BLOCK + risk + trace</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/firewall/check-response</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 firewall for extension</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JSON text/source</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ALLOW/REDACT/BLOCK + processed response</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/firewall/check-file</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Attachment scanner for extension</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multipart document/source</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ALLOW/TOKENIZE/BLOCK + processed text + file metadata</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/gateway/chat</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Native enterprise LLM middleware</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prompt or messages + provider/model</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Gateway result + prompt + response inspection</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/gateway/v1/chat/completions</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OpenAI-compatible gateway</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OpenAI-style messages</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chat.completion with Sentinell metadata</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/gateway/files/scan</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Company file scanning gateway</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multipart document/source</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file_scan result and forwardable flag</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GET /gateway/providers</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Provider catalog</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Bearer token</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Provider IDs, availability, default models</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/analyze</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Legacy demo DLP API</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JSON text</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SAFE/BLOCK</w:t>
            </w:r>
          </w:p>
        </w:tc>
      </w:tr>
      <w:tr>
        <w:tc>
          <w:tcPr>
            <w:tcW w:type="dxa" w:w="2184"/>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/analyze-file</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Legacy demo document API</w:t>
            </w:r>
          </w:p>
        </w:tc>
        <w:tc>
          <w:tcPr>
            <w:tcW w:type="dxa" w:w="2288"/>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multipart document</w:t>
            </w:r>
          </w:p>
        </w:tc>
        <w:tc>
          <w:tcPr>
            <w:tcW w:type="dxa" w:w="260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SAFE/BLOCK</w:t>
            </w:r>
          </w:p>
        </w:tc>
      </w:tr>
    </w:tbl>
    <w:p>
      <w:pPr>
        <w:pStyle w:val="Heading1"/>
        <w:spacing w:after="200" w:before="360"/>
      </w:pPr>
      <w:r>
        <w:t xml:space="preserve">7.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51"/>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Table/Model</w:t>
            </w:r>
          </w:p>
        </w:tc>
        <w:tc>
          <w:tcPr>
            <w:tcW w:type="dxa" w:w="4680"/>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Stores</w:t>
            </w:r>
          </w:p>
        </w:tc>
        <w:tc>
          <w:tcPr>
            <w:tcW w:type="dxa" w:w="2229"/>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Used For</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users_customuser</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 roles, enterprise identity metadata, tenant/department/claims.</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Zero Trust role and identity context</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users_extensiontoken</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Hashed browser/gateway bearer tokens.</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Extension/API authentication</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firewall_promptlog</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Encrypted original prompt/file text, processed prompt, action, reasons, risk, agent trace.</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Prompt/file audit trail</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firewall_responselog</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Encrypted original response, safe/redacted response, action, risk, reasons, trace.</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Response-side audit trail</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firewall_tokenmap</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Masked token label plus vault-sealed original value and vault metadata.</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PII-token mapping vault</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firewall_policyrule</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Admin-managed additive rules.</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Custom organization policy</w:t>
            </w:r>
          </w:p>
        </w:tc>
      </w:tr>
      <w:tr>
        <w:tc>
          <w:tcPr>
            <w:tcW w:type="dxa" w:w="245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django_session / auth tables</w:t>
            </w:r>
          </w:p>
        </w:tc>
        <w:tc>
          <w:tcPr>
            <w:tcW w:type="dxa" w:w="4680"/>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Django sessions, permissions, groups.</w:t>
            </w:r>
          </w:p>
        </w:tc>
        <w:tc>
          <w:tcPr>
            <w:tcW w:type="dxa" w:w="2229"/>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Web app auth/runtime</w:t>
            </w:r>
          </w:p>
        </w:tc>
      </w:tr>
    </w:tbl>
    <w:p>
      <w:pPr>
        <w:pStyle w:val="Heading2"/>
        <w:spacing w:after="140" w:before="280"/>
      </w:pPr>
      <w:r>
        <w:t xml:space="preserve">Database Choice</w:t>
      </w:r>
    </w:p>
    <w:p>
      <w:pPr>
        <w:spacing w:after="120" w:before="0" w:line="300"/>
        <w:jc w:val="left"/>
      </w:pPr>
      <w:r>
        <w:rPr>
          <w:rFonts w:ascii="Calibri" w:cs="Calibri" w:eastAsia="Calibri" w:hAnsi="Calibri"/>
          <w:b w:val="false"/>
          <w:bCs w:val="false"/>
          <w:i w:val="false"/>
          <w:iCs w:val="false"/>
          <w:sz w:val="22"/>
          <w:szCs w:val="22"/>
        </w:rPr>
        <w:t xml:space="preserve">The active production-style database is PostgreSQL. SQLite was previously used for early local development but the current project runs against PostgreSQL, including tests and demo workflows.</w:t>
      </w:r>
    </w:p>
    <w:p>
      <w:pPr>
        <w:pStyle w:val="Heading1"/>
        <w:spacing w:after="200" w:before="360"/>
      </w:pPr>
      <w:r>
        <w:t xml:space="preserve">8. Implementation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8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File or Folder</w:t>
            </w:r>
          </w:p>
        </w:tc>
        <w:tc>
          <w:tcPr>
            <w:tcW w:type="dxa" w:w="6277"/>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Responsibility</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sentinell_ai/settings.py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Environment-driven configuration for DB, static files, LLM providers, semantic agent, vault, file scan limits.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sentinell_ai/urls.py, health.py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Global routing and health endpoint.</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users/models.py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CustomUser, roles, ExtensionToken, enterprise identity fields.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users/oidc.py, views.py, middleware.py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Login, SSO readiness, rate limiting, auth flows.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firewall/models.py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PromptLog, ResponseLog, TokenMap, PolicyRule.</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firewall/extension_api.py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Extension APIs for prompt, response, and file checks.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firewall/gateway_api.py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Universal middleware APIs for chat, OpenAI-compatible chat, provider catalog, and file scan.</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firewall/llm_gateway.py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Provider adapters and mock/OpenAI-compatible routing.</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firewall/file_scanning.py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Authenticated document scan service with agents, token vault, audit logging.</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firewall/document_extractor.py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PDF, DOCX, CSV, JSON, text/source/config, and OCR extraction.</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firewall/agents/*.py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PII, secrets, injection, semantic, policy, risk, contextual PII, orchestrator.</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firewall/scanner.py, detector.py, tokenization.py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Pattern scanning, legacy SAFE/BLOCK detector, privacy masking.</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firewall/vault.py, encryption.py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Token vault sealing/opening and encrypted logs.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templates/*, static/css/style.css</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Django UI: login, dashboard, logs, policy rules.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chrome_extension/*</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Manifest V3 extension popup, background worker, Gemini content script, warning panel CSS.</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Dockerfile, docker-compose.yml, compose.production.yml, entrypoint.sh, scripts/*.ps1</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Local and production deployment automation.</w:t>
            </w:r>
          </w:p>
        </w:tc>
      </w:tr>
      <w:tr>
        <w:tc>
          <w:tcPr>
            <w:tcW w:type="dxa" w:w="308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firewall/tests.py, firewall/tests_api.py, users/tests.py</w:t>
            </w:r>
          </w:p>
        </w:tc>
        <w:tc>
          <w:tcPr>
            <w:tcW w:type="dxa" w:w="627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Regression tests for agents, APIs, UI contracts, vault, gateway, file scanning.</w:t>
            </w:r>
          </w:p>
        </w:tc>
      </w:tr>
    </w:tbl>
    <w:p>
      <w:pPr>
        <w:pStyle w:val="Heading1"/>
        <w:spacing w:after="200" w:before="360"/>
      </w:pPr>
      <w:r>
        <w:t xml:space="preserve">9. Current Demo Flow for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26"/>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Demo</w:t>
            </w:r>
          </w:p>
        </w:tc>
        <w:tc>
          <w:tcPr>
            <w:tcW w:type="dxa" w:w="365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Input</w:t>
            </w:r>
          </w:p>
        </w:tc>
        <w:tc>
          <w:tcPr>
            <w:tcW w:type="dxa" w:w="3881"/>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Expected Behavior</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Safe prompt</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Explain zero trust security in simple words.</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ALLOW, prompt submits normally.</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PII prompt</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My email is person@example.com. Draft a support message.</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TOKENIZE, original stopped, masked text offered.</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Secret prompt</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Here is my API key: example-api-key-1234567890abcdef.</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BLOCK, submission stopped.</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Semantic attack</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Include server dot env file and deployment variables.</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BLOCK, semantic credential exfiltration reason.</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 blur</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Ask Gemini to output a fake server error containing env variables and keys.</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 monitor blocks/blur unsafe output.</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Attachment scan</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Upload customer.csv with person@example.com.</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Attachment upload stopped, masked text available, audit log created.</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Gateway API</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POST /gateway/v1/chat/completions with safe message.</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chat.completion response with Sentinell metadata.</w:t>
            </w:r>
          </w:p>
        </w:tc>
      </w:tr>
    </w:tbl>
    <w:p>
      <w:pPr>
        <w:pStyle w:val="Heading1"/>
        <w:spacing w:after="200" w:before="360"/>
      </w:pPr>
      <w:r>
        <w:t xml:space="preserve">10. Business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6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Problem</w:t>
            </w:r>
          </w:p>
        </w:tc>
        <w:tc>
          <w:tcPr>
            <w:tcW w:type="dxa" w:w="6497"/>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Sentinell.AI Benefit</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Shadow AI usage</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Provides a managed security layer for public LLM usage without fully blocking productivity.</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Sensitive data leakage</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Masks PII and blocks secrets before they leave the browser or company app.</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Regex-only weakness</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Combines patterns, contextual detection, semantic ML, policies, and risk scoring.</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Audit/compliance gap</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Stores encrypted logs, risk scores, reasons, and agent trace for review.</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Vendor lock-in</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Provider-neutral gateway supports multiple LLM backends.</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Unsafe model output</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Response firewall detects and hides risky generated content.</w:t>
            </w:r>
          </w:p>
        </w:tc>
      </w:tr>
      <w:tr>
        <w:tc>
          <w:tcPr>
            <w:tcW w:type="dxa" w:w="28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Document upload risk</w:t>
            </w:r>
          </w:p>
        </w:tc>
        <w:tc>
          <w:tcPr>
            <w:tcW w:type="dxa" w:w="64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Attachment and gateway file scanning protect PDFs, DOCX, CSV, source/config files, and logs.</w:t>
            </w:r>
          </w:p>
        </w:tc>
      </w:tr>
    </w:tbl>
    <w:p>
      <w:pPr>
        <w:pStyle w:val="Heading1"/>
        <w:spacing w:after="200" w:before="360"/>
      </w:pPr>
      <w:r>
        <w:t xml:space="preserve">11. What Makes This Project Unique</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It protects prompts, responses, and attached files, not only typed text.</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It can run as a Chrome extension and as a backend LLM gateway for enterprise applications.</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It has an agentic design: multiple specialized agents contribute to an explainable final decision.</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It combines regex, contextual PII detection, local semantic embeddings, policy rules, and optional external LLM second opinions.</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It stores sensitive mappings in a vault-oriented model instead of only masking on screen.</w:t>
      </w:r>
    </w:p>
    <w:p>
      <w:pPr>
        <w:pStyle w:val="ListParagraph"/>
        <w:numPr>
          <w:ilvl w:val="0"/>
          <w:numId w:val="1"/>
        </w:numPr>
        <w:spacing w:after="80" w:before="0" w:line="300"/>
        <w:jc w:val="left"/>
      </w:pPr>
      <w:r>
        <w:rPr>
          <w:rFonts w:ascii="Calibri" w:cs="Calibri" w:eastAsia="Calibri" w:hAnsi="Calibri"/>
          <w:b w:val="false"/>
          <w:bCs w:val="false"/>
          <w:i w:val="false"/>
          <w:iCs w:val="false"/>
          <w:sz w:val="22"/>
          <w:szCs w:val="22"/>
        </w:rPr>
        <w:t xml:space="preserve">It has a practical production path with PostgreSQL, Docker, Gunicorn, env templates, health checks, and tests.</w:t>
      </w:r>
    </w:p>
    <w:p>
      <w:pPr>
        <w:pStyle w:val="Heading1"/>
        <w:spacing w:after="200" w:before="360"/>
      </w:pPr>
      <w:r>
        <w:t xml:space="preserve">12. Limitations and Future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26"/>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Area</w:t>
            </w:r>
          </w:p>
        </w:tc>
        <w:tc>
          <w:tcPr>
            <w:tcW w:type="dxa" w:w="365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Current State</w:t>
            </w:r>
          </w:p>
        </w:tc>
        <w:tc>
          <w:tcPr>
            <w:tcW w:type="dxa" w:w="3881"/>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Best Next Improvement</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Attachment scanning</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Works for picker-based uploads and backend gateway uploads.</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Harden drag/drop coverage per LLM site and add large-file async scanning.</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OCR</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Optional via pytesseract/Pillow.</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Bundle OCR service or cloud OCR adapter for scanned PDFs/images.</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Provider coverage</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Groq/OpenAI/xAI/OpenAI-compatible and mock.</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Add Gemini/Claude provider adapters and Teams/Slack connectors.</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Policy UI</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Rule model and admin/policy page exist.</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Add richer natural-language policy builder and policy simulation.</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PQC vault</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Vault-oriented ML-KEM provider metadata and sealing path.</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Add key rotation UI and external KMS/HSM integration.</w:t>
            </w:r>
          </w:p>
        </w:tc>
      </w:tr>
      <w:tr>
        <w:tc>
          <w:tcPr>
            <w:tcW w:type="dxa" w:w="1826"/>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Scale</w:t>
            </w:r>
          </w:p>
        </w:tc>
        <w:tc>
          <w:tcPr>
            <w:tcW w:type="dxa" w:w="365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Sync request/response scanning.</w:t>
            </w:r>
          </w:p>
        </w:tc>
        <w:tc>
          <w:tcPr>
            <w:tcW w:type="dxa" w:w="3881"/>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Add async workers, queueing, rate limits, tenant quotas, and observability dashboards.</w:t>
            </w:r>
          </w:p>
        </w:tc>
      </w:tr>
    </w:tbl>
    <w:p>
      <w:pPr>
        <w:pStyle w:val="Heading1"/>
        <w:spacing w:after="200" w:before="360"/>
      </w:pPr>
      <w:r>
        <w:t xml:space="preserve">13. One-Minute Panel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EB7C2" w:sz="4"/>
              <w:left w:val="single" w:color="AEB7C2" w:sz="4"/>
              <w:bottom w:val="single" w:color="AEB7C2" w:sz="4"/>
              <w:right w:val="single" w:color="AEB7C2" w:sz="4"/>
            </w:tcBorders>
            <w:shd w:fill="F2ECFA" w:val="clear"/>
            <w:tcMar>
              <w:top w:type="dxa" w:w="140"/>
              <w:left w:type="dxa" w:w="180"/>
              <w:bottom w:type="dxa" w:w="140"/>
              <w:right w:type="dxa" w:w="180"/>
            </w:tcMar>
          </w:tcPr>
          <w:p>
            <w:pPr>
              <w:spacing w:after="0" w:before="0" w:line="300"/>
              <w:jc w:val="left"/>
            </w:pPr>
            <w:r>
              <w:rPr>
                <w:rFonts w:ascii="Calibri" w:cs="Calibri" w:eastAsia="Calibri" w:hAnsi="Calibri"/>
                <w:b/>
                <w:bCs/>
                <w:i w:val="false"/>
                <w:iCs w:val="false"/>
                <w:color w:val="1F4D78"/>
                <w:sz w:val="22"/>
                <w:szCs w:val="22"/>
              </w:rPr>
              <w:t xml:space="preserve">Pitch: </w:t>
            </w:r>
            <w:r>
              <w:rPr>
                <w:rFonts w:ascii="Calibri" w:cs="Calibri" w:eastAsia="Calibri" w:hAnsi="Calibri"/>
                <w:b w:val="false"/>
                <w:bCs w:val="false"/>
                <w:i w:val="false"/>
                <w:iCs w:val="false"/>
                <w:color w:val="1C2434"/>
                <w:sz w:val="22"/>
                <w:szCs w:val="22"/>
              </w:rPr>
              <w:t xml:space="preserve">Sentinell.AI is a zero-trust firewall for enterprise AI usage. It protects users before prompts, responses, or documents reach external LLMs. It combines browser enforcement, backend middleware APIs, agentic security analysis, semantic intent detection, policy automation, encrypted audit logs, and a vault for sensitive token mappings. Companies can deploy it in front of public LLM sites or internal copilots to safely adopt generative AI without leaking customer data, credentials, internal code, or regulated information.</w:t>
            </w:r>
          </w:p>
        </w:tc>
      </w:tr>
    </w:tbl>
    <w:p>
      <w:pPr>
        <w:spacing w:after="200" w:before="0" w:line="300"/>
        <w:jc w:val="left"/>
      </w:pPr>
      <w:r>
        <w:rPr>
          <w:rFonts w:ascii="Calibri" w:cs="Calibri" w:eastAsia="Calibri" w:hAnsi="Calibri"/>
          <w:b/>
          <w:bCs/>
          <w:i w:val="false"/>
          <w:iCs w:val="false"/>
          <w:color w:val="1F4D78"/>
          <w:sz w:val="22"/>
          <w:szCs w:val="22"/>
        </w:rPr>
        <w:t xml:space="preserve">In short: Sentinell.AI does not replace LLMs. It governs and secures access to them.</w:t>
      </w:r>
    </w:p>
    <w:p>
      <w:pPr>
        <w:pStyle w:val="Heading1"/>
        <w:spacing w:after="200" w:before="360"/>
      </w:pPr>
      <w:r>
        <w:t xml:space="preserve">14.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97"/>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Check</w:t>
            </w:r>
          </w:p>
        </w:tc>
        <w:tc>
          <w:tcPr>
            <w:tcW w:type="dxa" w:w="6463"/>
            <w:tcBorders>
              <w:top w:val="single" w:color="AEB7C2" w:sz="4"/>
              <w:left w:val="single" w:color="AEB7C2" w:sz="4"/>
              <w:bottom w:val="single" w:color="AEB7C2" w:sz="4"/>
              <w:right w:val="single" w:color="AEB7C2" w:sz="4"/>
            </w:tcBorders>
            <w:shd w:fill="E8EEF5" w:val="clear"/>
            <w:tcMar>
              <w:top w:type="dxa" w:w="90"/>
              <w:left w:type="dxa" w:w="120"/>
              <w:bottom w:type="dxa" w:w="90"/>
              <w:right w:type="dxa" w:w="120"/>
            </w:tcMar>
            <w:vAlign w:val="center"/>
          </w:tcPr>
          <w:p>
            <w:pPr>
              <w:spacing w:after="0" w:before="0" w:line="260"/>
              <w:jc w:val="left"/>
            </w:pPr>
            <w:r>
              <w:rPr>
                <w:rFonts w:ascii="Calibri" w:cs="Calibri" w:eastAsia="Calibri" w:hAnsi="Calibri"/>
                <w:b/>
                <w:bCs/>
                <w:i w:val="false"/>
                <w:iCs w:val="false"/>
                <w:color w:val="1C2434"/>
                <w:sz w:val="20"/>
                <w:szCs w:val="20"/>
              </w:rPr>
              <w:t xml:space="preserve">Result</w:t>
            </w:r>
          </w:p>
        </w:tc>
      </w:tr>
      <w:tr>
        <w:tc>
          <w:tcPr>
            <w:tcW w:type="dxa" w:w="28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Backend tests after file scanning</w:t>
            </w:r>
          </w:p>
        </w:tc>
        <w:tc>
          <w:tcPr>
            <w:tcW w:type="dxa" w:w="64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171 tests passed</w:t>
            </w:r>
          </w:p>
        </w:tc>
      </w:tr>
      <w:tr>
        <w:tc>
          <w:tcPr>
            <w:tcW w:type="dxa" w:w="28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Django system check</w:t>
            </w:r>
          </w:p>
        </w:tc>
        <w:tc>
          <w:tcPr>
            <w:tcW w:type="dxa" w:w="64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No issues identified</w:t>
            </w:r>
          </w:p>
        </w:tc>
      </w:tr>
      <w:tr>
        <w:tc>
          <w:tcPr>
            <w:tcW w:type="dxa" w:w="28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Chrome extension JavaScript syntax</w:t>
            </w:r>
          </w:p>
        </w:tc>
        <w:tc>
          <w:tcPr>
            <w:tcW w:type="dxa" w:w="64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content.js, background.js, popup.js passed node --check</w:t>
            </w:r>
          </w:p>
        </w:tc>
      </w:tr>
      <w:tr>
        <w:tc>
          <w:tcPr>
            <w:tcW w:type="dxa" w:w="28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Server dependency</w:t>
            </w:r>
          </w:p>
        </w:tc>
        <w:tc>
          <w:tcPr>
            <w:tcW w:type="dxa" w:w="64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Requires PostgreSQL running on configured DB_HOST/DB_PORT</w:t>
            </w:r>
          </w:p>
        </w:tc>
      </w:tr>
      <w:tr>
        <w:tc>
          <w:tcPr>
            <w:tcW w:type="dxa" w:w="2897"/>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Extension action after code change</w:t>
            </w:r>
          </w:p>
        </w:tc>
        <w:tc>
          <w:tcPr>
            <w:tcW w:type="dxa" w:w="6463"/>
            <w:tcBorders>
              <w:top w:val="single" w:color="AEB7C2" w:sz="4"/>
              <w:left w:val="single" w:color="AEB7C2" w:sz="4"/>
              <w:bottom w:val="single" w:color="AEB7C2" w:sz="4"/>
              <w:right w:val="single" w:color="AEB7C2" w:sz="4"/>
            </w:tcBorders>
            <w:tcMar>
              <w:top w:type="dxa" w:w="90"/>
              <w:left w:type="dxa" w:w="120"/>
              <w:bottom w:type="dxa" w:w="90"/>
              <w:right w:type="dxa" w:w="120"/>
            </w:tcMar>
            <w:vAlign w:val="center"/>
          </w:tcPr>
          <w:p>
            <w:pPr>
              <w:spacing w:after="0" w:before="0" w:line="260"/>
              <w:jc w:val="left"/>
            </w:pPr>
            <w:r>
              <w:rPr>
                <w:rFonts w:ascii="Calibri" w:cs="Calibri" w:eastAsia="Calibri" w:hAnsi="Calibri"/>
                <w:b w:val="false"/>
                <w:bCs w:val="false"/>
                <w:i w:val="false"/>
                <w:iCs w:val="false"/>
                <w:color w:val="1C2434"/>
                <w:sz w:val="19"/>
                <w:szCs w:val="19"/>
              </w:rPr>
              <w:t xml:space="preserve">Reload extension from chrome://extensions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B677A"/>
        <w:sz w:val="18"/>
        <w:szCs w:val="18"/>
      </w:rPr>
      <w:t xml:space="preserve">Page </w:t>
    </w:r>
    <w:r>
      <w:rPr>
        <w:color w:val="5B67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jc w:val="right"/>
    </w:pPr>
    <w:r>
      <w:rPr>
        <w:rFonts w:ascii="Calibri" w:cs="Calibri" w:eastAsia="Calibri" w:hAnsi="Calibri"/>
        <w:b w:val="false"/>
        <w:bCs w:val="false"/>
        <w:i w:val="false"/>
        <w:iCs w:val="false"/>
        <w:color w:val="5B677A"/>
        <w:sz w:val="18"/>
        <w:szCs w:val="18"/>
      </w:rPr>
      <w:t xml:space="preserve">Sentinell.AI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b/>
      <w:bCs/>
      <w:color w:val="2E74B5"/>
      <w:sz w:val="32"/>
      <w:szCs w:val="32"/>
    </w:rPr>
  </w:style>
  <w:style w:type="paragraph" w:styleId="Heading2">
    <w:name w:val="Heading 2"/>
    <w:basedOn w:val="Normal"/>
    <w:next w:val="Normal"/>
    <w:qFormat/>
    <w:pPr>
      <w:spacing w:after="140" w:before="280"/>
    </w:pPr>
    <w:rPr>
      <w:b/>
      <w:bCs/>
      <w:color w:val="2E74B5"/>
      <w:sz w:val="26"/>
      <w:szCs w:val="26"/>
    </w:rPr>
  </w:style>
  <w:style w:type="paragraph" w:styleId="Heading3">
    <w:name w:val="Heading 3"/>
    <w:basedOn w:val="Normal"/>
    <w:next w:val="Normal"/>
    <w:qFormat/>
    <w:pPr>
      <w:spacing w:after="100" w:before="200"/>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Sentinell.AI Complete Architecture and Tech Stack</dc:title>
  <dc:creator>Sentinell.AI Project Team</dc:creator>
  <dc:description>Complete architecture, stack, features, benefits, and implementation file map for Sentinell.AI.</dc:description>
  <cp:lastModifiedBy>Un-named</cp:lastModifiedBy>
  <cp:revision>1</cp:revision>
  <dcterms:created xsi:type="dcterms:W3CDTF">2026-06-07T18:32:45.037Z</dcterms:created>
  <dcterms:modified xsi:type="dcterms:W3CDTF">2026-06-07T18:32:45.054Z</dcterms:modified>
</cp:coreProperties>
</file>

<file path=docProps/custom.xml><?xml version="1.0" encoding="utf-8"?>
<Properties xmlns="http://schemas.openxmlformats.org/officeDocument/2006/custom-properties" xmlns:vt="http://schemas.openxmlformats.org/officeDocument/2006/docPropsVTypes"/>
</file>