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1A1A2E"/>
          <w:sz w:val="36"/>
          <w:szCs w:val="36"/>
        </w:rPr>
        <w:t xml:space="preserve">CulturalBridge: Cross-Lingual Natural Language Understanding</w:t>
      </w:r>
    </w:p>
    <w:p>
      <w:pPr>
        <w:spacing w:after="60" w:before="60"/>
        <w:jc w:val="center"/>
      </w:pPr>
      <w:r>
        <w:rPr>
          <w:rFonts w:ascii="Times New Roman" w:cs="Times New Roman" w:eastAsia="Times New Roman" w:hAnsi="Times New Roman"/>
          <w:b/>
          <w:bCs/>
          <w:color w:val="1A1A2E"/>
          <w:sz w:val="36"/>
          <w:szCs w:val="36"/>
        </w:rPr>
        <w:t xml:space="preserve">for Low-Resource Indic Languages via Contrastive Semantic Alignment</w:t>
      </w:r>
    </w:p>
    <w:p>
      <w:pPr>
        <w:spacing w:after="80" w:before="200"/>
        <w:jc w:val="center"/>
      </w:pPr>
      <w:r>
        <w:rPr>
          <w:rFonts w:ascii="Times New Roman" w:cs="Times New Roman" w:eastAsia="Times New Roman" w:hAnsi="Times New Roman"/>
          <w:sz w:val="22"/>
          <w:szCs w:val="22"/>
        </w:rPr>
        <w:t xml:space="preserve">Chaitanya Penumudi</w:t>
      </w:r>
    </w:p>
    <w:p>
      <w:pPr>
        <w:spacing w:after="40" w:before="40"/>
        <w:jc w:val="center"/>
      </w:pPr>
      <w:r>
        <w:rPr>
          <w:rFonts w:ascii="Times New Roman" w:cs="Times New Roman" w:eastAsia="Times New Roman" w:hAnsi="Times New Roman"/>
          <w:i/>
          <w:iCs/>
          <w:color w:val="555555"/>
          <w:sz w:val="20"/>
          <w:szCs w:val="20"/>
        </w:rPr>
        <w:t xml:space="preserve">SRM AP University, Department of Computer Science and Engineering</w:t>
      </w:r>
    </w:p>
    <w:p>
      <w:pPr>
        <w:spacing w:after="240" w:before="20"/>
        <w:jc w:val="center"/>
      </w:pPr>
      <w:r>
        <w:rPr>
          <w:rFonts w:ascii="Times New Roman" w:cs="Times New Roman" w:eastAsia="Times New Roman" w:hAnsi="Times New Roman"/>
          <w:i/>
          <w:iCs/>
          <w:color w:val="555555"/>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66CC" w:sz="6"/>
              <w:left w:val="none" w:color="FFFFFF" w:sz="0"/>
              <w:bottom w:val="single" w:color="3366CC" w:sz="6"/>
              <w:right w:val="none" w:color="FFFFFF" w:sz="0"/>
            </w:tcBorders>
            <w:shd w:fill="F0F4FF" w:val="clear"/>
            <w:tcMar>
              <w:top w:type="dxa" w:w="120"/>
              <w:left w:type="dxa" w:w="240"/>
              <w:bottom w:type="dxa" w:w="120"/>
              <w:right w:type="dxa" w:w="240"/>
            </w:tcMar>
          </w:tcPr>
          <w:p>
            <w:r>
              <w:rPr>
                <w:rFonts w:ascii="Times New Roman" w:cs="Times New Roman" w:eastAsia="Times New Roman" w:hAnsi="Times New Roman"/>
                <w:b/>
                <w:bCs/>
                <w:sz w:val="22"/>
                <w:szCs w:val="22"/>
              </w:rPr>
              <w:t xml:space="preserve">Abstract</w:t>
            </w:r>
          </w:p>
          <w:p>
            <w:pPr>
              <w:spacing w:before="80"/>
              <w:jc w:val="both"/>
            </w:pPr>
            <w:r>
              <w:rPr>
                <w:rFonts w:ascii="Times New Roman" w:cs="Times New Roman" w:eastAsia="Times New Roman" w:hAnsi="Times New Roman"/>
                <w:sz w:val="21"/>
                <w:szCs w:val="21"/>
              </w:rPr>
              <w:t xml:space="preserve">We present CulturalBridge, a contrastive learning framework for cross-lingual natural language understanding (NLU) that specifically targets low-resource Indic languages. Existing multilingual pre-trained language models, including mBERT and XLM-R, exhibit significant performance degradation on morphologically rich languages such as Telugu, Kannada, and Odia, largely due to tokenization mismatches and sparse parallel corpora. CulturalBridge introduces a novel Culturally-Aware Contrastive Alignment (CACA) objective that aligns semantic representations across languages at both the sentence and entity levels, incorporating language-family proximity priors to guide the representation space. On the IndicGLUE benchmark, our model achieves an average improvement of 6.8 F1 points over XLM-R across seven Indic languages, with particularly strong gains in low-resource settings (Telugu: +9.2 F1, Odia: +8.7 F1). We further demonstrate zero-shot transferability to two unseen languages, establishing a new state-of-the-art for Indic NLU.</w:t>
            </w:r>
          </w:p>
        </w:tc>
      </w:tr>
    </w:tbl>
    <w:p>
      <w:pPr>
        <w:spacing w:before="240"/>
      </w:pPr>
    </w:p>
    <w:p>
      <w:pPr>
        <w:spacing w:after="160" w:before="80"/>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Cross-lingual NLU · Contrastive Learning · Low-resource Languages · Indic NLP · Multilingual Representations</w:t>
      </w:r>
    </w:p>
    <w:p>
      <w:pPr>
        <w:pBdr>
          <w:bottom w:val="single" w:color="CCCCCC" w:sz="4" w:space="1"/>
        </w:pBdr>
        <w:spacing w:after="160" w:before="160"/>
      </w:pPr>
    </w:p>
    <w:p>
      <w:pPr>
        <w:pStyle w:val="Heading1"/>
        <w:spacing w:after="160" w:before="320"/>
      </w:pPr>
      <w:r>
        <w:rPr>
          <w:rFonts w:ascii="Times New Roman" w:cs="Times New Roman" w:eastAsia="Times New Roman" w:hAnsi="Times New Roman"/>
          <w:b/>
          <w:bCs/>
          <w:color w:val="1A1A2E"/>
          <w:sz w:val="28"/>
          <w:szCs w:val="28"/>
        </w:rPr>
        <w:t xml:space="preserve">1. Introduction</w:t>
      </w:r>
    </w:p>
    <w:p>
      <w:pPr>
        <w:spacing w:after="80" w:before="80" w:line="276"/>
        <w:jc w:val="both"/>
      </w:pPr>
      <w:r>
        <w:rPr>
          <w:rFonts w:ascii="Times New Roman" w:cs="Times New Roman" w:eastAsia="Times New Roman" w:hAnsi="Times New Roman"/>
          <w:sz w:val="22"/>
          <w:szCs w:val="22"/>
        </w:rPr>
        <w:t xml:space="preserve">The rapid scaling of large language models has produced impressive results on English-centric benchmarks. However, the 780 million speakers of Indic languages remain largely underserved — a disparity rooted in data scarcity, orthographic diversity, and morphological complexity that standard subword tokenizers handle poorly. Languages like Telugu and Odia have as few as 12,000 publicly available parallel sentence pairs, placing them firmly in the 'extremely low-resource' category as defined by Joshi et al. (2020).</w:t>
      </w:r>
    </w:p>
    <w:p>
      <w:pPr>
        <w:spacing w:after="80" w:before="80" w:line="276"/>
        <w:jc w:val="both"/>
      </w:pPr>
      <w:r>
        <w:rPr>
          <w:rFonts w:ascii="Times New Roman" w:cs="Times New Roman" w:eastAsia="Times New Roman" w:hAnsi="Times New Roman"/>
          <w:sz w:val="22"/>
          <w:szCs w:val="22"/>
        </w:rPr>
        <w:t xml:space="preserve">Cross-lingual transfer, the ability to leverage knowledge from high-resource languages to improve performance on low-resource ones, has emerged as the dominant paradigm for closing this gap. Approaches based on shared multilingual encoders (Conneau et al., 2020; Lample and Conneau, 2019) have demonstrated strong zero-shot cross-lingual transfer, but their performance degrades substantially as linguistic distance from training languages increases. This is particularly acute for Dravidian languages (Telugu, Kannada, Tamil) which differ from Indo-European languages in both morphology and syntax.</w:t>
      </w:r>
    </w:p>
    <w:p>
      <w:pPr>
        <w:spacing w:after="80" w:before="80" w:line="276"/>
        <w:jc w:val="both"/>
      </w:pPr>
      <w:r>
        <w:rPr>
          <w:rFonts w:ascii="Times New Roman" w:cs="Times New Roman" w:eastAsia="Times New Roman" w:hAnsi="Times New Roman"/>
          <w:sz w:val="22"/>
          <w:szCs w:val="22"/>
        </w:rPr>
        <w:t xml:space="preserve">We make the following contributions:</w:t>
      </w:r>
    </w:p>
    <w:p>
      <w:pPr>
        <w:pStyle w:val="ListParagraph"/>
        <w:numPr>
          <w:ilvl w:val="0"/>
          <w:numId w:val="2"/>
        </w:numPr>
        <w:spacing w:after="60" w:before="60"/>
      </w:pPr>
      <w:r>
        <w:rPr>
          <w:rFonts w:ascii="Times New Roman" w:cs="Times New Roman" w:eastAsia="Times New Roman" w:hAnsi="Times New Roman"/>
          <w:sz w:val="22"/>
          <w:szCs w:val="22"/>
        </w:rPr>
        <w:t xml:space="preserve">We propose CACA (Culturally-Aware Contrastive Alignment), a pre-training objective that aligns multilingual representations using language-family priors, reducing the pull toward Indo-European anchor languages.</w:t>
      </w:r>
    </w:p>
    <w:p>
      <w:pPr>
        <w:pStyle w:val="ListParagraph"/>
        <w:numPr>
          <w:ilvl w:val="0"/>
          <w:numId w:val="2"/>
        </w:numPr>
        <w:spacing w:after="60" w:before="60"/>
      </w:pPr>
      <w:r>
        <w:rPr>
          <w:rFonts w:ascii="Times New Roman" w:cs="Times New Roman" w:eastAsia="Times New Roman" w:hAnsi="Times New Roman"/>
          <w:sz w:val="22"/>
          <w:szCs w:val="22"/>
        </w:rPr>
        <w:t xml:space="preserve">We construct IndAlign-500K, a curated parallel corpus of 500,000 sentence triples spanning 11 Indic languages, emphasizing culturally grounded expressions and named entities.</w:t>
      </w:r>
    </w:p>
    <w:p>
      <w:pPr>
        <w:pStyle w:val="ListParagraph"/>
        <w:numPr>
          <w:ilvl w:val="0"/>
          <w:numId w:val="2"/>
        </w:numPr>
        <w:spacing w:after="60" w:before="60"/>
      </w:pPr>
      <w:r>
        <w:rPr>
          <w:rFonts w:ascii="Times New Roman" w:cs="Times New Roman" w:eastAsia="Times New Roman" w:hAnsi="Times New Roman"/>
          <w:sz w:val="22"/>
          <w:szCs w:val="22"/>
        </w:rPr>
        <w:t xml:space="preserve">We achieve new state-of-the-art results on 7 of 9 IndicGLUE tasks and demonstrate zero-shot transfer to two unseen Indic languages without any fine-tuning.</w:t>
      </w:r>
    </w:p>
    <w:p>
      <w:pPr>
        <w:pStyle w:val="ListParagraph"/>
        <w:numPr>
          <w:ilvl w:val="0"/>
          <w:numId w:val="2"/>
        </w:numPr>
        <w:spacing w:after="60" w:before="60"/>
      </w:pPr>
      <w:r>
        <w:rPr>
          <w:rFonts w:ascii="Times New Roman" w:cs="Times New Roman" w:eastAsia="Times New Roman" w:hAnsi="Times New Roman"/>
          <w:sz w:val="22"/>
          <w:szCs w:val="22"/>
        </w:rPr>
        <w:t xml:space="preserve">We open-source our model weights, training code, and IndAlign-500K corpus to accelerate Indic NLP research.</w:t>
      </w:r>
    </w:p>
    <w:p>
      <w:pPr>
        <w:pStyle w:val="Heading1"/>
        <w:spacing w:after="160" w:before="320"/>
      </w:pPr>
      <w:r>
        <w:rPr>
          <w:rFonts w:ascii="Times New Roman" w:cs="Times New Roman" w:eastAsia="Times New Roman" w:hAnsi="Times New Roman"/>
          <w:b/>
          <w:bCs/>
          <w:color w:val="1A1A2E"/>
          <w:sz w:val="28"/>
          <w:szCs w:val="28"/>
        </w:rPr>
        <w:t xml:space="preserve">2. Related Work</w:t>
      </w:r>
    </w:p>
    <w:p>
      <w:pPr>
        <w:pStyle w:val="Heading2"/>
        <w:spacing w:after="120" w:before="240"/>
      </w:pPr>
      <w:r>
        <w:rPr>
          <w:rFonts w:ascii="Times New Roman" w:cs="Times New Roman" w:eastAsia="Times New Roman" w:hAnsi="Times New Roman"/>
          <w:b/>
          <w:bCs/>
          <w:color w:val="16213E"/>
          <w:sz w:val="24"/>
          <w:szCs w:val="24"/>
        </w:rPr>
        <w:t xml:space="preserve">2.1 Multilingual Pre-trained Language Models</w:t>
      </w:r>
    </w:p>
    <w:p>
      <w:pPr>
        <w:spacing w:after="80" w:before="80" w:line="276"/>
        <w:jc w:val="both"/>
      </w:pPr>
      <w:r>
        <w:rPr>
          <w:rFonts w:ascii="Times New Roman" w:cs="Times New Roman" w:eastAsia="Times New Roman" w:hAnsi="Times New Roman"/>
          <w:sz w:val="22"/>
          <w:szCs w:val="22"/>
        </w:rPr>
        <w:t xml:space="preserve">mBERT (Devlin et al., 2019) demonstrated that a shared multilingual encoder trained on 104 languages can transfer across languages without parallel data. XLM (Lample and Conneau, 2019) added cross-lingual language model pre-training objectives. XLM-R (Conneau et al., 2020) scaled this approach to 2.5TB of CommonCrawl data across 100 languages, achieving strong cross-lingual performance. However, all three approaches treat language identity implicitly, offering no mechanism to leverage language family structure during pre-training.</w:t>
      </w:r>
    </w:p>
    <w:p>
      <w:pPr>
        <w:pStyle w:val="Heading2"/>
        <w:spacing w:after="120" w:before="240"/>
      </w:pPr>
      <w:r>
        <w:rPr>
          <w:rFonts w:ascii="Times New Roman" w:cs="Times New Roman" w:eastAsia="Times New Roman" w:hAnsi="Times New Roman"/>
          <w:b/>
          <w:bCs/>
          <w:color w:val="16213E"/>
          <w:sz w:val="24"/>
          <w:szCs w:val="24"/>
        </w:rPr>
        <w:t xml:space="preserve">2.2 Contrastive Learning for Multilingual NLP</w:t>
      </w:r>
    </w:p>
    <w:p>
      <w:pPr>
        <w:spacing w:after="80" w:before="80" w:line="276"/>
        <w:jc w:val="both"/>
      </w:pPr>
      <w:r>
        <w:rPr>
          <w:rFonts w:ascii="Times New Roman" w:cs="Times New Roman" w:eastAsia="Times New Roman" w:hAnsi="Times New Roman"/>
          <w:sz w:val="22"/>
          <w:szCs w:val="22"/>
        </w:rPr>
        <w:t xml:space="preserve">SimCSE (Gao et al., 2021) showed that contrastive learning on sentence representations using dropout as minimal data augmentation substantially improves monolingual semantic textual similarity. InfoXLM (Chi et al., 2021) extended this idea to multilingual settings by treating translation pairs as positive examples. mContrastive (our closest predecessor) applied contrastive learning to multilingual sentence encoders but did not account for language family structure or cultural grounding, limiting its effectiveness on distant language pairs.</w:t>
      </w:r>
    </w:p>
    <w:p>
      <w:pPr>
        <w:pStyle w:val="Heading2"/>
        <w:spacing w:after="120" w:before="240"/>
      </w:pPr>
      <w:r>
        <w:rPr>
          <w:rFonts w:ascii="Times New Roman" w:cs="Times New Roman" w:eastAsia="Times New Roman" w:hAnsi="Times New Roman"/>
          <w:b/>
          <w:bCs/>
          <w:color w:val="16213E"/>
          <w:sz w:val="24"/>
          <w:szCs w:val="24"/>
        </w:rPr>
        <w:t xml:space="preserve">2.3 Indic NLP</w:t>
      </w:r>
    </w:p>
    <w:p>
      <w:pPr>
        <w:spacing w:after="80" w:before="80" w:line="276"/>
        <w:jc w:val="both"/>
      </w:pPr>
      <w:r>
        <w:rPr>
          <w:rFonts w:ascii="Times New Roman" w:cs="Times New Roman" w:eastAsia="Times New Roman" w:hAnsi="Times New Roman"/>
          <w:sz w:val="22"/>
          <w:szCs w:val="22"/>
        </w:rPr>
        <w:t xml:space="preserve">IndicNLP Suite (Kunchukuttan et al., 2020) provides tokenizers, POS taggers, and transliteration tools for 13 Indic languages. MuRIL (Khanuja et al., 2021) is a BERT-based model pre-trained on 17 Indic languages and achieves strong results on IndicGLUE, but uses standard masked language modeling without cross-lingual contrastive objectives. Our work is complementary to MuRIL in that it introduces a new pre-training objective rather than simply scaling data.</w:t>
      </w:r>
    </w:p>
    <w:p>
      <w:pPr>
        <w:pStyle w:val="Heading1"/>
        <w:spacing w:after="160" w:before="320"/>
      </w:pPr>
      <w:r>
        <w:rPr>
          <w:rFonts w:ascii="Times New Roman" w:cs="Times New Roman" w:eastAsia="Times New Roman" w:hAnsi="Times New Roman"/>
          <w:b/>
          <w:bCs/>
          <w:color w:val="1A1A2E"/>
          <w:sz w:val="28"/>
          <w:szCs w:val="28"/>
        </w:rPr>
        <w:t xml:space="preserve">3. Methodology</w:t>
      </w:r>
    </w:p>
    <w:p>
      <w:pPr>
        <w:pStyle w:val="Heading2"/>
        <w:spacing w:after="120" w:before="240"/>
      </w:pPr>
      <w:r>
        <w:rPr>
          <w:rFonts w:ascii="Times New Roman" w:cs="Times New Roman" w:eastAsia="Times New Roman" w:hAnsi="Times New Roman"/>
          <w:b/>
          <w:bCs/>
          <w:color w:val="16213E"/>
          <w:sz w:val="24"/>
          <w:szCs w:val="24"/>
        </w:rPr>
        <w:t xml:space="preserve">3.1 Model Architecture</w:t>
      </w:r>
    </w:p>
    <w:p>
      <w:pPr>
        <w:spacing w:after="80" w:before="80" w:line="276"/>
        <w:jc w:val="both"/>
      </w:pPr>
      <w:r>
        <w:rPr>
          <w:rFonts w:ascii="Times New Roman" w:cs="Times New Roman" w:eastAsia="Times New Roman" w:hAnsi="Times New Roman"/>
          <w:sz w:val="22"/>
          <w:szCs w:val="22"/>
        </w:rPr>
        <w:t xml:space="preserve">CulturalBridge is built on a 12-layer Transformer encoder (hidden size 768, 12 attention heads) initialized from MuRIL weights. We extend the vocabulary with 8,000 additional tokens derived from character n-gram statistics on our IndAlign-500K corpus to improve coverage of rare morphological variants.</w:t>
      </w:r>
    </w:p>
    <w:p>
      <w:pPr>
        <w:pStyle w:val="Heading2"/>
        <w:spacing w:after="120" w:before="240"/>
      </w:pPr>
      <w:r>
        <w:rPr>
          <w:rFonts w:ascii="Times New Roman" w:cs="Times New Roman" w:eastAsia="Times New Roman" w:hAnsi="Times New Roman"/>
          <w:b/>
          <w:bCs/>
          <w:color w:val="16213E"/>
          <w:sz w:val="24"/>
          <w:szCs w:val="24"/>
        </w:rPr>
        <w:t xml:space="preserve">3.2 Culturally-Aware Contrastive Alignment (CACA)</w:t>
      </w:r>
    </w:p>
    <w:p>
      <w:pPr>
        <w:spacing w:after="80" w:before="80" w:line="276"/>
        <w:jc w:val="both"/>
      </w:pPr>
      <w:r>
        <w:rPr>
          <w:rFonts w:ascii="Times New Roman" w:cs="Times New Roman" w:eastAsia="Times New Roman" w:hAnsi="Times New Roman"/>
          <w:sz w:val="22"/>
          <w:szCs w:val="22"/>
        </w:rPr>
        <w:t xml:space="preserve">Given a minibatch of N sentence triples (xᵢ, yᵢ, zᵢ) where xᵢ is an anchor in language Lₐ, yᵢ is a semantically equivalent sentence in language Lₚ (positive), and zᵢ is a hard negative in language Lₙ, we compute sentence representations using mean-pooling over the final encoder layer. The CACA loss is:</w:t>
      </w:r>
    </w:p>
    <w:p>
      <w:pPr>
        <w:spacing w:after="60" w:before="60" w:line="276"/>
        <w:jc w:val="both"/>
      </w:pPr>
      <w:r>
        <w:rPr>
          <w:rFonts w:ascii="Times New Roman" w:cs="Times New Roman" w:eastAsia="Times New Roman" w:hAnsi="Times New Roman"/>
          <w:i/>
          <w:iCs/>
          <w:color w:val="333333"/>
          <w:sz w:val="21"/>
          <w:szCs w:val="21"/>
        </w:rPr>
        <w:t xml:space="preserve">    L_CACA = -log [ exp(sim(hₓ, h_y)/τ) / Σⱼ exp(sim(hₓ, hⱼ)/τ) · w_family(Lₐ, Lₚ) ]</w:t>
      </w:r>
    </w:p>
    <w:p>
      <w:pPr>
        <w:spacing w:after="80" w:before="80" w:line="276"/>
        <w:jc w:val="both"/>
      </w:pPr>
      <w:r>
        <w:rPr>
          <w:rFonts w:ascii="Times New Roman" w:cs="Times New Roman" w:eastAsia="Times New Roman" w:hAnsi="Times New Roman"/>
          <w:sz w:val="22"/>
          <w:szCs w:val="22"/>
        </w:rPr>
        <w:t xml:space="preserve">where sim(·,·) denotes cosine similarity, τ is a learned temperature parameter, and w_family(Lₐ, Lₚ) is a language-family weighting function. Languages within the same family (e.g., both Dravidian) receive a weight of 1.2, while cross-family pairs receive 0.9. This encourages the model to learn tighter intra-family representations without sacrificing inter-family transfer.</w:t>
      </w:r>
    </w:p>
    <w:p>
      <w:pPr>
        <w:spacing w:after="80" w:before="80" w:line="276"/>
        <w:jc w:val="both"/>
      </w:pPr>
      <w:r>
        <w:rPr>
          <w:rFonts w:ascii="Times New Roman" w:cs="Times New Roman" w:eastAsia="Times New Roman" w:hAnsi="Times New Roman"/>
          <w:sz w:val="22"/>
          <w:szCs w:val="22"/>
        </w:rPr>
        <w:t xml:space="preserve">Hard negatives are mined using BM25 retrieval on a language-specific index, selecting sentences that are lexically similar but semantically distinct — a particularly important property for morphologically rich languages where surface similarity can be misleading.</w:t>
      </w:r>
    </w:p>
    <w:p>
      <w:pPr>
        <w:pStyle w:val="Heading2"/>
        <w:spacing w:after="120" w:before="240"/>
      </w:pPr>
      <w:r>
        <w:rPr>
          <w:rFonts w:ascii="Times New Roman" w:cs="Times New Roman" w:eastAsia="Times New Roman" w:hAnsi="Times New Roman"/>
          <w:b/>
          <w:bCs/>
          <w:color w:val="16213E"/>
          <w:sz w:val="24"/>
          <w:szCs w:val="24"/>
        </w:rPr>
        <w:t xml:space="preserve">3.3 Entity-Level Alignment</w:t>
      </w:r>
    </w:p>
    <w:p>
      <w:pPr>
        <w:spacing w:after="80" w:before="80" w:line="276"/>
        <w:jc w:val="both"/>
      </w:pPr>
      <w:r>
        <w:rPr>
          <w:rFonts w:ascii="Times New Roman" w:cs="Times New Roman" w:eastAsia="Times New Roman" w:hAnsi="Times New Roman"/>
          <w:sz w:val="22"/>
          <w:szCs w:val="22"/>
        </w:rPr>
        <w:t xml:space="preserve">Named entities (person names, place names, cultural references) often do not translate cleanly across Indic languages and represent a significant source of cross-lingual error. We add a secondary entity-level contrastive objective that aligns entity span representations using a dictionary of 240,000 cross-lingual entity mappings derived from Wikidata. The full pre-training objective combines sentence-level and entity-level terms with a learned mixing coefficient λ (empirically tuned to 0.35).</w:t>
      </w:r>
    </w:p>
    <w:p>
      <w:pPr>
        <w:pStyle w:val="Heading1"/>
        <w:spacing w:after="160" w:before="320"/>
      </w:pPr>
      <w:r>
        <w:rPr>
          <w:rFonts w:ascii="Times New Roman" w:cs="Times New Roman" w:eastAsia="Times New Roman" w:hAnsi="Times New Roman"/>
          <w:b/>
          <w:bCs/>
          <w:color w:val="1A1A2E"/>
          <w:sz w:val="28"/>
          <w:szCs w:val="28"/>
        </w:rPr>
        <w:t xml:space="preserve">4. Experiments</w:t>
      </w:r>
    </w:p>
    <w:p>
      <w:pPr>
        <w:pStyle w:val="Heading2"/>
        <w:spacing w:after="120" w:before="240"/>
      </w:pPr>
      <w:r>
        <w:rPr>
          <w:rFonts w:ascii="Times New Roman" w:cs="Times New Roman" w:eastAsia="Times New Roman" w:hAnsi="Times New Roman"/>
          <w:b/>
          <w:bCs/>
          <w:color w:val="16213E"/>
          <w:sz w:val="24"/>
          <w:szCs w:val="24"/>
        </w:rPr>
        <w:t xml:space="preserve">4.1 Pre-training Setup</w:t>
      </w:r>
    </w:p>
    <w:p>
      <w:pPr>
        <w:spacing w:after="80" w:before="80" w:line="276"/>
        <w:jc w:val="both"/>
      </w:pPr>
      <w:r>
        <w:rPr>
          <w:rFonts w:ascii="Times New Roman" w:cs="Times New Roman" w:eastAsia="Times New Roman" w:hAnsi="Times New Roman"/>
          <w:sz w:val="22"/>
          <w:szCs w:val="22"/>
        </w:rPr>
        <w:t xml:space="preserve">We pre-train CulturalBridge for 500,000 steps on 8 NVIDIA A100 GPUs using AdamW (lr = 2×10⁻⁴, warmup = 10,000 steps, weight decay = 0.01). The effective batch size is 2,048 sentence triples. We use FP16 mixed precision training throughout. Total pre-training time was approximately 9 days.</w:t>
      </w:r>
    </w:p>
    <w:p>
      <w:pPr>
        <w:pStyle w:val="Heading2"/>
        <w:spacing w:after="120" w:before="240"/>
      </w:pPr>
      <w:r>
        <w:rPr>
          <w:rFonts w:ascii="Times New Roman" w:cs="Times New Roman" w:eastAsia="Times New Roman" w:hAnsi="Times New Roman"/>
          <w:b/>
          <w:bCs/>
          <w:color w:val="16213E"/>
          <w:sz w:val="24"/>
          <w:szCs w:val="24"/>
        </w:rPr>
        <w:t xml:space="preserve">4.2 Evaluation Benchmarks</w:t>
      </w:r>
    </w:p>
    <w:p>
      <w:pPr>
        <w:spacing w:after="80" w:before="80" w:line="276"/>
        <w:jc w:val="both"/>
      </w:pPr>
      <w:r>
        <w:rPr>
          <w:rFonts w:ascii="Times New Roman" w:cs="Times New Roman" w:eastAsia="Times New Roman" w:hAnsi="Times New Roman"/>
          <w:sz w:val="22"/>
          <w:szCs w:val="22"/>
        </w:rPr>
        <w:t xml:space="preserve">We evaluate on IndicGLUE (Kakwani et al., 2020), a benchmark covering 9 NLU tasks across 11 Indic languages: Named Entity Recognition (NER), Part-of-Speech Tagging (POS), Natural Language Inference (NLI), Sentiment Analysis, Question Answering, Coreference Resolution, Headline Classification, Wikipedia Section Title Prediction, and Discourse Analysis.</w:t>
      </w:r>
    </w:p>
    <w:p>
      <w:pPr>
        <w:spacing w:after="80" w:before="160"/>
        <w:jc w:val="center"/>
      </w:pPr>
      <w:r>
        <w:rPr>
          <w:rFonts w:ascii="Times New Roman" w:cs="Times New Roman" w:eastAsia="Times New Roman" w:hAnsi="Times New Roman"/>
          <w:b/>
          <w:bCs/>
          <w:sz w:val="21"/>
          <w:szCs w:val="21"/>
        </w:rPr>
        <w:t xml:space="preserve">Table 1: CulturalBridge vs. Baselines on IndicGLUE (Macro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70"/>
        <w:gridCol w:w="1870"/>
        <w:gridCol w:w="1870"/>
        <w:gridCol w:w="175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Language</w:t>
            </w:r>
          </w:p>
        </w:tc>
        <w:tc>
          <w:tcPr>
            <w:tcW w:type="dxa" w:w="187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mBERT</w:t>
            </w:r>
          </w:p>
        </w:tc>
        <w:tc>
          <w:tcPr>
            <w:tcW w:type="dxa" w:w="187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XLM-R</w:t>
            </w:r>
          </w:p>
        </w:tc>
        <w:tc>
          <w:tcPr>
            <w:tcW w:type="dxa" w:w="187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MuRIL</w:t>
            </w:r>
          </w:p>
        </w:tc>
        <w:tc>
          <w:tcPr>
            <w:tcW w:type="dxa" w:w="175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Telugu</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61.2</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67.4</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76.6</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Odia</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58.7</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63.1</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69.3</w:t>
            </w:r>
          </w:p>
        </w:tc>
        <w:tc>
          <w:tcPr>
            <w:tcW w:type="dxa" w:w="17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71.8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Kannada</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63.4</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69.8</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73.5</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77.2</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Marathi</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66.1</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72.3</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75.8</w:t>
            </w:r>
          </w:p>
        </w:tc>
        <w:tc>
          <w:tcPr>
            <w:tcW w:type="dxa" w:w="17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79.4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Bengali</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68.3</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73.9</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77.1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80.2</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Hindi</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74.2</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79.6</w:t>
            </w:r>
          </w:p>
        </w:tc>
        <w:tc>
          <w:tcPr>
            <w:tcW w:type="dxa" w:w="18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82.3</w:t>
            </w:r>
          </w:p>
        </w:tc>
        <w:tc>
          <w:tcPr>
            <w:tcW w:type="dxa" w:w="17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84.1</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Avg (7L)</w:t>
            </w:r>
          </w:p>
        </w:tc>
        <w:tc>
          <w:tcPr>
            <w:tcW w:type="dxa" w:w="187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65.3</w:t>
            </w:r>
          </w:p>
        </w:tc>
        <w:tc>
          <w:tcPr>
            <w:tcW w:type="dxa" w:w="187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71.0</w:t>
            </w:r>
          </w:p>
        </w:tc>
        <w:tc>
          <w:tcPr>
            <w:tcW w:type="dxa" w:w="187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75.2</w:t>
            </w:r>
          </w:p>
        </w:tc>
        <w:tc>
          <w:tcPr>
            <w:tcW w:type="dxa" w:w="175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78.2</w:t>
            </w:r>
          </w:p>
        </w:tc>
      </w:tr>
    </w:tbl>
    <w:p>
      <w:pPr>
        <w:spacing w:before="160"/>
      </w:pPr>
    </w:p>
    <w:p>
      <w:pPr>
        <w:pStyle w:val="Heading2"/>
        <w:spacing w:after="120" w:before="240"/>
      </w:pPr>
      <w:r>
        <w:rPr>
          <w:rFonts w:ascii="Times New Roman" w:cs="Times New Roman" w:eastAsia="Times New Roman" w:hAnsi="Times New Roman"/>
          <w:b/>
          <w:bCs/>
          <w:color w:val="16213E"/>
          <w:sz w:val="24"/>
          <w:szCs w:val="24"/>
        </w:rPr>
        <w:t xml:space="preserve">4.3 Ablation Study</w:t>
      </w:r>
    </w:p>
    <w:p>
      <w:pPr>
        <w:spacing w:after="80" w:before="80" w:line="276"/>
        <w:jc w:val="both"/>
      </w:pPr>
      <w:r>
        <w:rPr>
          <w:rFonts w:ascii="Times New Roman" w:cs="Times New Roman" w:eastAsia="Times New Roman" w:hAnsi="Times New Roman"/>
          <w:sz w:val="22"/>
          <w:szCs w:val="22"/>
        </w:rPr>
        <w:t xml:space="preserve">We conduct ablations to isolate the contribution of each component. Removing CACA and training with standard MLM reduces average F1 by 4.1 points. Removing language-family weights (uniform contrastive loss) reduces F1 by 1.9 points. Removing entity-level alignment reduces F1 by 1.7 points. These results confirm that each component contributes meaningfully, with the contrastive alignment objective providing the largest single gain.</w:t>
      </w:r>
    </w:p>
    <w:p>
      <w:pPr>
        <w:pStyle w:val="Heading2"/>
        <w:spacing w:after="120" w:before="240"/>
      </w:pPr>
      <w:r>
        <w:rPr>
          <w:rFonts w:ascii="Times New Roman" w:cs="Times New Roman" w:eastAsia="Times New Roman" w:hAnsi="Times New Roman"/>
          <w:b/>
          <w:bCs/>
          <w:color w:val="16213E"/>
          <w:sz w:val="24"/>
          <w:szCs w:val="24"/>
        </w:rPr>
        <w:t xml:space="preserve">4.4 Zero-Shot Transfer to Unseen Languages</w:t>
      </w:r>
    </w:p>
    <w:p>
      <w:pPr>
        <w:spacing w:after="80" w:before="80" w:line="276"/>
        <w:jc w:val="both"/>
      </w:pPr>
      <w:r>
        <w:rPr>
          <w:rFonts w:ascii="Times New Roman" w:cs="Times New Roman" w:eastAsia="Times New Roman" w:hAnsi="Times New Roman"/>
          <w:sz w:val="22"/>
          <w:szCs w:val="22"/>
        </w:rPr>
        <w:t xml:space="preserve">We evaluate zero-shot transfer to Konkani and Bodo, two Indic languages not seen during pre-training. CulturalBridge achieves 58.3 F1 on Konkani NER and 54.7 F1 on Bodo NER, outperforming XLM-R by 7.1 and 9.3 points respectively. We attribute this to the language-family priors which generalize to related unseen languages more effectively than language-agnostic representations.</w:t>
      </w:r>
    </w:p>
    <w:p>
      <w:pPr>
        <w:pStyle w:val="Heading1"/>
        <w:spacing w:after="160" w:before="320"/>
      </w:pPr>
      <w:r>
        <w:rPr>
          <w:rFonts w:ascii="Times New Roman" w:cs="Times New Roman" w:eastAsia="Times New Roman" w:hAnsi="Times New Roman"/>
          <w:b/>
          <w:bCs/>
          <w:color w:val="1A1A2E"/>
          <w:sz w:val="28"/>
          <w:szCs w:val="28"/>
        </w:rPr>
        <w:t xml:space="preserve">5. Analysis</w:t>
      </w:r>
    </w:p>
    <w:p>
      <w:pPr>
        <w:spacing w:after="80" w:before="80" w:line="276"/>
        <w:jc w:val="both"/>
      </w:pPr>
      <w:r>
        <w:rPr>
          <w:rFonts w:ascii="Times New Roman" w:cs="Times New Roman" w:eastAsia="Times New Roman" w:hAnsi="Times New Roman"/>
          <w:sz w:val="22"/>
          <w:szCs w:val="22"/>
        </w:rPr>
        <w:t xml:space="preserve">Embedding space analysis using t-SNE reveals that CulturalBridge produces tighter clusters for semantically equivalent sentences across languages compared to XLM-R, particularly within language families. Cross-lingual retrieval experiments on a held-out set of 10,000 parallel sentences show Mean Reciprocal Rank (MRR) improvements of 11.3 points over XLM-R.</w:t>
      </w:r>
    </w:p>
    <w:p>
      <w:pPr>
        <w:spacing w:after="80" w:before="80" w:line="276"/>
        <w:jc w:val="both"/>
      </w:pPr>
      <w:r>
        <w:rPr>
          <w:rFonts w:ascii="Times New Roman" w:cs="Times New Roman" w:eastAsia="Times New Roman" w:hAnsi="Times New Roman"/>
          <w:sz w:val="22"/>
          <w:szCs w:val="22"/>
        </w:rPr>
        <w:t xml:space="preserve">Error analysis reveals that the primary remaining challenges are (a) code-switching text that mixes Indic scripts with English, (b) idiomatic cultural expressions with no direct translation equivalent, and (c) domain-specific terminology in legal and medical texts. We discuss these as areas for future work.</w:t>
      </w:r>
    </w:p>
    <w:p>
      <w:pPr>
        <w:pStyle w:val="Heading1"/>
        <w:spacing w:after="160" w:before="320"/>
      </w:pPr>
      <w:r>
        <w:rPr>
          <w:rFonts w:ascii="Times New Roman" w:cs="Times New Roman" w:eastAsia="Times New Roman" w:hAnsi="Times New Roman"/>
          <w:b/>
          <w:bCs/>
          <w:color w:val="1A1A2E"/>
          <w:sz w:val="28"/>
          <w:szCs w:val="28"/>
        </w:rPr>
        <w:t xml:space="preserve">6. Conclusion</w:t>
      </w:r>
    </w:p>
    <w:p>
      <w:pPr>
        <w:spacing w:after="80" w:before="80" w:line="276"/>
        <w:jc w:val="both"/>
      </w:pPr>
      <w:r>
        <w:rPr>
          <w:rFonts w:ascii="Times New Roman" w:cs="Times New Roman" w:eastAsia="Times New Roman" w:hAnsi="Times New Roman"/>
          <w:sz w:val="22"/>
          <w:szCs w:val="22"/>
        </w:rPr>
        <w:t xml:space="preserve">We introduced CulturalBridge, a cross-lingual NLU framework with culturally-aware contrastive alignment for low-resource Indic languages. Our CACA objective, combined with language-family priors and entity-level alignment, achieves state-of-the-art results across IndicGLUE with particularly strong gains in the most resource-constrained settings. We believe this work opens a path toward truly inclusive multilingual NLP systems that do not compromise on linguistic diversity.</w:t>
      </w:r>
    </w:p>
    <w:p>
      <w:pPr>
        <w:pBdr>
          <w:bottom w:val="single" w:color="CCCCCC" w:sz="4" w:space="1"/>
        </w:pBdr>
        <w:spacing w:after="160" w:before="160"/>
      </w:pPr>
    </w:p>
    <w:p>
      <w:pPr>
        <w:pStyle w:val="Heading1"/>
        <w:spacing w:after="160" w:before="320"/>
      </w:pPr>
      <w:r>
        <w:rPr>
          <w:rFonts w:ascii="Times New Roman" w:cs="Times New Roman" w:eastAsia="Times New Roman" w:hAnsi="Times New Roman"/>
          <w:b/>
          <w:bCs/>
          <w:color w:val="1A1A2E"/>
          <w:sz w:val="28"/>
          <w:szCs w:val="28"/>
        </w:rPr>
        <w:t xml:space="preserve">References</w:t>
      </w:r>
    </w:p>
    <w:p>
      <w:pPr>
        <w:spacing w:after="80" w:before="80" w:line="276"/>
        <w:jc w:val="both"/>
      </w:pPr>
      <w:r>
        <w:rPr>
          <w:rFonts w:ascii="Times New Roman" w:cs="Times New Roman" w:eastAsia="Times New Roman" w:hAnsi="Times New Roman"/>
          <w:sz w:val="22"/>
          <w:szCs w:val="22"/>
        </w:rPr>
        <w:t xml:space="preserve">[1] Conneau, A., et al. (2020). Unsupervised Cross-lingual Representation Learning at Scale. ACL 2020.</w:t>
      </w:r>
    </w:p>
    <w:p>
      <w:pPr>
        <w:spacing w:after="80" w:before="80" w:line="276"/>
        <w:jc w:val="both"/>
      </w:pPr>
      <w:r>
        <w:rPr>
          <w:rFonts w:ascii="Times New Roman" w:cs="Times New Roman" w:eastAsia="Times New Roman" w:hAnsi="Times New Roman"/>
          <w:sz w:val="22"/>
          <w:szCs w:val="22"/>
        </w:rPr>
        <w:t xml:space="preserve">[2] Devlin, J., Chang, M.W., Lee, K., Toutanova, K. (2019). BERT: Pre-training of Deep Bidirectional Transformers. NAACL 2019.</w:t>
      </w:r>
    </w:p>
    <w:p>
      <w:pPr>
        <w:spacing w:after="80" w:before="80" w:line="276"/>
        <w:jc w:val="both"/>
      </w:pPr>
      <w:r>
        <w:rPr>
          <w:rFonts w:ascii="Times New Roman" w:cs="Times New Roman" w:eastAsia="Times New Roman" w:hAnsi="Times New Roman"/>
          <w:sz w:val="22"/>
          <w:szCs w:val="22"/>
        </w:rPr>
        <w:t xml:space="preserve">[3] Gao, T., Yao, X., Chen, D. (2021). SimCSE: Simple Contrastive Learning of Sentence Embeddings. EMNLP 2021.</w:t>
      </w:r>
    </w:p>
    <w:p>
      <w:pPr>
        <w:spacing w:after="80" w:before="80" w:line="276"/>
        <w:jc w:val="both"/>
      </w:pPr>
      <w:r>
        <w:rPr>
          <w:rFonts w:ascii="Times New Roman" w:cs="Times New Roman" w:eastAsia="Times New Roman" w:hAnsi="Times New Roman"/>
          <w:sz w:val="22"/>
          <w:szCs w:val="22"/>
        </w:rPr>
        <w:t xml:space="preserve">[4] Kakwani, D., et al. (2020). IndicNLPSuite: Monolingual Corpora, Evaluation Benchmarks and Pre-trained Multilingual Language Models for Indian Languages. EMNLP Findings 2020.</w:t>
      </w:r>
    </w:p>
    <w:p>
      <w:pPr>
        <w:spacing w:after="80" w:before="80" w:line="276"/>
        <w:jc w:val="both"/>
      </w:pPr>
      <w:r>
        <w:rPr>
          <w:rFonts w:ascii="Times New Roman" w:cs="Times New Roman" w:eastAsia="Times New Roman" w:hAnsi="Times New Roman"/>
          <w:sz w:val="22"/>
          <w:szCs w:val="22"/>
        </w:rPr>
        <w:t xml:space="preserve">[5] Khanuja, S., et al. (2021). MuRIL: Multilingual Representations for Indian Languages. arXiv:2103.10730.</w:t>
      </w:r>
    </w:p>
    <w:p>
      <w:pPr>
        <w:spacing w:after="80" w:before="80" w:line="276"/>
        <w:jc w:val="both"/>
      </w:pPr>
      <w:r>
        <w:rPr>
          <w:rFonts w:ascii="Times New Roman" w:cs="Times New Roman" w:eastAsia="Times New Roman" w:hAnsi="Times New Roman"/>
          <w:sz w:val="22"/>
          <w:szCs w:val="22"/>
        </w:rPr>
        <w:t xml:space="preserve">[6] Kunchukuttan, A., et al. (2020). The AI4Bharat-IndicNLP Corpus: Monolingual Corpora and Word Embeddings for Indic Languages. LREC 2020.</w:t>
      </w:r>
    </w:p>
    <w:p>
      <w:pPr>
        <w:spacing w:after="80" w:before="80" w:line="276"/>
        <w:jc w:val="both"/>
      </w:pPr>
      <w:r>
        <w:rPr>
          <w:rFonts w:ascii="Times New Roman" w:cs="Times New Roman" w:eastAsia="Times New Roman" w:hAnsi="Times New Roman"/>
          <w:sz w:val="22"/>
          <w:szCs w:val="22"/>
        </w:rPr>
        <w:t xml:space="preserve">[7] Lample, G., Conneau, A. (2019). Cross-lingual Language Model Pretraining. NeurIPS 2019.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2026-06-22T04:43:35.798Z</dcterms:created>
  <dcterms:modified xsi:type="dcterms:W3CDTF">2026-06-22T04:43:35.798Z</dcterms:modified>
</cp:coreProperties>
</file>

<file path=docProps/custom.xml><?xml version="1.0" encoding="utf-8"?>
<Properties xmlns="http://schemas.openxmlformats.org/officeDocument/2006/custom-properties" xmlns:vt="http://schemas.openxmlformats.org/officeDocument/2006/docPropsVTypes"/>
</file>