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E4D64"/>
          <w:sz w:val="30"/>
        </w:rPr>
        <w:t>TERMS AND CONDITIONS FOR DIETETIC &amp; NUTRITION SERVICES</w:t>
      </w:r>
    </w:p>
    <w:p>
      <w:pPr>
        <w:jc w:val="center"/>
      </w:pPr>
      <w:r>
        <w:rPr>
          <w:rFonts w:ascii="Segoe UI" w:hAnsi="Segoe UI"/>
          <w:b/>
          <w:color w:val="16697A"/>
          <w:sz w:val="22"/>
        </w:rPr>
        <w:t>ONLINE CONSULTATIONS, HOME VISITS &amp; CENTER WALK-IN SERVICES – CALLMEDEX</w:t>
      </w:r>
    </w:p>
    <w:p>
      <w:r>
        <w:t>These Terms and Conditions govern the participation of Dietetic Centers, Nutrition Clinics, Hospitals, and Individual Qualified Dietitians / Clinical Nutritionists (“Service Providers”) offering dietetic and nutrition counselling services through the CALLMEDEX platform (“App”). By registering, accepting service requests, or providing services through CALLMEDEX, the Service Provider agrees to the following terms and conditions.</w:t>
      </w:r>
    </w:p>
    <w:p>
      <w:r>
        <w:rPr>
          <w:rFonts w:ascii="Segoe UI" w:hAnsi="Segoe UI"/>
          <w:b/>
          <w:color w:val="0E4D64"/>
          <w:sz w:val="22"/>
        </w:rPr>
        <w:t>1. Scope of Services &amp; Modes of Delivery</w:t>
      </w:r>
    </w:p>
    <w:p>
      <w:r>
        <w:rPr>
          <w:rFonts w:ascii="Segoe UI" w:hAnsi="Segoe UI"/>
          <w:b/>
          <w:sz w:val="19"/>
        </w:rPr>
        <w:t xml:space="preserve">• Online Consultations (Tele-Dietetics): </w:t>
      </w:r>
      <w:r>
        <w:rPr>
          <w:rFonts w:ascii="Segoe UI" w:hAnsi="Segoe UI"/>
          <w:sz w:val="19"/>
        </w:rPr>
        <w:t>Audio/video consultations, secure digital chat reviews, dietary recall evaluations, and electronic customized diet plan delivery.</w:t>
      </w:r>
    </w:p>
    <w:p>
      <w:r>
        <w:rPr>
          <w:rFonts w:ascii="Segoe UI" w:hAnsi="Segoe UI"/>
          <w:b/>
          <w:sz w:val="19"/>
        </w:rPr>
        <w:t xml:space="preserve">• Center Walk-In Services: </w:t>
      </w:r>
      <w:r>
        <w:rPr>
          <w:rFonts w:ascii="Segoe UI" w:hAnsi="Segoe UI"/>
          <w:sz w:val="19"/>
        </w:rPr>
        <w:t>Clinic-based consultations, body composition analysis (BCA/BIA), anthropometric assessments, and nutritional therapy conducted at partner clinics, hospitals, or polyclinics.</w:t>
      </w:r>
    </w:p>
    <w:p>
      <w:r>
        <w:rPr>
          <w:rFonts w:ascii="Segoe UI" w:hAnsi="Segoe UI"/>
          <w:b/>
          <w:sz w:val="19"/>
        </w:rPr>
        <w:t xml:space="preserve">• Home Visits (Home Dietetic Services): </w:t>
      </w:r>
      <w:r>
        <w:rPr>
          <w:rFonts w:ascii="Segoe UI" w:hAnsi="Segoe UI"/>
          <w:sz w:val="19"/>
        </w:rPr>
        <w:t>In-person home consultations, bedside geriatric/post-operative nutritional assessment, pantry audits, and family dietary counselling at the patient's residence.</w:t>
      </w:r>
    </w:p>
    <w:p>
      <w:r>
        <w:rPr>
          <w:rFonts w:ascii="Segoe UI" w:hAnsi="Segoe UI"/>
          <w:sz w:val="19"/>
        </w:rPr>
        <w:t>Clinical domains include weight management, diabetic medical nutrition therapy (MNT), cardiac nutrition, renal dietetics, pediatric and maternal nutrition, sports nutrition, gastrointestinal disorders, critical care/tube feeding formulas, and preventive lifestyle wellness. All services are subject to professional qualifications, appointment scheduling, and the approved scope listed on the CALLMEDEX platform.</w:t>
      </w:r>
    </w:p>
    <w:p>
      <w:r>
        <w:rPr>
          <w:rFonts w:ascii="Segoe UI" w:hAnsi="Segoe UI"/>
          <w:b/>
          <w:color w:val="0E4D64"/>
          <w:sz w:val="22"/>
        </w:rPr>
        <w:t>2. Registration and Professional Eligibility</w:t>
      </w:r>
    </w:p>
    <w:p>
      <w:r>
        <w:rPr>
          <w:rFonts w:ascii="Segoe UI" w:hAnsi="Segoe UI"/>
          <w:sz w:val="19"/>
        </w:rPr>
        <w:t>Dietetic Centers and individual Dietitians must submit and maintain valid:</w:t>
        <w:br/>
        <w:t>• Recognized qualifications in Clinical Nutrition, Dietetics, or Food &amp; Nutrition (e.g., B.Sc./M.Sc., PGD Dietetics) and registered dietitian (RD) credentials or IDA membership details, wherever applicable;</w:t>
        <w:br/>
        <w:t>• Identity proof, address proof, and PAN details;</w:t>
        <w:br/>
        <w:t>• Center registration certificates and statutory approvals, where applicable;</w:t>
        <w:br/>
        <w:t>• Bank account and payment settlement details;</w:t>
        <w:br/>
        <w:t>• Details of clinical tools (e.g., certified body composition analyzers, skinfold calipers, stadiometers), where applicable.</w:t>
        <w:br/>
        <w:t>CALLMEDEX reserves the right to verify credentials and reject, suspend, or terminate onboarding in the event of discrepancies or statutory non-compliance.</w:t>
      </w:r>
    </w:p>
    <w:p>
      <w:r>
        <w:rPr>
          <w:rFonts w:ascii="Segoe UI" w:hAnsi="Segoe UI"/>
          <w:b/>
          <w:color w:val="0E4D64"/>
          <w:sz w:val="22"/>
        </w:rPr>
        <w:t>3. Appointment Acceptance and Booking Protocols</w:t>
      </w:r>
    </w:p>
    <w:p>
      <w:r>
        <w:rPr>
          <w:rFonts w:ascii="Segoe UI" w:hAnsi="Segoe UI"/>
          <w:sz w:val="19"/>
        </w:rPr>
        <w:t>• Service requests across all modes (Online, Home Visit, Center Walk-In) are assigned through the CALLMEDEX App.</w:t>
        <w:br/>
        <w:t>• Online Consultations: The Dietitian must be logged in and initiate the consultation link at the scheduled time. A post-consultation digital diet chart and clinical advice summary must be uploaded through the App within 12 to 24 hours.</w:t>
        <w:br/>
        <w:t>• Center Walk-Ins: The Center/Dietitian shall ensure room availability, functional diagnostic equipment, and zero wait-time exceeding 15 minutes past the scheduled slot.</w:t>
        <w:br/>
        <w:t>• Home Visits: The Dietitian shall attend the patient’s confirmed address punctually at the scheduled time equipped with portable anthropometric assessment tools.</w:t>
        <w:br/>
        <w:t>• Appointment confirmation is communicated to the patient approximately 2 hours prior to the scheduled slot. Unilateral cancellations after acceptance may adversely impact platform rating, algorithm priority, and operational eligibility.</w:t>
      </w:r>
    </w:p>
    <w:p>
      <w:r>
        <w:rPr>
          <w:rFonts w:ascii="Segoe UI" w:hAnsi="Segoe UI"/>
          <w:b/>
          <w:color w:val="0E4D64"/>
          <w:sz w:val="22"/>
        </w:rPr>
        <w:t>4. Master Tariff Schedule &amp; Settlement Model (Excel Rate Sheet)</w:t>
      </w:r>
    </w:p>
    <w:p>
      <w:r>
        <w:t>The following Excel-structured Tariff Schedule governs the agreed pricing, service modes, and platform fee deductions for Dietitian services across Online, Center Walk-In, and Home Visit engagements. Each service provider must check (☑) the services offered and adhere to the stipulated settlement models:</w:t>
      </w:r>
    </w:p>
    <w:tbl>
      <w:tblPr>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576"/>
            <w:vAlign w:val="center"/>
            <w:shd w:fill="0E4D64"/>
          </w:tcPr>
          <w:p>
            <w:pPr>
              <w:jc w:val="center"/>
            </w:pPr>
            <w:r>
              <w:rPr>
                <w:rFonts w:ascii="Segoe UI" w:hAnsi="Segoe UI"/>
                <w:b/>
                <w:color w:val="FFFFFF"/>
                <w:sz w:val="16"/>
              </w:rPr>
              <w:t>S.No.</w:t>
            </w:r>
          </w:p>
        </w:tc>
        <w:tc>
          <w:tcPr>
            <w:tcW w:type="dxa" w:w="864"/>
            <w:vAlign w:val="center"/>
            <w:shd w:fill="0E4D64"/>
          </w:tcPr>
          <w:p>
            <w:pPr>
              <w:jc w:val="center"/>
            </w:pPr>
            <w:r>
              <w:rPr>
                <w:rFonts w:ascii="Segoe UI" w:hAnsi="Segoe UI"/>
                <w:b/>
                <w:color w:val="FFFFFF"/>
                <w:sz w:val="16"/>
              </w:rPr>
              <w:t>Select (☐/☑)</w:t>
            </w:r>
          </w:p>
        </w:tc>
        <w:tc>
          <w:tcPr>
            <w:tcW w:type="dxa" w:w="2160"/>
            <w:vAlign w:val="center"/>
            <w:shd w:fill="0E4D64"/>
          </w:tcPr>
          <w:p>
            <w:pPr>
              <w:jc w:val="left"/>
            </w:pPr>
            <w:r>
              <w:rPr>
                <w:rFonts w:ascii="Segoe UI" w:hAnsi="Segoe UI"/>
                <w:b/>
                <w:color w:val="FFFFFF"/>
                <w:sz w:val="16"/>
              </w:rPr>
              <w:t>Dietetic Service Description</w:t>
            </w:r>
          </w:p>
        </w:tc>
        <w:tc>
          <w:tcPr>
            <w:tcW w:type="dxa" w:w="1296"/>
            <w:vAlign w:val="center"/>
            <w:shd w:fill="0E4D64"/>
          </w:tcPr>
          <w:p>
            <w:pPr>
              <w:jc w:val="center"/>
            </w:pPr>
            <w:r>
              <w:rPr>
                <w:rFonts w:ascii="Segoe UI" w:hAnsi="Segoe UI"/>
                <w:b/>
                <w:color w:val="FFFFFF"/>
                <w:sz w:val="16"/>
              </w:rPr>
              <w:t>Delivery Mode</w:t>
            </w:r>
          </w:p>
        </w:tc>
        <w:tc>
          <w:tcPr>
            <w:tcW w:type="dxa" w:w="1584"/>
            <w:vAlign w:val="center"/>
            <w:shd w:fill="0E4D64"/>
          </w:tcPr>
          <w:p>
            <w:pPr>
              <w:jc w:val="center"/>
            </w:pPr>
            <w:r>
              <w:rPr>
                <w:rFonts w:ascii="Segoe UI" w:hAnsi="Segoe UI"/>
                <w:b/>
                <w:color w:val="FFFFFF"/>
                <w:sz w:val="16"/>
              </w:rPr>
              <w:t>Unit / Duration</w:t>
            </w:r>
          </w:p>
        </w:tc>
        <w:tc>
          <w:tcPr>
            <w:tcW w:type="dxa" w:w="1152"/>
            <w:vAlign w:val="center"/>
            <w:shd w:fill="0E4D64"/>
          </w:tcPr>
          <w:p>
            <w:pPr>
              <w:jc w:val="right"/>
            </w:pPr>
            <w:r>
              <w:rPr>
                <w:rFonts w:ascii="Segoe UI" w:hAnsi="Segoe UI"/>
                <w:b/>
                <w:color w:val="FFFFFF"/>
                <w:sz w:val="16"/>
              </w:rPr>
              <w:t>Reference Price (₹)</w:t>
            </w:r>
          </w:p>
        </w:tc>
        <w:tc>
          <w:tcPr>
            <w:tcW w:type="dxa" w:w="1008"/>
            <w:vAlign w:val="center"/>
            <w:shd w:fill="0E4D64"/>
          </w:tcPr>
          <w:p>
            <w:pPr>
              <w:jc w:val="right"/>
            </w:pPr>
            <w:r>
              <w:rPr>
                <w:rFonts w:ascii="Segoe UI" w:hAnsi="Segoe UI"/>
                <w:b/>
                <w:color w:val="FFFFFF"/>
                <w:sz w:val="16"/>
              </w:rPr>
              <w:t>Agreed Rate (₹)</w:t>
            </w:r>
          </w:p>
        </w:tc>
        <w:tc>
          <w:tcPr>
            <w:tcW w:type="dxa" w:w="1008"/>
            <w:vAlign w:val="center"/>
            <w:shd w:fill="0E4D64"/>
          </w:tcPr>
          <w:p>
            <w:pPr>
              <w:jc w:val="right"/>
            </w:pPr>
            <w:r>
              <w:rPr>
                <w:rFonts w:ascii="Segoe UI" w:hAnsi="Segoe UI"/>
                <w:b/>
                <w:color w:val="FFFFFF"/>
                <w:sz w:val="16"/>
              </w:rPr>
              <w:t>Platform Fee (20%)</w:t>
            </w:r>
          </w:p>
        </w:tc>
        <w:tc>
          <w:tcPr>
            <w:tcW w:type="dxa" w:w="1008"/>
            <w:vAlign w:val="center"/>
            <w:shd w:fill="0E4D64"/>
          </w:tcPr>
          <w:p>
            <w:pPr>
              <w:jc w:val="right"/>
            </w:pPr>
            <w:r>
              <w:rPr>
                <w:rFonts w:ascii="Segoe UI" w:hAnsi="Segoe UI"/>
                <w:b/>
                <w:color w:val="FFFFFF"/>
                <w:sz w:val="16"/>
              </w:rPr>
              <w:t>Provider Share (80%)</w:t>
            </w:r>
          </w:p>
        </w:tc>
        <w:tc>
          <w:tcPr>
            <w:tcW w:type="dxa" w:w="1296"/>
            <w:vAlign w:val="center"/>
            <w:shd w:fill="0E4D64"/>
          </w:tcPr>
          <w:p>
            <w:pPr>
              <w:jc w:val="center"/>
            </w:pPr>
            <w:r>
              <w:rPr>
                <w:rFonts w:ascii="Segoe UI" w:hAnsi="Segoe UI"/>
                <w:b/>
                <w:color w:val="FFFFFF"/>
                <w:sz w:val="16"/>
              </w:rPr>
              <w:t>Settlement Model</w:t>
            </w:r>
          </w:p>
        </w:tc>
      </w:tr>
      <w:tr>
        <w:tc>
          <w:tcPr>
            <w:tcW w:type="dxa" w:w="576"/>
            <w:vAlign w:val="center"/>
            <w:shd w:fill="FFFFFF"/>
          </w:tcPr>
          <w:p>
            <w:pPr>
              <w:jc w:val="center"/>
            </w:pPr>
            <w:r>
              <w:rPr>
                <w:rFonts w:ascii="Segoe UI" w:hAnsi="Segoe UI"/>
                <w:sz w:val="15"/>
              </w:rPr>
              <w:t>1</w:t>
            </w:r>
          </w:p>
        </w:tc>
        <w:tc>
          <w:tcPr>
            <w:tcW w:type="dxa" w:w="864"/>
            <w:vAlign w:val="center"/>
            <w:shd w:fill="FFFFFF"/>
          </w:tcPr>
          <w:p>
            <w:pPr>
              <w:jc w:val="center"/>
            </w:pPr>
            <w:r>
              <w:rPr>
                <w:rFonts w:ascii="Segoe UI" w:hAnsi="Segoe UI"/>
                <w:color w:val="0E4D64"/>
                <w:sz w:val="19"/>
              </w:rPr>
              <w:t>☐</w:t>
            </w:r>
          </w:p>
        </w:tc>
        <w:tc>
          <w:tcPr>
            <w:tcW w:type="dxa" w:w="2160"/>
            <w:vAlign w:val="center"/>
            <w:shd w:fill="FFFFFF"/>
          </w:tcPr>
          <w:p>
            <w:pPr>
              <w:jc w:val="left"/>
            </w:pPr>
            <w:r>
              <w:rPr>
                <w:rFonts w:ascii="Segoe UI" w:hAnsi="Segoe UI"/>
                <w:sz w:val="15"/>
              </w:rPr>
              <w:t>Dietitian Online Teleconsultation</w:t>
            </w:r>
          </w:p>
        </w:tc>
        <w:tc>
          <w:tcPr>
            <w:tcW w:type="dxa" w:w="1296"/>
            <w:vAlign w:val="center"/>
            <w:shd w:fill="FFFFFF"/>
          </w:tcPr>
          <w:p>
            <w:pPr>
              <w:jc w:val="center"/>
            </w:pPr>
            <w:r>
              <w:rPr>
                <w:rFonts w:ascii="Segoe UI" w:hAnsi="Segoe UI"/>
                <w:sz w:val="15"/>
              </w:rPr>
              <w:t>Online (Audio/Video)</w:t>
            </w:r>
          </w:p>
        </w:tc>
        <w:tc>
          <w:tcPr>
            <w:tcW w:type="dxa" w:w="1584"/>
            <w:vAlign w:val="center"/>
            <w:shd w:fill="FFFFFF"/>
          </w:tcPr>
          <w:p>
            <w:pPr>
              <w:jc w:val="center"/>
            </w:pPr>
            <w:r>
              <w:rPr>
                <w:rFonts w:ascii="Segoe UI" w:hAnsi="Segoe UI"/>
                <w:sz w:val="15"/>
              </w:rPr>
              <w:t>Per Consultation (20-30 min)</w:t>
            </w:r>
          </w:p>
        </w:tc>
        <w:tc>
          <w:tcPr>
            <w:tcW w:type="dxa" w:w="1152"/>
            <w:vAlign w:val="center"/>
            <w:shd w:fill="FFFFFF"/>
          </w:tcPr>
          <w:p>
            <w:pPr>
              <w:jc w:val="right"/>
            </w:pPr>
            <w:r>
              <w:rPr>
                <w:rFonts w:ascii="Segoe UI" w:hAnsi="Segoe UI"/>
                <w:sz w:val="15"/>
              </w:rPr>
              <w:t>₹ 400 - 500</w:t>
            </w:r>
          </w:p>
        </w:tc>
        <w:tc>
          <w:tcPr>
            <w:tcW w:type="dxa" w:w="1008"/>
            <w:vAlign w:val="center"/>
            <w:shd w:fill="FFFFFF"/>
          </w:tcPr>
          <w:p>
            <w:pPr>
              <w:jc w:val="right"/>
            </w:pPr>
            <w:r>
              <w:rPr>
                <w:rFonts w:ascii="Segoe UI" w:hAnsi="Segoe UI"/>
                <w:sz w:val="15"/>
              </w:rPr>
            </w:r>
          </w:p>
        </w:tc>
        <w:tc>
          <w:tcPr>
            <w:tcW w:type="dxa" w:w="1008"/>
            <w:vAlign w:val="center"/>
            <w:shd w:fill="FFFFFF"/>
          </w:tcPr>
          <w:p>
            <w:pPr>
              <w:jc w:val="right"/>
            </w:pPr>
            <w:r>
              <w:rPr>
                <w:rFonts w:ascii="Segoe UI" w:hAnsi="Segoe UI"/>
                <w:sz w:val="15"/>
              </w:rPr>
              <w:t>₹ 80 - 100</w:t>
            </w:r>
          </w:p>
        </w:tc>
        <w:tc>
          <w:tcPr>
            <w:tcW w:type="dxa" w:w="1008"/>
            <w:vAlign w:val="center"/>
            <w:shd w:fill="FFFFFF"/>
          </w:tcPr>
          <w:p>
            <w:pPr>
              <w:jc w:val="right"/>
            </w:pPr>
            <w:r>
              <w:rPr>
                <w:rFonts w:ascii="Segoe UI" w:hAnsi="Segoe UI"/>
                <w:sz w:val="15"/>
              </w:rPr>
              <w:t>₹ 320 - 400</w:t>
            </w:r>
          </w:p>
        </w:tc>
        <w:tc>
          <w:tcPr>
            <w:tcW w:type="dxa" w:w="1296"/>
            <w:vAlign w:val="center"/>
            <w:shd w:fill="FFFFFF"/>
          </w:tcPr>
          <w:p>
            <w:pPr>
              <w:jc w:val="center"/>
            </w:pPr>
            <w:r>
              <w:rPr>
                <w:rFonts w:ascii="Segoe UI" w:hAnsi="Segoe UI"/>
                <w:sz w:val="15"/>
              </w:rPr>
              <w:t>Wallet Model</w:t>
            </w:r>
          </w:p>
        </w:tc>
      </w:tr>
      <w:tr>
        <w:tc>
          <w:tcPr>
            <w:tcW w:type="dxa" w:w="576"/>
            <w:vAlign w:val="center"/>
            <w:shd w:fill="F8FAFC"/>
          </w:tcPr>
          <w:p>
            <w:pPr>
              <w:jc w:val="center"/>
            </w:pPr>
            <w:r>
              <w:rPr>
                <w:rFonts w:ascii="Segoe UI" w:hAnsi="Segoe UI"/>
                <w:sz w:val="15"/>
              </w:rPr>
              <w:t>2</w:t>
            </w:r>
          </w:p>
        </w:tc>
        <w:tc>
          <w:tcPr>
            <w:tcW w:type="dxa" w:w="864"/>
            <w:vAlign w:val="center"/>
            <w:shd w:fill="F8FAFC"/>
          </w:tcPr>
          <w:p>
            <w:pPr>
              <w:jc w:val="center"/>
            </w:pPr>
            <w:r>
              <w:rPr>
                <w:rFonts w:ascii="Segoe UI" w:hAnsi="Segoe UI"/>
                <w:color w:val="0E4D64"/>
                <w:sz w:val="19"/>
              </w:rPr>
              <w:t>☐</w:t>
            </w:r>
          </w:p>
        </w:tc>
        <w:tc>
          <w:tcPr>
            <w:tcW w:type="dxa" w:w="2160"/>
            <w:vAlign w:val="center"/>
            <w:shd w:fill="F8FAFC"/>
          </w:tcPr>
          <w:p>
            <w:pPr>
              <w:jc w:val="left"/>
            </w:pPr>
            <w:r>
              <w:rPr>
                <w:rFonts w:ascii="Segoe UI" w:hAnsi="Segoe UI"/>
                <w:sz w:val="15"/>
              </w:rPr>
              <w:t>Center Walk-In Dietitian Consultation</w:t>
            </w:r>
          </w:p>
        </w:tc>
        <w:tc>
          <w:tcPr>
            <w:tcW w:type="dxa" w:w="1296"/>
            <w:vAlign w:val="center"/>
            <w:shd w:fill="F8FAFC"/>
          </w:tcPr>
          <w:p>
            <w:pPr>
              <w:jc w:val="center"/>
            </w:pPr>
            <w:r>
              <w:rPr>
                <w:rFonts w:ascii="Segoe UI" w:hAnsi="Segoe UI"/>
                <w:sz w:val="15"/>
              </w:rPr>
              <w:t>Center / Clinic</w:t>
            </w:r>
          </w:p>
        </w:tc>
        <w:tc>
          <w:tcPr>
            <w:tcW w:type="dxa" w:w="1584"/>
            <w:vAlign w:val="center"/>
            <w:shd w:fill="F8FAFC"/>
          </w:tcPr>
          <w:p>
            <w:pPr>
              <w:jc w:val="center"/>
            </w:pPr>
            <w:r>
              <w:rPr>
                <w:rFonts w:ascii="Segoe UI" w:hAnsi="Segoe UI"/>
                <w:sz w:val="15"/>
              </w:rPr>
              <w:t>Per Visit</w:t>
            </w:r>
          </w:p>
        </w:tc>
        <w:tc>
          <w:tcPr>
            <w:tcW w:type="dxa" w:w="1152"/>
            <w:vAlign w:val="center"/>
            <w:shd w:fill="F8FAFC"/>
          </w:tcPr>
          <w:p>
            <w:pPr>
              <w:jc w:val="right"/>
            </w:pPr>
            <w:r>
              <w:rPr>
                <w:rFonts w:ascii="Segoe UI" w:hAnsi="Segoe UI"/>
                <w:sz w:val="15"/>
              </w:rPr>
              <w:t>₹ 500</w:t>
            </w:r>
          </w:p>
        </w:tc>
        <w:tc>
          <w:tcPr>
            <w:tcW w:type="dxa" w:w="1008"/>
            <w:vAlign w:val="center"/>
            <w:shd w:fill="F8FAFC"/>
          </w:tcPr>
          <w:p>
            <w:pPr>
              <w:jc w:val="right"/>
            </w:pPr>
            <w:r>
              <w:rPr>
                <w:rFonts w:ascii="Segoe UI" w:hAnsi="Segoe UI"/>
                <w:sz w:val="15"/>
              </w:rPr>
            </w:r>
          </w:p>
        </w:tc>
        <w:tc>
          <w:tcPr>
            <w:tcW w:type="dxa" w:w="1008"/>
            <w:vAlign w:val="center"/>
            <w:shd w:fill="F8FAFC"/>
          </w:tcPr>
          <w:p>
            <w:pPr>
              <w:jc w:val="right"/>
            </w:pPr>
            <w:r>
              <w:rPr>
                <w:rFonts w:ascii="Segoe UI" w:hAnsi="Segoe UI"/>
                <w:sz w:val="15"/>
              </w:rPr>
              <w:t>₹ 100</w:t>
            </w:r>
          </w:p>
        </w:tc>
        <w:tc>
          <w:tcPr>
            <w:tcW w:type="dxa" w:w="1008"/>
            <w:vAlign w:val="center"/>
            <w:shd w:fill="F8FAFC"/>
          </w:tcPr>
          <w:p>
            <w:pPr>
              <w:jc w:val="right"/>
            </w:pPr>
            <w:r>
              <w:rPr>
                <w:rFonts w:ascii="Segoe UI" w:hAnsi="Segoe UI"/>
                <w:sz w:val="15"/>
              </w:rPr>
              <w:t>₹ 400</w:t>
            </w:r>
          </w:p>
        </w:tc>
        <w:tc>
          <w:tcPr>
            <w:tcW w:type="dxa" w:w="1296"/>
            <w:vAlign w:val="center"/>
            <w:shd w:fill="F8FAFC"/>
          </w:tcPr>
          <w:p>
            <w:pPr>
              <w:jc w:val="center"/>
            </w:pPr>
            <w:r>
              <w:rPr>
                <w:rFonts w:ascii="Segoe UI" w:hAnsi="Segoe UI"/>
                <w:sz w:val="15"/>
              </w:rPr>
              <w:t>Confirmation / Wallet</w:t>
            </w:r>
          </w:p>
        </w:tc>
      </w:tr>
      <w:tr>
        <w:tc>
          <w:tcPr>
            <w:tcW w:type="dxa" w:w="576"/>
            <w:vAlign w:val="center"/>
            <w:shd w:fill="FFFFFF"/>
          </w:tcPr>
          <w:p>
            <w:pPr>
              <w:jc w:val="center"/>
            </w:pPr>
            <w:r>
              <w:rPr>
                <w:rFonts w:ascii="Segoe UI" w:hAnsi="Segoe UI"/>
                <w:sz w:val="15"/>
              </w:rPr>
              <w:t>3</w:t>
            </w:r>
          </w:p>
        </w:tc>
        <w:tc>
          <w:tcPr>
            <w:tcW w:type="dxa" w:w="864"/>
            <w:vAlign w:val="center"/>
            <w:shd w:fill="FFFFFF"/>
          </w:tcPr>
          <w:p>
            <w:pPr>
              <w:jc w:val="center"/>
            </w:pPr>
            <w:r>
              <w:rPr>
                <w:rFonts w:ascii="Segoe UI" w:hAnsi="Segoe UI"/>
                <w:color w:val="0E4D64"/>
                <w:sz w:val="19"/>
              </w:rPr>
              <w:t>☐</w:t>
            </w:r>
          </w:p>
        </w:tc>
        <w:tc>
          <w:tcPr>
            <w:tcW w:type="dxa" w:w="2160"/>
            <w:vAlign w:val="center"/>
            <w:shd w:fill="FFFFFF"/>
          </w:tcPr>
          <w:p>
            <w:pPr>
              <w:jc w:val="left"/>
            </w:pPr>
            <w:r>
              <w:rPr>
                <w:rFonts w:ascii="Segoe UI" w:hAnsi="Segoe UI"/>
                <w:sz w:val="15"/>
              </w:rPr>
              <w:t>Dietitian Home Visit Consultation</w:t>
            </w:r>
          </w:p>
        </w:tc>
        <w:tc>
          <w:tcPr>
            <w:tcW w:type="dxa" w:w="1296"/>
            <w:vAlign w:val="center"/>
            <w:shd w:fill="FFFFFF"/>
          </w:tcPr>
          <w:p>
            <w:pPr>
              <w:jc w:val="center"/>
            </w:pPr>
            <w:r>
              <w:rPr>
                <w:rFonts w:ascii="Segoe UI" w:hAnsi="Segoe UI"/>
                <w:sz w:val="15"/>
              </w:rPr>
              <w:t>Home Healthcare</w:t>
            </w:r>
          </w:p>
        </w:tc>
        <w:tc>
          <w:tcPr>
            <w:tcW w:type="dxa" w:w="1584"/>
            <w:vAlign w:val="center"/>
            <w:shd w:fill="FFFFFF"/>
          </w:tcPr>
          <w:p>
            <w:pPr>
              <w:jc w:val="center"/>
            </w:pPr>
            <w:r>
              <w:rPr>
                <w:rFonts w:ascii="Segoe UI" w:hAnsi="Segoe UI"/>
                <w:sz w:val="15"/>
              </w:rPr>
              <w:t>Per Home Visit</w:t>
            </w:r>
          </w:p>
        </w:tc>
        <w:tc>
          <w:tcPr>
            <w:tcW w:type="dxa" w:w="1152"/>
            <w:vAlign w:val="center"/>
            <w:shd w:fill="FFFFFF"/>
          </w:tcPr>
          <w:p>
            <w:pPr>
              <w:jc w:val="right"/>
            </w:pPr>
            <w:r>
              <w:rPr>
                <w:rFonts w:ascii="Segoe UI" w:hAnsi="Segoe UI"/>
                <w:sz w:val="15"/>
              </w:rPr>
              <w:t>₹ 700 - 1,000</w:t>
            </w:r>
          </w:p>
        </w:tc>
        <w:tc>
          <w:tcPr>
            <w:tcW w:type="dxa" w:w="1008"/>
            <w:vAlign w:val="center"/>
            <w:shd w:fill="FFFFFF"/>
          </w:tcPr>
          <w:p>
            <w:pPr>
              <w:jc w:val="right"/>
            </w:pPr>
            <w:r>
              <w:rPr>
                <w:rFonts w:ascii="Segoe UI" w:hAnsi="Segoe UI"/>
                <w:sz w:val="15"/>
              </w:rPr>
            </w:r>
          </w:p>
        </w:tc>
        <w:tc>
          <w:tcPr>
            <w:tcW w:type="dxa" w:w="1008"/>
            <w:vAlign w:val="center"/>
            <w:shd w:fill="FFFFFF"/>
          </w:tcPr>
          <w:p>
            <w:pPr>
              <w:jc w:val="right"/>
            </w:pPr>
            <w:r>
              <w:rPr>
                <w:rFonts w:ascii="Segoe UI" w:hAnsi="Segoe UI"/>
                <w:sz w:val="15"/>
              </w:rPr>
              <w:t>₹ 140 - 200</w:t>
            </w:r>
          </w:p>
        </w:tc>
        <w:tc>
          <w:tcPr>
            <w:tcW w:type="dxa" w:w="1008"/>
            <w:vAlign w:val="center"/>
            <w:shd w:fill="FFFFFF"/>
          </w:tcPr>
          <w:p>
            <w:pPr>
              <w:jc w:val="right"/>
            </w:pPr>
            <w:r>
              <w:rPr>
                <w:rFonts w:ascii="Segoe UI" w:hAnsi="Segoe UI"/>
                <w:sz w:val="15"/>
              </w:rPr>
              <w:t>₹ 560 - 800</w:t>
            </w:r>
          </w:p>
        </w:tc>
        <w:tc>
          <w:tcPr>
            <w:tcW w:type="dxa" w:w="1296"/>
            <w:vAlign w:val="center"/>
            <w:shd w:fill="FFFFFF"/>
          </w:tcPr>
          <w:p>
            <w:pPr>
              <w:jc w:val="center"/>
            </w:pPr>
            <w:r>
              <w:rPr>
                <w:rFonts w:ascii="Segoe UI" w:hAnsi="Segoe UI"/>
                <w:sz w:val="15"/>
              </w:rPr>
              <w:t>Confirmation / Direct</w:t>
            </w:r>
          </w:p>
        </w:tc>
      </w:tr>
      <w:tr>
        <w:tc>
          <w:tcPr>
            <w:tcW w:type="dxa" w:w="576"/>
            <w:vAlign w:val="center"/>
            <w:shd w:fill="F8FAFC"/>
          </w:tcPr>
          <w:p>
            <w:pPr>
              <w:jc w:val="center"/>
            </w:pPr>
            <w:r>
              <w:rPr>
                <w:rFonts w:ascii="Segoe UI" w:hAnsi="Segoe UI"/>
                <w:sz w:val="15"/>
              </w:rPr>
              <w:t>4</w:t>
            </w:r>
          </w:p>
        </w:tc>
        <w:tc>
          <w:tcPr>
            <w:tcW w:type="dxa" w:w="864"/>
            <w:vAlign w:val="center"/>
            <w:shd w:fill="F8FAFC"/>
          </w:tcPr>
          <w:p>
            <w:pPr>
              <w:jc w:val="center"/>
            </w:pPr>
            <w:r>
              <w:rPr>
                <w:rFonts w:ascii="Segoe UI" w:hAnsi="Segoe UI"/>
                <w:color w:val="0E4D64"/>
                <w:sz w:val="19"/>
              </w:rPr>
              <w:t>☐</w:t>
            </w:r>
          </w:p>
        </w:tc>
        <w:tc>
          <w:tcPr>
            <w:tcW w:type="dxa" w:w="2160"/>
            <w:vAlign w:val="center"/>
            <w:shd w:fill="F8FAFC"/>
          </w:tcPr>
          <w:p>
            <w:pPr>
              <w:jc w:val="left"/>
            </w:pPr>
            <w:r>
              <w:rPr>
                <w:rFonts w:ascii="Segoe UI" w:hAnsi="Segoe UI"/>
                <w:sz w:val="15"/>
              </w:rPr>
              <w:t>Specialist Clinical Nutritionist Visit</w:t>
            </w:r>
          </w:p>
        </w:tc>
        <w:tc>
          <w:tcPr>
            <w:tcW w:type="dxa" w:w="1296"/>
            <w:vAlign w:val="center"/>
            <w:shd w:fill="F8FAFC"/>
          </w:tcPr>
          <w:p>
            <w:pPr>
              <w:jc w:val="center"/>
            </w:pPr>
            <w:r>
              <w:rPr>
                <w:rFonts w:ascii="Segoe UI" w:hAnsi="Segoe UI"/>
                <w:sz w:val="15"/>
              </w:rPr>
              <w:t>Center / Home</w:t>
            </w:r>
          </w:p>
        </w:tc>
        <w:tc>
          <w:tcPr>
            <w:tcW w:type="dxa" w:w="1584"/>
            <w:vAlign w:val="center"/>
            <w:shd w:fill="F8FAFC"/>
          </w:tcPr>
          <w:p>
            <w:pPr>
              <w:jc w:val="center"/>
            </w:pPr>
            <w:r>
              <w:rPr>
                <w:rFonts w:ascii="Segoe UI" w:hAnsi="Segoe UI"/>
                <w:sz w:val="15"/>
              </w:rPr>
              <w:t>Per Consultation</w:t>
            </w:r>
          </w:p>
        </w:tc>
        <w:tc>
          <w:tcPr>
            <w:tcW w:type="dxa" w:w="1152"/>
            <w:vAlign w:val="center"/>
            <w:shd w:fill="F8FAFC"/>
          </w:tcPr>
          <w:p>
            <w:pPr>
              <w:jc w:val="right"/>
            </w:pPr>
            <w:r>
              <w:rPr>
                <w:rFonts w:ascii="Segoe UI" w:hAnsi="Segoe UI"/>
                <w:sz w:val="15"/>
              </w:rPr>
              <w:t>₹ 800</w:t>
            </w:r>
          </w:p>
        </w:tc>
        <w:tc>
          <w:tcPr>
            <w:tcW w:type="dxa" w:w="1008"/>
            <w:vAlign w:val="center"/>
            <w:shd w:fill="F8FAFC"/>
          </w:tcPr>
          <w:p>
            <w:pPr>
              <w:jc w:val="right"/>
            </w:pPr>
            <w:r>
              <w:rPr>
                <w:rFonts w:ascii="Segoe UI" w:hAnsi="Segoe UI"/>
                <w:sz w:val="15"/>
              </w:rPr>
            </w:r>
          </w:p>
        </w:tc>
        <w:tc>
          <w:tcPr>
            <w:tcW w:type="dxa" w:w="1008"/>
            <w:vAlign w:val="center"/>
            <w:shd w:fill="F8FAFC"/>
          </w:tcPr>
          <w:p>
            <w:pPr>
              <w:jc w:val="right"/>
            </w:pPr>
            <w:r>
              <w:rPr>
                <w:rFonts w:ascii="Segoe UI" w:hAnsi="Segoe UI"/>
                <w:sz w:val="15"/>
              </w:rPr>
              <w:t>₹ 160</w:t>
            </w:r>
          </w:p>
        </w:tc>
        <w:tc>
          <w:tcPr>
            <w:tcW w:type="dxa" w:w="1008"/>
            <w:vAlign w:val="center"/>
            <w:shd w:fill="F8FAFC"/>
          </w:tcPr>
          <w:p>
            <w:pPr>
              <w:jc w:val="right"/>
            </w:pPr>
            <w:r>
              <w:rPr>
                <w:rFonts w:ascii="Segoe UI" w:hAnsi="Segoe UI"/>
                <w:sz w:val="15"/>
              </w:rPr>
              <w:t>₹ 640</w:t>
            </w:r>
          </w:p>
        </w:tc>
        <w:tc>
          <w:tcPr>
            <w:tcW w:type="dxa" w:w="1296"/>
            <w:vAlign w:val="center"/>
            <w:shd w:fill="F8FAFC"/>
          </w:tcPr>
          <w:p>
            <w:pPr>
              <w:jc w:val="center"/>
            </w:pPr>
            <w:r>
              <w:rPr>
                <w:rFonts w:ascii="Segoe UI" w:hAnsi="Segoe UI"/>
                <w:sz w:val="15"/>
              </w:rPr>
              <w:t>Confirmation / Wallet</w:t>
            </w:r>
          </w:p>
        </w:tc>
      </w:tr>
      <w:tr>
        <w:tc>
          <w:tcPr>
            <w:tcW w:type="dxa" w:w="576"/>
            <w:vAlign w:val="center"/>
            <w:shd w:fill="FFFFFF"/>
          </w:tcPr>
          <w:p>
            <w:pPr>
              <w:jc w:val="center"/>
            </w:pPr>
            <w:r>
              <w:rPr>
                <w:rFonts w:ascii="Segoe UI" w:hAnsi="Segoe UI"/>
                <w:sz w:val="15"/>
              </w:rPr>
              <w:t>5</w:t>
            </w:r>
          </w:p>
        </w:tc>
        <w:tc>
          <w:tcPr>
            <w:tcW w:type="dxa" w:w="864"/>
            <w:vAlign w:val="center"/>
            <w:shd w:fill="FFFFFF"/>
          </w:tcPr>
          <w:p>
            <w:pPr>
              <w:jc w:val="center"/>
            </w:pPr>
            <w:r>
              <w:rPr>
                <w:rFonts w:ascii="Segoe UI" w:hAnsi="Segoe UI"/>
                <w:color w:val="0E4D64"/>
                <w:sz w:val="19"/>
              </w:rPr>
              <w:t>☐</w:t>
            </w:r>
          </w:p>
        </w:tc>
        <w:tc>
          <w:tcPr>
            <w:tcW w:type="dxa" w:w="2160"/>
            <w:vAlign w:val="center"/>
            <w:shd w:fill="FFFFFF"/>
          </w:tcPr>
          <w:p>
            <w:pPr>
              <w:jc w:val="left"/>
            </w:pPr>
            <w:r>
              <w:rPr>
                <w:rFonts w:ascii="Segoe UI" w:hAnsi="Segoe UI"/>
                <w:sz w:val="15"/>
              </w:rPr>
              <w:t>Follow-up Diet Review &amp; Modification</w:t>
            </w:r>
          </w:p>
        </w:tc>
        <w:tc>
          <w:tcPr>
            <w:tcW w:type="dxa" w:w="1296"/>
            <w:vAlign w:val="center"/>
            <w:shd w:fill="FFFFFF"/>
          </w:tcPr>
          <w:p>
            <w:pPr>
              <w:jc w:val="center"/>
            </w:pPr>
            <w:r>
              <w:rPr>
                <w:rFonts w:ascii="Segoe UI" w:hAnsi="Segoe UI"/>
                <w:sz w:val="15"/>
              </w:rPr>
              <w:t>Online / Center</w:t>
            </w:r>
          </w:p>
        </w:tc>
        <w:tc>
          <w:tcPr>
            <w:tcW w:type="dxa" w:w="1584"/>
            <w:vAlign w:val="center"/>
            <w:shd w:fill="FFFFFF"/>
          </w:tcPr>
          <w:p>
            <w:pPr>
              <w:jc w:val="center"/>
            </w:pPr>
            <w:r>
              <w:rPr>
                <w:rFonts w:ascii="Segoe UI" w:hAnsi="Segoe UI"/>
                <w:sz w:val="15"/>
              </w:rPr>
              <w:t>Per Review (15 min)</w:t>
            </w:r>
          </w:p>
        </w:tc>
        <w:tc>
          <w:tcPr>
            <w:tcW w:type="dxa" w:w="1152"/>
            <w:vAlign w:val="center"/>
            <w:shd w:fill="FFFFFF"/>
          </w:tcPr>
          <w:p>
            <w:pPr>
              <w:jc w:val="right"/>
            </w:pPr>
            <w:r>
              <w:rPr>
                <w:rFonts w:ascii="Segoe UI" w:hAnsi="Segoe UI"/>
                <w:sz w:val="15"/>
              </w:rPr>
              <w:t>₹ 300</w:t>
            </w:r>
          </w:p>
        </w:tc>
        <w:tc>
          <w:tcPr>
            <w:tcW w:type="dxa" w:w="1008"/>
            <w:vAlign w:val="center"/>
            <w:shd w:fill="FFFFFF"/>
          </w:tcPr>
          <w:p>
            <w:pPr>
              <w:jc w:val="right"/>
            </w:pPr>
            <w:r>
              <w:rPr>
                <w:rFonts w:ascii="Segoe UI" w:hAnsi="Segoe UI"/>
                <w:sz w:val="15"/>
              </w:rPr>
            </w:r>
          </w:p>
        </w:tc>
        <w:tc>
          <w:tcPr>
            <w:tcW w:type="dxa" w:w="1008"/>
            <w:vAlign w:val="center"/>
            <w:shd w:fill="FFFFFF"/>
          </w:tcPr>
          <w:p>
            <w:pPr>
              <w:jc w:val="right"/>
            </w:pPr>
            <w:r>
              <w:rPr>
                <w:rFonts w:ascii="Segoe UI" w:hAnsi="Segoe UI"/>
                <w:sz w:val="15"/>
              </w:rPr>
              <w:t>₹ 60</w:t>
            </w:r>
          </w:p>
        </w:tc>
        <w:tc>
          <w:tcPr>
            <w:tcW w:type="dxa" w:w="1008"/>
            <w:vAlign w:val="center"/>
            <w:shd w:fill="FFFFFF"/>
          </w:tcPr>
          <w:p>
            <w:pPr>
              <w:jc w:val="right"/>
            </w:pPr>
            <w:r>
              <w:rPr>
                <w:rFonts w:ascii="Segoe UI" w:hAnsi="Segoe UI"/>
                <w:sz w:val="15"/>
              </w:rPr>
              <w:t>₹ 240</w:t>
            </w:r>
          </w:p>
        </w:tc>
        <w:tc>
          <w:tcPr>
            <w:tcW w:type="dxa" w:w="1296"/>
            <w:vAlign w:val="center"/>
            <w:shd w:fill="FFFFFF"/>
          </w:tcPr>
          <w:p>
            <w:pPr>
              <w:jc w:val="center"/>
            </w:pPr>
            <w:r>
              <w:rPr>
                <w:rFonts w:ascii="Segoe UI" w:hAnsi="Segoe UI"/>
                <w:sz w:val="15"/>
              </w:rPr>
              <w:t>Wallet Model</w:t>
            </w:r>
          </w:p>
        </w:tc>
      </w:tr>
      <w:tr>
        <w:tc>
          <w:tcPr>
            <w:tcW w:type="dxa" w:w="576"/>
            <w:vAlign w:val="center"/>
            <w:shd w:fill="F8FAFC"/>
          </w:tcPr>
          <w:p>
            <w:pPr>
              <w:jc w:val="center"/>
            </w:pPr>
            <w:r>
              <w:rPr>
                <w:rFonts w:ascii="Segoe UI" w:hAnsi="Segoe UI"/>
                <w:sz w:val="15"/>
              </w:rPr>
              <w:t>6</w:t>
            </w:r>
          </w:p>
        </w:tc>
        <w:tc>
          <w:tcPr>
            <w:tcW w:type="dxa" w:w="864"/>
            <w:vAlign w:val="center"/>
            <w:shd w:fill="F8FAFC"/>
          </w:tcPr>
          <w:p>
            <w:pPr>
              <w:jc w:val="center"/>
            </w:pPr>
            <w:r>
              <w:rPr>
                <w:rFonts w:ascii="Segoe UI" w:hAnsi="Segoe UI"/>
                <w:color w:val="0E4D64"/>
                <w:sz w:val="19"/>
              </w:rPr>
              <w:t>☐</w:t>
            </w:r>
          </w:p>
        </w:tc>
        <w:tc>
          <w:tcPr>
            <w:tcW w:type="dxa" w:w="2160"/>
            <w:vAlign w:val="center"/>
            <w:shd w:fill="F8FAFC"/>
          </w:tcPr>
          <w:p>
            <w:pPr>
              <w:jc w:val="left"/>
            </w:pPr>
            <w:r>
              <w:rPr>
                <w:rFonts w:ascii="Segoe UI" w:hAnsi="Segoe UI"/>
                <w:sz w:val="15"/>
              </w:rPr>
              <w:t>Body Composition &amp; Nutritional Assessment</w:t>
            </w:r>
          </w:p>
        </w:tc>
        <w:tc>
          <w:tcPr>
            <w:tcW w:type="dxa" w:w="1296"/>
            <w:vAlign w:val="center"/>
            <w:shd w:fill="F8FAFC"/>
          </w:tcPr>
          <w:p>
            <w:pPr>
              <w:jc w:val="center"/>
            </w:pPr>
            <w:r>
              <w:rPr>
                <w:rFonts w:ascii="Segoe UI" w:hAnsi="Segoe UI"/>
                <w:sz w:val="15"/>
              </w:rPr>
              <w:t>Center Walk-In</w:t>
            </w:r>
          </w:p>
        </w:tc>
        <w:tc>
          <w:tcPr>
            <w:tcW w:type="dxa" w:w="1584"/>
            <w:vAlign w:val="center"/>
            <w:shd w:fill="F8FAFC"/>
          </w:tcPr>
          <w:p>
            <w:pPr>
              <w:jc w:val="center"/>
            </w:pPr>
            <w:r>
              <w:rPr>
                <w:rFonts w:ascii="Segoe UI" w:hAnsi="Segoe UI"/>
                <w:sz w:val="15"/>
              </w:rPr>
              <w:t>Per Assessment</w:t>
            </w:r>
          </w:p>
        </w:tc>
        <w:tc>
          <w:tcPr>
            <w:tcW w:type="dxa" w:w="1152"/>
            <w:vAlign w:val="center"/>
            <w:shd w:fill="F8FAFC"/>
          </w:tcPr>
          <w:p>
            <w:pPr>
              <w:jc w:val="right"/>
            </w:pPr>
            <w:r>
              <w:rPr>
                <w:rFonts w:ascii="Segoe UI" w:hAnsi="Segoe UI"/>
                <w:sz w:val="15"/>
              </w:rPr>
              <w:t>₹ 500</w:t>
            </w:r>
          </w:p>
        </w:tc>
        <w:tc>
          <w:tcPr>
            <w:tcW w:type="dxa" w:w="1008"/>
            <w:vAlign w:val="center"/>
            <w:shd w:fill="F8FAFC"/>
          </w:tcPr>
          <w:p>
            <w:pPr>
              <w:jc w:val="right"/>
            </w:pPr>
            <w:r>
              <w:rPr>
                <w:rFonts w:ascii="Segoe UI" w:hAnsi="Segoe UI"/>
                <w:sz w:val="15"/>
              </w:rPr>
            </w:r>
          </w:p>
        </w:tc>
        <w:tc>
          <w:tcPr>
            <w:tcW w:type="dxa" w:w="1008"/>
            <w:vAlign w:val="center"/>
            <w:shd w:fill="F8FAFC"/>
          </w:tcPr>
          <w:p>
            <w:pPr>
              <w:jc w:val="right"/>
            </w:pPr>
            <w:r>
              <w:rPr>
                <w:rFonts w:ascii="Segoe UI" w:hAnsi="Segoe UI"/>
                <w:sz w:val="15"/>
              </w:rPr>
              <w:t>₹ 100</w:t>
            </w:r>
          </w:p>
        </w:tc>
        <w:tc>
          <w:tcPr>
            <w:tcW w:type="dxa" w:w="1008"/>
            <w:vAlign w:val="center"/>
            <w:shd w:fill="F8FAFC"/>
          </w:tcPr>
          <w:p>
            <w:pPr>
              <w:jc w:val="right"/>
            </w:pPr>
            <w:r>
              <w:rPr>
                <w:rFonts w:ascii="Segoe UI" w:hAnsi="Segoe UI"/>
                <w:sz w:val="15"/>
              </w:rPr>
              <w:t>₹ 400</w:t>
            </w:r>
          </w:p>
        </w:tc>
        <w:tc>
          <w:tcPr>
            <w:tcW w:type="dxa" w:w="1296"/>
            <w:vAlign w:val="center"/>
            <w:shd w:fill="F8FAFC"/>
          </w:tcPr>
          <w:p>
            <w:pPr>
              <w:jc w:val="center"/>
            </w:pPr>
            <w:r>
              <w:rPr>
                <w:rFonts w:ascii="Segoe UI" w:hAnsi="Segoe UI"/>
                <w:sz w:val="15"/>
              </w:rPr>
              <w:t>Confirmation Fee</w:t>
            </w:r>
          </w:p>
        </w:tc>
      </w:tr>
      <w:tr>
        <w:tc>
          <w:tcPr>
            <w:tcW w:type="dxa" w:w="576"/>
            <w:vAlign w:val="center"/>
            <w:shd w:fill="FFFFFF"/>
          </w:tcPr>
          <w:p>
            <w:pPr>
              <w:jc w:val="center"/>
            </w:pPr>
            <w:r>
              <w:rPr>
                <w:rFonts w:ascii="Segoe UI" w:hAnsi="Segoe UI"/>
                <w:sz w:val="15"/>
              </w:rPr>
              <w:t>7</w:t>
            </w:r>
          </w:p>
        </w:tc>
        <w:tc>
          <w:tcPr>
            <w:tcW w:type="dxa" w:w="864"/>
            <w:vAlign w:val="center"/>
            <w:shd w:fill="FFFFFF"/>
          </w:tcPr>
          <w:p>
            <w:pPr>
              <w:jc w:val="center"/>
            </w:pPr>
            <w:r>
              <w:rPr>
                <w:rFonts w:ascii="Segoe UI" w:hAnsi="Segoe UI"/>
                <w:color w:val="0E4D64"/>
                <w:sz w:val="19"/>
              </w:rPr>
              <w:t>☐</w:t>
            </w:r>
          </w:p>
        </w:tc>
        <w:tc>
          <w:tcPr>
            <w:tcW w:type="dxa" w:w="2160"/>
            <w:vAlign w:val="center"/>
            <w:shd w:fill="FFFFFF"/>
          </w:tcPr>
          <w:p>
            <w:pPr>
              <w:jc w:val="left"/>
            </w:pPr>
            <w:r>
              <w:rPr>
                <w:rFonts w:ascii="Segoe UI" w:hAnsi="Segoe UI"/>
                <w:sz w:val="15"/>
              </w:rPr>
              <w:t>Preventive Lifestyle &amp; Wellness Nutrition</w:t>
            </w:r>
          </w:p>
        </w:tc>
        <w:tc>
          <w:tcPr>
            <w:tcW w:type="dxa" w:w="1296"/>
            <w:vAlign w:val="center"/>
            <w:shd w:fill="FFFFFF"/>
          </w:tcPr>
          <w:p>
            <w:pPr>
              <w:jc w:val="center"/>
            </w:pPr>
            <w:r>
              <w:rPr>
                <w:rFonts w:ascii="Segoe UI" w:hAnsi="Segoe UI"/>
                <w:sz w:val="15"/>
              </w:rPr>
              <w:t>Online / Center</w:t>
            </w:r>
          </w:p>
        </w:tc>
        <w:tc>
          <w:tcPr>
            <w:tcW w:type="dxa" w:w="1584"/>
            <w:vAlign w:val="center"/>
            <w:shd w:fill="FFFFFF"/>
          </w:tcPr>
          <w:p>
            <w:pPr>
              <w:jc w:val="center"/>
            </w:pPr>
            <w:r>
              <w:rPr>
                <w:rFonts w:ascii="Segoe UI" w:hAnsi="Segoe UI"/>
                <w:sz w:val="15"/>
              </w:rPr>
              <w:t>Per Session</w:t>
            </w:r>
          </w:p>
        </w:tc>
        <w:tc>
          <w:tcPr>
            <w:tcW w:type="dxa" w:w="1152"/>
            <w:vAlign w:val="center"/>
            <w:shd w:fill="FFFFFF"/>
          </w:tcPr>
          <w:p>
            <w:pPr>
              <w:jc w:val="right"/>
            </w:pPr>
            <w:r>
              <w:rPr>
                <w:rFonts w:ascii="Segoe UI" w:hAnsi="Segoe UI"/>
                <w:sz w:val="15"/>
              </w:rPr>
              <w:t>₹ 500</w:t>
            </w:r>
          </w:p>
        </w:tc>
        <w:tc>
          <w:tcPr>
            <w:tcW w:type="dxa" w:w="1008"/>
            <w:vAlign w:val="center"/>
            <w:shd w:fill="FFFFFF"/>
          </w:tcPr>
          <w:p>
            <w:pPr>
              <w:jc w:val="right"/>
            </w:pPr>
            <w:r>
              <w:rPr>
                <w:rFonts w:ascii="Segoe UI" w:hAnsi="Segoe UI"/>
                <w:sz w:val="15"/>
              </w:rPr>
            </w:r>
          </w:p>
        </w:tc>
        <w:tc>
          <w:tcPr>
            <w:tcW w:type="dxa" w:w="1008"/>
            <w:vAlign w:val="center"/>
            <w:shd w:fill="FFFFFF"/>
          </w:tcPr>
          <w:p>
            <w:pPr>
              <w:jc w:val="right"/>
            </w:pPr>
            <w:r>
              <w:rPr>
                <w:rFonts w:ascii="Segoe UI" w:hAnsi="Segoe UI"/>
                <w:sz w:val="15"/>
              </w:rPr>
              <w:t>₹ 100</w:t>
            </w:r>
          </w:p>
        </w:tc>
        <w:tc>
          <w:tcPr>
            <w:tcW w:type="dxa" w:w="1008"/>
            <w:vAlign w:val="center"/>
            <w:shd w:fill="FFFFFF"/>
          </w:tcPr>
          <w:p>
            <w:pPr>
              <w:jc w:val="right"/>
            </w:pPr>
            <w:r>
              <w:rPr>
                <w:rFonts w:ascii="Segoe UI" w:hAnsi="Segoe UI"/>
                <w:sz w:val="15"/>
              </w:rPr>
              <w:t>₹ 400</w:t>
            </w:r>
          </w:p>
        </w:tc>
        <w:tc>
          <w:tcPr>
            <w:tcW w:type="dxa" w:w="1296"/>
            <w:vAlign w:val="center"/>
            <w:shd w:fill="FFFFFF"/>
          </w:tcPr>
          <w:p>
            <w:pPr>
              <w:jc w:val="center"/>
            </w:pPr>
            <w:r>
              <w:rPr>
                <w:rFonts w:ascii="Segoe UI" w:hAnsi="Segoe UI"/>
                <w:sz w:val="15"/>
              </w:rPr>
              <w:t>Wallet Model</w:t>
            </w:r>
          </w:p>
        </w:tc>
      </w:tr>
      <w:tr>
        <w:tc>
          <w:tcPr>
            <w:tcW w:type="dxa" w:w="576"/>
            <w:vAlign w:val="center"/>
            <w:shd w:fill="F8FAFC"/>
          </w:tcPr>
          <w:p>
            <w:pPr>
              <w:jc w:val="center"/>
            </w:pPr>
            <w:r>
              <w:rPr>
                <w:rFonts w:ascii="Segoe UI" w:hAnsi="Segoe UI"/>
                <w:sz w:val="15"/>
              </w:rPr>
              <w:t>8</w:t>
            </w:r>
          </w:p>
        </w:tc>
        <w:tc>
          <w:tcPr>
            <w:tcW w:type="dxa" w:w="864"/>
            <w:vAlign w:val="center"/>
            <w:shd w:fill="F8FAFC"/>
          </w:tcPr>
          <w:p>
            <w:pPr>
              <w:jc w:val="center"/>
            </w:pPr>
            <w:r>
              <w:rPr>
                <w:rFonts w:ascii="Segoe UI" w:hAnsi="Segoe UI"/>
                <w:color w:val="0E4D64"/>
                <w:sz w:val="19"/>
              </w:rPr>
              <w:t>☐</w:t>
            </w:r>
          </w:p>
        </w:tc>
        <w:tc>
          <w:tcPr>
            <w:tcW w:type="dxa" w:w="2160"/>
            <w:vAlign w:val="center"/>
            <w:shd w:fill="F8FAFC"/>
          </w:tcPr>
          <w:p>
            <w:pPr>
              <w:jc w:val="left"/>
            </w:pPr>
            <w:r>
              <w:rPr>
                <w:rFonts w:ascii="Segoe UI" w:hAnsi="Segoe UI"/>
                <w:sz w:val="15"/>
              </w:rPr>
              <w:t>Diabetic Medical Nutrition Therapy (MNT)</w:t>
            </w:r>
          </w:p>
        </w:tc>
        <w:tc>
          <w:tcPr>
            <w:tcW w:type="dxa" w:w="1296"/>
            <w:vAlign w:val="center"/>
            <w:shd w:fill="F8FAFC"/>
          </w:tcPr>
          <w:p>
            <w:pPr>
              <w:jc w:val="center"/>
            </w:pPr>
            <w:r>
              <w:rPr>
                <w:rFonts w:ascii="Segoe UI" w:hAnsi="Segoe UI"/>
                <w:sz w:val="15"/>
              </w:rPr>
              <w:t>Online / Home</w:t>
            </w:r>
          </w:p>
        </w:tc>
        <w:tc>
          <w:tcPr>
            <w:tcW w:type="dxa" w:w="1584"/>
            <w:vAlign w:val="center"/>
            <w:shd w:fill="F8FAFC"/>
          </w:tcPr>
          <w:p>
            <w:pPr>
              <w:jc w:val="center"/>
            </w:pPr>
            <w:r>
              <w:rPr>
                <w:rFonts w:ascii="Segoe UI" w:hAnsi="Segoe UI"/>
                <w:sz w:val="15"/>
              </w:rPr>
              <w:t>Per Consultation</w:t>
            </w:r>
          </w:p>
        </w:tc>
        <w:tc>
          <w:tcPr>
            <w:tcW w:type="dxa" w:w="1152"/>
            <w:vAlign w:val="center"/>
            <w:shd w:fill="F8FAFC"/>
          </w:tcPr>
          <w:p>
            <w:pPr>
              <w:jc w:val="right"/>
            </w:pPr>
            <w:r>
              <w:rPr>
                <w:rFonts w:ascii="Segoe UI" w:hAnsi="Segoe UI"/>
                <w:sz w:val="15"/>
              </w:rPr>
              <w:t>₹ 600 - 800</w:t>
            </w:r>
          </w:p>
        </w:tc>
        <w:tc>
          <w:tcPr>
            <w:tcW w:type="dxa" w:w="1008"/>
            <w:vAlign w:val="center"/>
            <w:shd w:fill="F8FAFC"/>
          </w:tcPr>
          <w:p>
            <w:pPr>
              <w:jc w:val="right"/>
            </w:pPr>
            <w:r>
              <w:rPr>
                <w:rFonts w:ascii="Segoe UI" w:hAnsi="Segoe UI"/>
                <w:sz w:val="15"/>
              </w:rPr>
            </w:r>
          </w:p>
        </w:tc>
        <w:tc>
          <w:tcPr>
            <w:tcW w:type="dxa" w:w="1008"/>
            <w:vAlign w:val="center"/>
            <w:shd w:fill="F8FAFC"/>
          </w:tcPr>
          <w:p>
            <w:pPr>
              <w:jc w:val="right"/>
            </w:pPr>
            <w:r>
              <w:rPr>
                <w:rFonts w:ascii="Segoe UI" w:hAnsi="Segoe UI"/>
                <w:sz w:val="15"/>
              </w:rPr>
              <w:t>₹ 120 - 160</w:t>
            </w:r>
          </w:p>
        </w:tc>
        <w:tc>
          <w:tcPr>
            <w:tcW w:type="dxa" w:w="1008"/>
            <w:vAlign w:val="center"/>
            <w:shd w:fill="F8FAFC"/>
          </w:tcPr>
          <w:p>
            <w:pPr>
              <w:jc w:val="right"/>
            </w:pPr>
            <w:r>
              <w:rPr>
                <w:rFonts w:ascii="Segoe UI" w:hAnsi="Segoe UI"/>
                <w:sz w:val="15"/>
              </w:rPr>
              <w:t>₹ 480 - 640</w:t>
            </w:r>
          </w:p>
        </w:tc>
        <w:tc>
          <w:tcPr>
            <w:tcW w:type="dxa" w:w="1296"/>
            <w:vAlign w:val="center"/>
            <w:shd w:fill="F8FAFC"/>
          </w:tcPr>
          <w:p>
            <w:pPr>
              <w:jc w:val="center"/>
            </w:pPr>
            <w:r>
              <w:rPr>
                <w:rFonts w:ascii="Segoe UI" w:hAnsi="Segoe UI"/>
                <w:sz w:val="15"/>
              </w:rPr>
              <w:t>Wallet / Confirmation</w:t>
            </w:r>
          </w:p>
        </w:tc>
      </w:tr>
      <w:tr>
        <w:tc>
          <w:tcPr>
            <w:tcW w:type="dxa" w:w="576"/>
            <w:vAlign w:val="center"/>
            <w:shd w:fill="FFFFFF"/>
          </w:tcPr>
          <w:p>
            <w:pPr>
              <w:jc w:val="center"/>
            </w:pPr>
            <w:r>
              <w:rPr>
                <w:rFonts w:ascii="Segoe UI" w:hAnsi="Segoe UI"/>
                <w:sz w:val="15"/>
              </w:rPr>
              <w:t>9</w:t>
            </w:r>
          </w:p>
        </w:tc>
        <w:tc>
          <w:tcPr>
            <w:tcW w:type="dxa" w:w="864"/>
            <w:vAlign w:val="center"/>
            <w:shd w:fill="FFFFFF"/>
          </w:tcPr>
          <w:p>
            <w:pPr>
              <w:jc w:val="center"/>
            </w:pPr>
            <w:r>
              <w:rPr>
                <w:rFonts w:ascii="Segoe UI" w:hAnsi="Segoe UI"/>
                <w:color w:val="0E4D64"/>
                <w:sz w:val="19"/>
              </w:rPr>
              <w:t>☐</w:t>
            </w:r>
          </w:p>
        </w:tc>
        <w:tc>
          <w:tcPr>
            <w:tcW w:type="dxa" w:w="2160"/>
            <w:vAlign w:val="center"/>
            <w:shd w:fill="FFFFFF"/>
          </w:tcPr>
          <w:p>
            <w:pPr>
              <w:jc w:val="left"/>
            </w:pPr>
            <w:r>
              <w:rPr>
                <w:rFonts w:ascii="Segoe UI" w:hAnsi="Segoe UI"/>
                <w:sz w:val="15"/>
              </w:rPr>
              <w:t>Monthly Diet Management Package (2 Sessions)</w:t>
            </w:r>
          </w:p>
        </w:tc>
        <w:tc>
          <w:tcPr>
            <w:tcW w:type="dxa" w:w="1296"/>
            <w:vAlign w:val="center"/>
            <w:shd w:fill="FFFFFF"/>
          </w:tcPr>
          <w:p>
            <w:pPr>
              <w:jc w:val="center"/>
            </w:pPr>
            <w:r>
              <w:rPr>
                <w:rFonts w:ascii="Segoe UI" w:hAnsi="Segoe UI"/>
                <w:sz w:val="15"/>
              </w:rPr>
              <w:t>Online / Hybrid</w:t>
            </w:r>
          </w:p>
        </w:tc>
        <w:tc>
          <w:tcPr>
            <w:tcW w:type="dxa" w:w="1584"/>
            <w:vAlign w:val="center"/>
            <w:shd w:fill="FFFFFF"/>
          </w:tcPr>
          <w:p>
            <w:pPr>
              <w:jc w:val="center"/>
            </w:pPr>
            <w:r>
              <w:rPr>
                <w:rFonts w:ascii="Segoe UI" w:hAnsi="Segoe UI"/>
                <w:sz w:val="15"/>
              </w:rPr>
              <w:t>Per Month Package</w:t>
            </w:r>
          </w:p>
        </w:tc>
        <w:tc>
          <w:tcPr>
            <w:tcW w:type="dxa" w:w="1152"/>
            <w:vAlign w:val="center"/>
            <w:shd w:fill="FFFFFF"/>
          </w:tcPr>
          <w:p>
            <w:pPr>
              <w:jc w:val="right"/>
            </w:pPr>
            <w:r>
              <w:rPr>
                <w:rFonts w:ascii="Segoe UI" w:hAnsi="Segoe UI"/>
                <w:sz w:val="15"/>
              </w:rPr>
              <w:t>₹ 1,500</w:t>
            </w:r>
          </w:p>
        </w:tc>
        <w:tc>
          <w:tcPr>
            <w:tcW w:type="dxa" w:w="1008"/>
            <w:vAlign w:val="center"/>
            <w:shd w:fill="FFFFFF"/>
          </w:tcPr>
          <w:p>
            <w:pPr>
              <w:jc w:val="right"/>
            </w:pPr>
            <w:r>
              <w:rPr>
                <w:rFonts w:ascii="Segoe UI" w:hAnsi="Segoe UI"/>
                <w:sz w:val="15"/>
              </w:rPr>
            </w:r>
          </w:p>
        </w:tc>
        <w:tc>
          <w:tcPr>
            <w:tcW w:type="dxa" w:w="1008"/>
            <w:vAlign w:val="center"/>
            <w:shd w:fill="FFFFFF"/>
          </w:tcPr>
          <w:p>
            <w:pPr>
              <w:jc w:val="right"/>
            </w:pPr>
            <w:r>
              <w:rPr>
                <w:rFonts w:ascii="Segoe UI" w:hAnsi="Segoe UI"/>
                <w:sz w:val="15"/>
              </w:rPr>
              <w:t>₹ 300</w:t>
            </w:r>
          </w:p>
        </w:tc>
        <w:tc>
          <w:tcPr>
            <w:tcW w:type="dxa" w:w="1008"/>
            <w:vAlign w:val="center"/>
            <w:shd w:fill="FFFFFF"/>
          </w:tcPr>
          <w:p>
            <w:pPr>
              <w:jc w:val="right"/>
            </w:pPr>
            <w:r>
              <w:rPr>
                <w:rFonts w:ascii="Segoe UI" w:hAnsi="Segoe UI"/>
                <w:sz w:val="15"/>
              </w:rPr>
              <w:t>₹ 1,200</w:t>
            </w:r>
          </w:p>
        </w:tc>
        <w:tc>
          <w:tcPr>
            <w:tcW w:type="dxa" w:w="1296"/>
            <w:vAlign w:val="center"/>
            <w:shd w:fill="FFFFFF"/>
          </w:tcPr>
          <w:p>
            <w:pPr>
              <w:jc w:val="center"/>
            </w:pPr>
            <w:r>
              <w:rPr>
                <w:rFonts w:ascii="Segoe UI" w:hAnsi="Segoe UI"/>
                <w:sz w:val="15"/>
              </w:rPr>
              <w:t>Wallet Settlement</w:t>
            </w:r>
          </w:p>
        </w:tc>
      </w:tr>
      <w:tr>
        <w:tc>
          <w:tcPr>
            <w:tcW w:type="dxa" w:w="576"/>
            <w:vAlign w:val="center"/>
            <w:shd w:fill="F8FAFC"/>
          </w:tcPr>
          <w:p>
            <w:pPr>
              <w:jc w:val="center"/>
            </w:pPr>
            <w:r>
              <w:rPr>
                <w:rFonts w:ascii="Segoe UI" w:hAnsi="Segoe UI"/>
                <w:sz w:val="15"/>
              </w:rPr>
              <w:t>10</w:t>
            </w:r>
          </w:p>
        </w:tc>
        <w:tc>
          <w:tcPr>
            <w:tcW w:type="dxa" w:w="864"/>
            <w:vAlign w:val="center"/>
            <w:shd w:fill="F8FAFC"/>
          </w:tcPr>
          <w:p>
            <w:pPr>
              <w:jc w:val="center"/>
            </w:pPr>
            <w:r>
              <w:rPr>
                <w:rFonts w:ascii="Segoe UI" w:hAnsi="Segoe UI"/>
                <w:color w:val="0E4D64"/>
                <w:sz w:val="19"/>
              </w:rPr>
              <w:t>☐</w:t>
            </w:r>
          </w:p>
        </w:tc>
        <w:tc>
          <w:tcPr>
            <w:tcW w:type="dxa" w:w="2160"/>
            <w:vAlign w:val="center"/>
            <w:shd w:fill="F8FAFC"/>
          </w:tcPr>
          <w:p>
            <w:pPr>
              <w:jc w:val="left"/>
            </w:pPr>
            <w:r>
              <w:rPr>
                <w:rFonts w:ascii="Segoe UI" w:hAnsi="Segoe UI"/>
                <w:sz w:val="15"/>
              </w:rPr>
              <w:t>Comprehensive Executive Nutrition Package</w:t>
            </w:r>
          </w:p>
        </w:tc>
        <w:tc>
          <w:tcPr>
            <w:tcW w:type="dxa" w:w="1296"/>
            <w:vAlign w:val="center"/>
            <w:shd w:fill="F8FAFC"/>
          </w:tcPr>
          <w:p>
            <w:pPr>
              <w:jc w:val="center"/>
            </w:pPr>
            <w:r>
              <w:rPr>
                <w:rFonts w:ascii="Segoe UI" w:hAnsi="Segoe UI"/>
                <w:sz w:val="15"/>
              </w:rPr>
              <w:t>Hybrid (Home/Online)</w:t>
            </w:r>
          </w:p>
        </w:tc>
        <w:tc>
          <w:tcPr>
            <w:tcW w:type="dxa" w:w="1584"/>
            <w:vAlign w:val="center"/>
            <w:shd w:fill="F8FAFC"/>
          </w:tcPr>
          <w:p>
            <w:pPr>
              <w:jc w:val="center"/>
            </w:pPr>
            <w:r>
              <w:rPr>
                <w:rFonts w:ascii="Segoe UI" w:hAnsi="Segoe UI"/>
                <w:sz w:val="15"/>
              </w:rPr>
              <w:t>Per Package (Quarterly)</w:t>
            </w:r>
          </w:p>
        </w:tc>
        <w:tc>
          <w:tcPr>
            <w:tcW w:type="dxa" w:w="1152"/>
            <w:vAlign w:val="center"/>
            <w:shd w:fill="F8FAFC"/>
          </w:tcPr>
          <w:p>
            <w:pPr>
              <w:jc w:val="right"/>
            </w:pPr>
            <w:r>
              <w:rPr>
                <w:rFonts w:ascii="Segoe UI" w:hAnsi="Segoe UI"/>
                <w:sz w:val="15"/>
              </w:rPr>
              <w:t>₹ 3,000</w:t>
            </w:r>
          </w:p>
        </w:tc>
        <w:tc>
          <w:tcPr>
            <w:tcW w:type="dxa" w:w="1008"/>
            <w:vAlign w:val="center"/>
            <w:shd w:fill="F8FAFC"/>
          </w:tcPr>
          <w:p>
            <w:pPr>
              <w:jc w:val="right"/>
            </w:pPr>
            <w:r>
              <w:rPr>
                <w:rFonts w:ascii="Segoe UI" w:hAnsi="Segoe UI"/>
                <w:sz w:val="15"/>
              </w:rPr>
            </w:r>
          </w:p>
        </w:tc>
        <w:tc>
          <w:tcPr>
            <w:tcW w:type="dxa" w:w="1008"/>
            <w:vAlign w:val="center"/>
            <w:shd w:fill="F8FAFC"/>
          </w:tcPr>
          <w:p>
            <w:pPr>
              <w:jc w:val="right"/>
            </w:pPr>
            <w:r>
              <w:rPr>
                <w:rFonts w:ascii="Segoe UI" w:hAnsi="Segoe UI"/>
                <w:sz w:val="15"/>
              </w:rPr>
              <w:t>₹ 600</w:t>
            </w:r>
          </w:p>
        </w:tc>
        <w:tc>
          <w:tcPr>
            <w:tcW w:type="dxa" w:w="1008"/>
            <w:vAlign w:val="center"/>
            <w:shd w:fill="F8FAFC"/>
          </w:tcPr>
          <w:p>
            <w:pPr>
              <w:jc w:val="right"/>
            </w:pPr>
            <w:r>
              <w:rPr>
                <w:rFonts w:ascii="Segoe UI" w:hAnsi="Segoe UI"/>
                <w:sz w:val="15"/>
              </w:rPr>
              <w:t>₹ 2,400</w:t>
            </w:r>
          </w:p>
        </w:tc>
        <w:tc>
          <w:tcPr>
            <w:tcW w:type="dxa" w:w="1296"/>
            <w:vAlign w:val="center"/>
            <w:shd w:fill="F8FAFC"/>
          </w:tcPr>
          <w:p>
            <w:pPr>
              <w:jc w:val="center"/>
            </w:pPr>
            <w:r>
              <w:rPr>
                <w:rFonts w:ascii="Segoe UI" w:hAnsi="Segoe UI"/>
                <w:sz w:val="15"/>
              </w:rPr>
              <w:t>Wallet Settlement</w:t>
            </w:r>
          </w:p>
        </w:tc>
      </w:tr>
    </w:tbl>
    <w:p>
      <w:pPr>
        <w:spacing w:before="120"/>
      </w:pPr>
      <w:r>
        <w:rPr>
          <w:b/>
          <w:sz w:val="18"/>
        </w:rPr>
        <w:t xml:space="preserve">• Wallet Settlement Model (Default for Online Consultations): </w:t>
      </w:r>
      <w:r>
        <w:rPr>
          <w:sz w:val="18"/>
        </w:rPr>
        <w:t>100% of patient payment is collected through CALLMEDEX. Platform fee (20%) is deducted automatically, and the 80% balance is credited to the provider wallet for monthly bank transfer.</w:t>
        <w:br/>
      </w:r>
      <w:r>
        <w:rPr>
          <w:b/>
          <w:sz w:val="18"/>
        </w:rPr>
        <w:t xml:space="preserve">• Confirmation Fee Model (Default for Center Walk-In &amp; Home Visits): </w:t>
      </w:r>
      <w:r>
        <w:rPr>
          <w:sz w:val="18"/>
        </w:rPr>
        <w:t>CALLMEDEX collects a 20% confirmation fee at booking. The remaining 80% balance is collected directly from the patient at the center or home by the Dietitian upon service completion.</w:t>
      </w:r>
    </w:p>
    <w:p>
      <w:r>
        <w:rPr>
          <w:rFonts w:ascii="Segoe UI" w:hAnsi="Segoe UI"/>
          <w:b/>
          <w:color w:val="0E4D64"/>
          <w:sz w:val="22"/>
        </w:rPr>
        <w:t>5. Final Rates and Pricing Integrity</w:t>
      </w:r>
    </w:p>
    <w:p>
      <w:r>
        <w:rPr>
          <w:rFonts w:ascii="Segoe UI" w:hAnsi="Segoe UI"/>
          <w:sz w:val="19"/>
        </w:rPr>
        <w:t>Final service rates for online consultations, center walk-ins, and home visits shall be published on the CALLMEDEX App only after mutual written consent. Service Providers are strictly prohibited from demanding unauthorized fees, off-app tips, or unlisted surge charges beyond the approved rates.</w:t>
      </w:r>
    </w:p>
    <w:p>
      <w:r>
        <w:rPr>
          <w:rFonts w:ascii="Segoe UI" w:hAnsi="Segoe UI"/>
          <w:b/>
          <w:color w:val="0E4D64"/>
          <w:sz w:val="22"/>
        </w:rPr>
        <w:t>6. Service Delivery &amp; Clinical Boundaries</w:t>
      </w:r>
    </w:p>
    <w:p>
      <w:r>
        <w:rPr>
          <w:rFonts w:ascii="Segoe UI" w:hAnsi="Segoe UI"/>
          <w:sz w:val="19"/>
        </w:rPr>
        <w:t>• Evidence-Based Practice: Dietitians shall formulate individualized, science-backed meal plans and avoid prescribing hazardous starvation regimens or unverified commercial supplements.</w:t>
        <w:br/>
        <w:t>• Scope Limitation: Dietitians shall not diagnose primary medical conditions, prescribe allopathic pharmacological medications, or modify medical drug dosages. Any medical red flags must be referred to a registered medical practitioner immediately.</w:t>
        <w:br/>
        <w:t>• Hygiene &amp; Equipment: In-clinic and portable anthropometric instruments (measuring tapes, calipers, BCA scales) must be maintained in sanitary, calibrated condition.</w:t>
      </w:r>
    </w:p>
    <w:p>
      <w:r>
        <w:rPr>
          <w:rFonts w:ascii="Segoe UI" w:hAnsi="Segoe UI"/>
          <w:b/>
          <w:color w:val="0E4D64"/>
          <w:sz w:val="22"/>
        </w:rPr>
        <w:t>7. Professional Appearance &amp; Identification</w:t>
      </w:r>
    </w:p>
    <w:p>
      <w:r>
        <w:rPr>
          <w:rFonts w:ascii="Segoe UI" w:hAnsi="Segoe UI"/>
          <w:sz w:val="19"/>
        </w:rPr>
        <w:t>Dietitians conducting Center Walk-Ins or Home Visits must maintain high professional grooming standards:</w:t>
        <w:br/>
        <w:t>• Clean professional attire or white clinical consultation coat;</w:t>
        <w:br/>
        <w:t>• Visible CALLMEDEX identification card;</w:t>
        <w:br/>
        <w:t>• Appropriate professional footwear and personal protective equipment (masks/gloves) where clinically indicated.</w:t>
      </w:r>
    </w:p>
    <w:p>
      <w:r>
        <w:rPr>
          <w:rFonts w:ascii="Segoe UI" w:hAnsi="Segoe UI"/>
          <w:b/>
          <w:color w:val="0E4D64"/>
          <w:sz w:val="22"/>
        </w:rPr>
        <w:t>8. Patient Confidentiality &amp; Data Governance</w:t>
      </w:r>
    </w:p>
    <w:p>
      <w:r>
        <w:rPr>
          <w:rFonts w:ascii="Segoe UI" w:hAnsi="Segoe UI"/>
          <w:sz w:val="19"/>
        </w:rPr>
        <w:t>All patient health logs, body measurements, dietary recall records, biochemical lab reports (e.g., HbA1c, lipid profile), and personal photographs are strictly confidential. Service Providers shall not publish patient before-and-after photographs, case details, or testimonials on social media without explicit, written informed consent.</w:t>
      </w:r>
    </w:p>
    <w:p>
      <w:r>
        <w:rPr>
          <w:rFonts w:ascii="Segoe UI" w:hAnsi="Segoe UI"/>
          <w:b/>
          <w:color w:val="0E4D64"/>
          <w:sz w:val="22"/>
        </w:rPr>
        <w:t>9. Cancellations, Rescheduling &amp; No-Show Terms</w:t>
      </w:r>
    </w:p>
    <w:p>
      <w:r>
        <w:rPr>
          <w:rFonts w:ascii="Segoe UI" w:hAnsi="Segoe UI"/>
          <w:sz w:val="19"/>
        </w:rPr>
        <w:t>• Patient Cancellations: Cancellations initiated at least 2 hours prior to the scheduled appointment are eligible for penalty-free rescheduling or full refund.</w:t>
        <w:br/>
        <w:t>• Provider No-Show: If a Dietitian fails to initiate an online session within 10 minutes of schedule or misses a confirmed home visit, the full fee is refunded to the patient, and platform penalty terms apply.</w:t>
        <w:br/>
        <w:t>• Emergency rescheduling must be reported immediately via the App. Repeated non-compliance will lead to account de-ranking or suspension.</w:t>
      </w:r>
    </w:p>
    <w:p>
      <w:r>
        <w:rPr>
          <w:rFonts w:ascii="Segoe UI" w:hAnsi="Segoe UI"/>
          <w:b/>
          <w:color w:val="0E4D64"/>
          <w:sz w:val="22"/>
        </w:rPr>
        <w:t>10. Limitation of Liability</w:t>
      </w:r>
    </w:p>
    <w:p>
      <w:r>
        <w:rPr>
          <w:rFonts w:ascii="Segoe UI" w:hAnsi="Segoe UI"/>
          <w:sz w:val="19"/>
        </w:rPr>
        <w:t>CALLMEDEX acts strictly as a digital technology aggregator connecting patients with professional nutrition practitioners. Clinical nutritional assessments, advice, meal tolerability, food allergen checks, and outcomes remain solely the professional liability of the Service Provider. CALLMEDEX disclaims all liability for clinical outcomes.</w:t>
      </w:r>
    </w:p>
    <w:p>
      <w:r>
        <w:rPr>
          <w:rFonts w:ascii="Segoe UI" w:hAnsi="Segoe UI"/>
          <w:b/>
          <w:color w:val="0E4D64"/>
          <w:sz w:val="22"/>
        </w:rPr>
        <w:t>11. Suspension and Termination</w:t>
      </w:r>
    </w:p>
    <w:p>
      <w:r>
        <w:rPr>
          <w:rFonts w:ascii="Segoe UI" w:hAnsi="Segoe UI"/>
          <w:sz w:val="19"/>
        </w:rPr>
        <w:t>CALLMEDEX reserves the right to suspend or terminate accounts for medical scope violations, unapproved supplement sales, patient abuse/harassment, offline payment solicitation, repetitive cancellations, or breach of data privacy.</w:t>
      </w:r>
    </w:p>
    <w:p>
      <w:r>
        <w:rPr>
          <w:rFonts w:ascii="Segoe UI" w:hAnsi="Segoe UI"/>
          <w:b/>
          <w:color w:val="0E4D64"/>
          <w:sz w:val="22"/>
        </w:rPr>
        <w:t>12. Acceptance Declaration</w:t>
      </w:r>
    </w:p>
    <w:p>
      <w:r>
        <w:rPr>
          <w:rFonts w:ascii="Segoe UI" w:hAnsi="Segoe UI"/>
          <w:sz w:val="19"/>
        </w:rPr>
        <w:t>By registering and accepting service assignments on CALLMEDEX, the Dietetic Center or Dietitian affirms that they have read, understood, and agreed to all terms, including the Master Tariff Schedule and Settlement Models.</w:t>
      </w:r>
    </w:p>
    <w:tbl>
      <w:tblPr>
        <w:tblW w:type="auto" w:w="0"/>
        <w:jc w:val="center"/>
        <w:tblLook w:firstColumn="1" w:firstRow="1" w:lastColumn="0" w:lastRow="0" w:noHBand="0" w:noVBand="1" w:val="04A0"/>
      </w:tblPr>
      <w:tblGrid>
        <w:gridCol w:w="4968"/>
        <w:gridCol w:w="4968"/>
      </w:tblGrid>
      <w:tr>
        <w:tc>
          <w:tcPr>
            <w:tcW w:type="dxa" w:w="3600"/>
          </w:tcPr>
          <w:p>
            <w:r>
              <w:rPr>
                <w:b/>
                <w:sz w:val="19"/>
              </w:rPr>
              <w:t>Dietetic Center / Dietitian Name:</w:t>
            </w:r>
          </w:p>
        </w:tc>
        <w:tc>
          <w:tcPr>
            <w:tcW w:type="dxa" w:w="6480"/>
          </w:tcPr>
          <w:p>
            <w:r>
              <w:rPr>
                <w:sz w:val="19"/>
              </w:rPr>
              <w:t>_____________________________________________</w:t>
            </w:r>
          </w:p>
        </w:tc>
      </w:tr>
      <w:tr>
        <w:tc>
          <w:tcPr>
            <w:tcW w:type="dxa" w:w="3600"/>
          </w:tcPr>
          <w:p>
            <w:r>
              <w:rPr>
                <w:b/>
                <w:sz w:val="19"/>
              </w:rPr>
              <w:t>Registration / IDA / RD Number:</w:t>
            </w:r>
          </w:p>
        </w:tc>
        <w:tc>
          <w:tcPr>
            <w:tcW w:type="dxa" w:w="6480"/>
          </w:tcPr>
          <w:p>
            <w:r>
              <w:rPr>
                <w:sz w:val="19"/>
              </w:rPr>
              <w:t>_____________________________________________</w:t>
            </w:r>
          </w:p>
        </w:tc>
      </w:tr>
      <w:tr>
        <w:tc>
          <w:tcPr>
            <w:tcW w:type="dxa" w:w="3600"/>
          </w:tcPr>
          <w:p>
            <w:r>
              <w:rPr>
                <w:b/>
                <w:sz w:val="19"/>
              </w:rPr>
              <w:t>Authorized Signature &amp; Seal:</w:t>
            </w:r>
          </w:p>
        </w:tc>
        <w:tc>
          <w:tcPr>
            <w:tcW w:type="dxa" w:w="6480"/>
          </w:tcPr>
          <w:p>
            <w:r>
              <w:rPr>
                <w:sz w:val="19"/>
              </w:rPr>
              <w:t>_____________________________________________</w:t>
            </w:r>
          </w:p>
        </w:tc>
      </w:tr>
      <w:tr>
        <w:tc>
          <w:tcPr>
            <w:tcW w:type="dxa" w:w="3600"/>
          </w:tcPr>
          <w:p>
            <w:r>
              <w:rPr>
                <w:b/>
                <w:sz w:val="19"/>
              </w:rPr>
              <w:t>Date &amp; Place:</w:t>
            </w:r>
          </w:p>
        </w:tc>
        <w:tc>
          <w:tcPr>
            <w:tcW w:type="dxa" w:w="6480"/>
          </w:tcPr>
          <w:p>
            <w:r>
              <w:rPr>
                <w:sz w:val="19"/>
              </w:rPr>
              <w:t>_____ / _____ / 20___   |   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