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482F" w:rsidRPr="00AD482F" w:rsidRDefault="00AD482F" w:rsidP="00AD482F">
      <w:pPr>
        <w:spacing w:after="0" w:line="240" w:lineRule="auto"/>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 xml:space="preserve">CALL MedEx — Terms and Conditions &amp; </w:t>
      </w:r>
      <w:proofErr w:type="gramStart"/>
      <w:r w:rsidRPr="00AD482F">
        <w:rPr>
          <w:rFonts w:ascii="Times New Roman" w:eastAsia="Times New Roman" w:hAnsi="Times New Roman" w:cs="Times New Roman"/>
          <w:b/>
          <w:bCs/>
          <w:color w:val="1F1F1F"/>
          <w:sz w:val="24"/>
          <w:szCs w:val="24"/>
          <w:bdr w:val="none" w:sz="0" w:space="0" w:color="auto" w:frame="1"/>
        </w:rPr>
        <w:t>On</w:t>
      </w:r>
      <w:proofErr w:type="gramEnd"/>
      <w:r>
        <w:rPr>
          <w:rFonts w:ascii="Times New Roman" w:eastAsia="Times New Roman" w:hAnsi="Times New Roman" w:cs="Times New Roman"/>
          <w:b/>
          <w:bCs/>
          <w:color w:val="1F1F1F"/>
          <w:sz w:val="24"/>
          <w:szCs w:val="24"/>
          <w:bdr w:val="none" w:sz="0" w:space="0" w:color="auto" w:frame="1"/>
        </w:rPr>
        <w:t xml:space="preserve"> </w:t>
      </w:r>
      <w:r w:rsidRPr="00AD482F">
        <w:rPr>
          <w:rFonts w:ascii="Times New Roman" w:eastAsia="Times New Roman" w:hAnsi="Times New Roman" w:cs="Times New Roman"/>
          <w:b/>
          <w:bCs/>
          <w:color w:val="1F1F1F"/>
          <w:sz w:val="24"/>
          <w:szCs w:val="24"/>
          <w:bdr w:val="none" w:sz="0" w:space="0" w:color="auto" w:frame="1"/>
        </w:rPr>
        <w:t>boarding Agreement for Medical Practitioners (In-Clinic, Video Consultations &amp; Home Visits)</w:t>
      </w:r>
    </w:p>
    <w:p w:rsidR="00AD482F" w:rsidRPr="00AD482F" w:rsidRDefault="00AD482F" w:rsidP="00AD482F">
      <w:pPr>
        <w:spacing w:after="0" w:line="240" w:lineRule="auto"/>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br/>
      </w:r>
    </w:p>
    <w:p w:rsidR="00AD482F" w:rsidRPr="00AD482F" w:rsidRDefault="00AD482F" w:rsidP="00AD482F">
      <w:pPr>
        <w:spacing w:before="100" w:beforeAutospacing="1" w:after="0" w:line="240" w:lineRule="auto"/>
        <w:outlineLvl w:val="2"/>
        <w:rPr>
          <w:rFonts w:ascii="Times New Roman" w:eastAsia="Times New Roman" w:hAnsi="Times New Roman" w:cs="Times New Roman"/>
          <w:b/>
          <w:bCs/>
          <w:color w:val="1F1F1F"/>
          <w:sz w:val="27"/>
          <w:szCs w:val="27"/>
        </w:rPr>
      </w:pPr>
      <w:r w:rsidRPr="00AD482F">
        <w:rPr>
          <w:rFonts w:ascii="Times New Roman" w:eastAsia="Times New Roman" w:hAnsi="Times New Roman" w:cs="Times New Roman"/>
          <w:b/>
          <w:bCs/>
          <w:color w:val="1F1F1F"/>
          <w:sz w:val="27"/>
          <w:szCs w:val="27"/>
        </w:rPr>
        <w:t xml:space="preserve">1. Platform </w:t>
      </w:r>
      <w:proofErr w:type="spellStart"/>
      <w:r w:rsidRPr="00AD482F">
        <w:rPr>
          <w:rFonts w:ascii="Times New Roman" w:eastAsia="Times New Roman" w:hAnsi="Times New Roman" w:cs="Times New Roman"/>
          <w:b/>
          <w:bCs/>
          <w:color w:val="1F1F1F"/>
          <w:sz w:val="27"/>
          <w:szCs w:val="27"/>
        </w:rPr>
        <w:t>Onboarding</w:t>
      </w:r>
      <w:proofErr w:type="spellEnd"/>
      <w:r w:rsidRPr="00AD482F">
        <w:rPr>
          <w:rFonts w:ascii="Times New Roman" w:eastAsia="Times New Roman" w:hAnsi="Times New Roman" w:cs="Times New Roman"/>
          <w:b/>
          <w:bCs/>
          <w:color w:val="1F1F1F"/>
          <w:sz w:val="27"/>
          <w:szCs w:val="27"/>
        </w:rPr>
        <w:t xml:space="preserve"> &amp; Personalized Dashboard</w:t>
      </w:r>
    </w:p>
    <w:p w:rsidR="00AD482F" w:rsidRPr="00AD482F" w:rsidRDefault="00AD482F" w:rsidP="00AD482F">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Credential Verification:</w:t>
      </w:r>
      <w:r w:rsidRPr="00AD482F">
        <w:rPr>
          <w:rFonts w:ascii="Times New Roman" w:eastAsia="Times New Roman" w:hAnsi="Times New Roman" w:cs="Times New Roman"/>
          <w:color w:val="1F1F1F"/>
          <w:sz w:val="24"/>
          <w:szCs w:val="24"/>
        </w:rPr>
        <w:t xml:space="preserve"> Access to the CALL MedEx network is granted to registered medical practitioners holding valid recognized medical degrees (MBBS/MD/MS/DNB or state-recognized equivalents) and active registration with the National Medical Commission (NMC) or State Medical Council.</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Personalized Dashboard Provision:</w:t>
      </w:r>
      <w:r w:rsidRPr="00AD482F">
        <w:rPr>
          <w:rFonts w:ascii="Times New Roman" w:eastAsia="Times New Roman" w:hAnsi="Times New Roman" w:cs="Times New Roman"/>
          <w:color w:val="1F1F1F"/>
          <w:sz w:val="24"/>
          <w:szCs w:val="24"/>
        </w:rPr>
        <w:t xml:space="preserve"> CALL MedEx allocates a dedicated, password-protected digital dashboard to each verified Doctor.</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Dashboard Capabilities:</w:t>
      </w:r>
      <w:r w:rsidRPr="00AD482F">
        <w:rPr>
          <w:rFonts w:ascii="Times New Roman" w:eastAsia="Times New Roman" w:hAnsi="Times New Roman" w:cs="Times New Roman"/>
          <w:color w:val="1F1F1F"/>
          <w:sz w:val="24"/>
          <w:szCs w:val="24"/>
        </w:rPr>
        <w:t xml:space="preserve"> Through this portal, the Doctor manages: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br/>
      </w:r>
    </w:p>
    <w:p w:rsidR="00AD482F" w:rsidRPr="00AD482F" w:rsidRDefault="00AD482F" w:rsidP="00AD482F">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Availability calendars, consultation buffers, and appointment acceptances.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Real-time mode switching and willingness declarations across service delivery models.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Pricing configurations across distinct consultation channels.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Digital prescriptions, clinical intake notes, and access to secure patient records.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Digital wallet credits, earnings statements, and monthly reconciliation sheets.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spacing w:before="100" w:beforeAutospacing="1" w:after="0" w:line="240" w:lineRule="auto"/>
        <w:outlineLvl w:val="2"/>
        <w:rPr>
          <w:rFonts w:ascii="Times New Roman" w:eastAsia="Times New Roman" w:hAnsi="Times New Roman" w:cs="Times New Roman"/>
          <w:b/>
          <w:bCs/>
          <w:color w:val="1F1F1F"/>
          <w:sz w:val="27"/>
          <w:szCs w:val="27"/>
        </w:rPr>
      </w:pPr>
      <w:r w:rsidRPr="00AD482F">
        <w:rPr>
          <w:rFonts w:ascii="Times New Roman" w:eastAsia="Times New Roman" w:hAnsi="Times New Roman" w:cs="Times New Roman"/>
          <w:b/>
          <w:bCs/>
          <w:color w:val="1F1F1F"/>
          <w:sz w:val="27"/>
          <w:szCs w:val="27"/>
        </w:rPr>
        <w:t>2. Consultation Modes &amp; Service Willingness</w:t>
      </w:r>
    </w:p>
    <w:p w:rsidR="00AD482F" w:rsidRPr="00AD482F" w:rsidRDefault="00AD482F" w:rsidP="00AD482F">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lastRenderedPageBreak/>
        <w:t>Declaration of Service Willingness:</w:t>
      </w:r>
      <w:r w:rsidRPr="00AD482F">
        <w:rPr>
          <w:rFonts w:ascii="Times New Roman" w:eastAsia="Times New Roman" w:hAnsi="Times New Roman" w:cs="Times New Roman"/>
          <w:color w:val="1F1F1F"/>
          <w:sz w:val="24"/>
          <w:szCs w:val="24"/>
        </w:rPr>
        <w:t xml:space="preserve"> The Doctor must explicitly confirm their willingness and availability on the dashboard for each separate care vertical:</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br/>
      </w:r>
    </w:p>
    <w:p w:rsidR="00AD482F" w:rsidRPr="00AD482F" w:rsidRDefault="00AD482F" w:rsidP="00AD482F">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Clinic Visits:</w:t>
      </w:r>
      <w:r w:rsidRPr="00AD482F">
        <w:rPr>
          <w:rFonts w:ascii="Times New Roman" w:eastAsia="Times New Roman" w:hAnsi="Times New Roman" w:cs="Times New Roman"/>
          <w:color w:val="1F1F1F"/>
          <w:sz w:val="24"/>
          <w:szCs w:val="24"/>
        </w:rPr>
        <w:t xml:space="preserve"> In-person outpatient consultations conducted at the Doctor's own verified clinic suite or designated CALL MedEx partner facility.</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Video Consultations:</w:t>
      </w:r>
      <w:r w:rsidRPr="00AD482F">
        <w:rPr>
          <w:rFonts w:ascii="Times New Roman" w:eastAsia="Times New Roman" w:hAnsi="Times New Roman" w:cs="Times New Roman"/>
          <w:color w:val="1F1F1F"/>
          <w:sz w:val="24"/>
          <w:szCs w:val="24"/>
        </w:rPr>
        <w:t xml:space="preserve"> </w:t>
      </w:r>
      <w:proofErr w:type="gramStart"/>
      <w:r w:rsidRPr="00AD482F">
        <w:rPr>
          <w:rFonts w:ascii="Times New Roman" w:eastAsia="Times New Roman" w:hAnsi="Times New Roman" w:cs="Times New Roman"/>
          <w:color w:val="1F1F1F"/>
          <w:sz w:val="24"/>
          <w:szCs w:val="24"/>
        </w:rPr>
        <w:t>Secure,</w:t>
      </w:r>
      <w:proofErr w:type="gramEnd"/>
      <w:r w:rsidRPr="00AD482F">
        <w:rPr>
          <w:rFonts w:ascii="Times New Roman" w:eastAsia="Times New Roman" w:hAnsi="Times New Roman" w:cs="Times New Roman"/>
          <w:color w:val="1F1F1F"/>
          <w:sz w:val="24"/>
          <w:szCs w:val="24"/>
        </w:rPr>
        <w:t xml:space="preserve"> encrypted </w:t>
      </w:r>
      <w:proofErr w:type="spellStart"/>
      <w:r w:rsidRPr="00AD482F">
        <w:rPr>
          <w:rFonts w:ascii="Times New Roman" w:eastAsia="Times New Roman" w:hAnsi="Times New Roman" w:cs="Times New Roman"/>
          <w:color w:val="1F1F1F"/>
          <w:sz w:val="24"/>
          <w:szCs w:val="24"/>
        </w:rPr>
        <w:t>tele</w:t>
      </w:r>
      <w:proofErr w:type="spellEnd"/>
      <w:r>
        <w:rPr>
          <w:rFonts w:ascii="Times New Roman" w:eastAsia="Times New Roman" w:hAnsi="Times New Roman" w:cs="Times New Roman"/>
          <w:color w:val="1F1F1F"/>
          <w:sz w:val="24"/>
          <w:szCs w:val="24"/>
        </w:rPr>
        <w:t xml:space="preserve"> </w:t>
      </w:r>
      <w:r w:rsidRPr="00AD482F">
        <w:rPr>
          <w:rFonts w:ascii="Times New Roman" w:eastAsia="Times New Roman" w:hAnsi="Times New Roman" w:cs="Times New Roman"/>
          <w:color w:val="1F1F1F"/>
          <w:sz w:val="24"/>
          <w:szCs w:val="24"/>
        </w:rPr>
        <w:t>consultations conducted through the platform's audiovisual interface in accordance with NMC Telemedicine Practice Guidelines.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Home Healthcare Visits:</w:t>
      </w:r>
      <w:r w:rsidRPr="00AD482F">
        <w:rPr>
          <w:rFonts w:ascii="Times New Roman" w:eastAsia="Times New Roman" w:hAnsi="Times New Roman" w:cs="Times New Roman"/>
          <w:color w:val="1F1F1F"/>
          <w:sz w:val="24"/>
          <w:szCs w:val="24"/>
        </w:rPr>
        <w:t xml:space="preserve"> Direct home visits dispatched to the patient’s residence for comprehensive non-emergency clinical evaluations, palliative check-ins, or follow-up assessments.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Schedule Integrity &amp; Punctuality:</w:t>
      </w:r>
      <w:r w:rsidRPr="00AD482F">
        <w:rPr>
          <w:rFonts w:ascii="Times New Roman" w:eastAsia="Times New Roman" w:hAnsi="Times New Roman" w:cs="Times New Roman"/>
          <w:color w:val="1F1F1F"/>
          <w:sz w:val="24"/>
          <w:szCs w:val="24"/>
        </w:rPr>
        <w:t xml:space="preserve"> Accepted slots—whether in-clinic, virtual, or home care—are binding. If an emergency prevents fulfillment, the Doctor must initiate a cancellation or reschedule request via the dashboard with at least 2 hours' notice (or 4 hours for home visits) to facilitate patient notification and rebooking.</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spacing w:before="100" w:beforeAutospacing="1" w:after="0" w:line="240" w:lineRule="auto"/>
        <w:outlineLvl w:val="2"/>
        <w:rPr>
          <w:rFonts w:ascii="Times New Roman" w:eastAsia="Times New Roman" w:hAnsi="Times New Roman" w:cs="Times New Roman"/>
          <w:b/>
          <w:bCs/>
          <w:color w:val="1F1F1F"/>
          <w:sz w:val="27"/>
          <w:szCs w:val="27"/>
        </w:rPr>
      </w:pPr>
      <w:r w:rsidRPr="00AD482F">
        <w:rPr>
          <w:rFonts w:ascii="Times New Roman" w:eastAsia="Times New Roman" w:hAnsi="Times New Roman" w:cs="Times New Roman"/>
          <w:b/>
          <w:bCs/>
          <w:color w:val="1F1F1F"/>
          <w:sz w:val="27"/>
          <w:szCs w:val="27"/>
        </w:rPr>
        <w:t>3. Pricing Autonomy &amp; Platform Fee</w:t>
      </w:r>
    </w:p>
    <w:p w:rsidR="00AD482F" w:rsidRPr="00AD482F" w:rsidRDefault="00AD482F" w:rsidP="00AD482F">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Independent Price Setting:</w:t>
      </w:r>
      <w:r w:rsidRPr="00AD482F">
        <w:rPr>
          <w:rFonts w:ascii="Times New Roman" w:eastAsia="Times New Roman" w:hAnsi="Times New Roman" w:cs="Times New Roman"/>
          <w:color w:val="1F1F1F"/>
          <w:sz w:val="24"/>
          <w:szCs w:val="24"/>
        </w:rPr>
        <w:t xml:space="preserve"> The Doctor holds complete autonomy to determine and update separate consultation fees across each format via the dashboard:</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br/>
      </w:r>
    </w:p>
    <w:p w:rsidR="00AD482F" w:rsidRPr="00AD482F" w:rsidRDefault="00AD482F" w:rsidP="00AD482F">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Fee per In-Clinic Consultation.</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Fee per Video / Tele</w:t>
      </w:r>
      <w:r>
        <w:rPr>
          <w:rFonts w:ascii="Times New Roman" w:eastAsia="Times New Roman" w:hAnsi="Times New Roman" w:cs="Times New Roman"/>
          <w:color w:val="1F1F1F"/>
          <w:sz w:val="24"/>
          <w:szCs w:val="24"/>
        </w:rPr>
        <w:t xml:space="preserve"> </w:t>
      </w:r>
      <w:r w:rsidRPr="00AD482F">
        <w:rPr>
          <w:rFonts w:ascii="Times New Roman" w:eastAsia="Times New Roman" w:hAnsi="Times New Roman" w:cs="Times New Roman"/>
          <w:color w:val="1F1F1F"/>
          <w:sz w:val="24"/>
          <w:szCs w:val="24"/>
        </w:rPr>
        <w:t>consultation.</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Fee per Home Medical Visit (inclusive of travel and transit overheads).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Platform Fee Deduction:</w:t>
      </w:r>
      <w:r w:rsidRPr="00AD482F">
        <w:rPr>
          <w:rFonts w:ascii="Times New Roman" w:eastAsia="Times New Roman" w:hAnsi="Times New Roman" w:cs="Times New Roman"/>
          <w:color w:val="1F1F1F"/>
          <w:sz w:val="24"/>
          <w:szCs w:val="24"/>
        </w:rPr>
        <w:t xml:space="preserve"> CALL MedEx deducts a platform service fee of </w:t>
      </w:r>
      <w:r w:rsidRPr="00AD482F">
        <w:rPr>
          <w:rFonts w:ascii="Times New Roman" w:eastAsia="Times New Roman" w:hAnsi="Times New Roman" w:cs="Times New Roman"/>
          <w:b/>
          <w:bCs/>
          <w:color w:val="1F1F1F"/>
          <w:sz w:val="24"/>
          <w:szCs w:val="24"/>
          <w:bdr w:val="none" w:sz="0" w:space="0" w:color="auto" w:frame="1"/>
        </w:rPr>
        <w:t>20%</w:t>
      </w:r>
      <w:r w:rsidRPr="00AD482F">
        <w:rPr>
          <w:rFonts w:ascii="Times New Roman" w:eastAsia="Times New Roman" w:hAnsi="Times New Roman" w:cs="Times New Roman"/>
          <w:color w:val="1F1F1F"/>
          <w:sz w:val="24"/>
          <w:szCs w:val="24"/>
        </w:rPr>
        <w:t xml:space="preserve"> on the gross consultation fee paid by the patient for technological infrastructure, lead generation, digital billing gateways, customer support, and administrative handling.</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Professional Remuneration:</w:t>
      </w:r>
      <w:r w:rsidRPr="00AD482F">
        <w:rPr>
          <w:rFonts w:ascii="Times New Roman" w:eastAsia="Times New Roman" w:hAnsi="Times New Roman" w:cs="Times New Roman"/>
          <w:color w:val="1F1F1F"/>
          <w:sz w:val="24"/>
          <w:szCs w:val="24"/>
        </w:rPr>
        <w:t xml:space="preserve"> The remaining </w:t>
      </w:r>
      <w:r w:rsidRPr="00AD482F">
        <w:rPr>
          <w:rFonts w:ascii="Times New Roman" w:eastAsia="Times New Roman" w:hAnsi="Times New Roman" w:cs="Times New Roman"/>
          <w:b/>
          <w:bCs/>
          <w:color w:val="1F1F1F"/>
          <w:sz w:val="24"/>
          <w:szCs w:val="24"/>
          <w:bdr w:val="none" w:sz="0" w:space="0" w:color="auto" w:frame="1"/>
        </w:rPr>
        <w:t>80%</w:t>
      </w:r>
      <w:r w:rsidRPr="00AD482F">
        <w:rPr>
          <w:rFonts w:ascii="Times New Roman" w:eastAsia="Times New Roman" w:hAnsi="Times New Roman" w:cs="Times New Roman"/>
          <w:color w:val="1F1F1F"/>
          <w:sz w:val="24"/>
          <w:szCs w:val="24"/>
        </w:rPr>
        <w:t xml:space="preserve"> represents the net professional fee due to the Doctor.</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spacing w:before="100" w:beforeAutospacing="1" w:after="0" w:line="240" w:lineRule="auto"/>
        <w:outlineLvl w:val="2"/>
        <w:rPr>
          <w:rFonts w:ascii="Times New Roman" w:eastAsia="Times New Roman" w:hAnsi="Times New Roman" w:cs="Times New Roman"/>
          <w:b/>
          <w:bCs/>
          <w:color w:val="1F1F1F"/>
          <w:sz w:val="27"/>
          <w:szCs w:val="27"/>
        </w:rPr>
      </w:pPr>
      <w:r w:rsidRPr="00AD482F">
        <w:rPr>
          <w:rFonts w:ascii="Times New Roman" w:eastAsia="Times New Roman" w:hAnsi="Times New Roman" w:cs="Times New Roman"/>
          <w:b/>
          <w:bCs/>
          <w:color w:val="1F1F1F"/>
          <w:sz w:val="27"/>
          <w:szCs w:val="27"/>
        </w:rPr>
        <w:t>4. Digital Wallet Infrastructure &amp; Monthly Settlements</w:t>
      </w:r>
    </w:p>
    <w:p w:rsidR="00AD482F" w:rsidRPr="00AD482F" w:rsidRDefault="00AD482F" w:rsidP="00AD482F">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In-App Wallet:</w:t>
      </w:r>
      <w:r w:rsidRPr="00AD482F">
        <w:rPr>
          <w:rFonts w:ascii="Times New Roman" w:eastAsia="Times New Roman" w:hAnsi="Times New Roman" w:cs="Times New Roman"/>
          <w:color w:val="1F1F1F"/>
          <w:sz w:val="24"/>
          <w:szCs w:val="24"/>
        </w:rPr>
        <w:t xml:space="preserve"> CALL MedEx equips each Doctor with an integrated platform wallet. Net professional earnings (80% of billed consultations) credit automatically to the Doctor’s wallet upon session completion and digital prescription/consultation close-out.</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Monthly Settlement Cycle:</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br/>
      </w:r>
    </w:p>
    <w:p w:rsidR="00AD482F" w:rsidRPr="00AD482F" w:rsidRDefault="00AD482F" w:rsidP="00AD482F">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 xml:space="preserve">Accumulated wallet balances are reconciled and transferred directly to the Doctor’s registered and verified bank account on a </w:t>
      </w:r>
      <w:r w:rsidRPr="00AD482F">
        <w:rPr>
          <w:rFonts w:ascii="Times New Roman" w:eastAsia="Times New Roman" w:hAnsi="Times New Roman" w:cs="Times New Roman"/>
          <w:b/>
          <w:bCs/>
          <w:color w:val="1F1F1F"/>
          <w:sz w:val="24"/>
          <w:szCs w:val="24"/>
          <w:bdr w:val="none" w:sz="0" w:space="0" w:color="auto" w:frame="1"/>
        </w:rPr>
        <w:t>monthly settlement schedule</w:t>
      </w:r>
      <w:r w:rsidRPr="00AD482F">
        <w:rPr>
          <w:rFonts w:ascii="Times New Roman" w:eastAsia="Times New Roman" w:hAnsi="Times New Roman" w:cs="Times New Roman"/>
          <w:color w:val="1F1F1F"/>
          <w:sz w:val="24"/>
          <w:szCs w:val="24"/>
        </w:rPr>
        <w:t xml:space="preserve"> (disbursed on or before the 5th business day of each succeeding calendar month).</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color w:val="1F1F1F"/>
          <w:sz w:val="24"/>
          <w:szCs w:val="24"/>
        </w:rPr>
        <w:t>Statutory deductions, including Tax Deducted at Source (TDS) under applicable income tax provisions, are deducted at disbursement, with tax statements reflected in the dashboard.</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spacing w:before="100" w:beforeAutospacing="1" w:after="0" w:line="240" w:lineRule="auto"/>
        <w:outlineLvl w:val="2"/>
        <w:rPr>
          <w:rFonts w:ascii="Times New Roman" w:eastAsia="Times New Roman" w:hAnsi="Times New Roman" w:cs="Times New Roman"/>
          <w:b/>
          <w:bCs/>
          <w:color w:val="1F1F1F"/>
          <w:sz w:val="27"/>
          <w:szCs w:val="27"/>
        </w:rPr>
      </w:pPr>
      <w:r w:rsidRPr="00AD482F">
        <w:rPr>
          <w:rFonts w:ascii="Times New Roman" w:eastAsia="Times New Roman" w:hAnsi="Times New Roman" w:cs="Times New Roman"/>
          <w:b/>
          <w:bCs/>
          <w:color w:val="1F1F1F"/>
          <w:sz w:val="27"/>
          <w:szCs w:val="27"/>
        </w:rPr>
        <w:t>5. Professional Standards, Prescriptions &amp; Telemedicine Guidelines</w:t>
      </w:r>
    </w:p>
    <w:p w:rsidR="00AD482F" w:rsidRPr="00AD482F" w:rsidRDefault="00AD482F" w:rsidP="00AD482F">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Telemedicine Compliance:</w:t>
      </w:r>
      <w:r w:rsidRPr="00AD482F">
        <w:rPr>
          <w:rFonts w:ascii="Times New Roman" w:eastAsia="Times New Roman" w:hAnsi="Times New Roman" w:cs="Times New Roman"/>
          <w:color w:val="1F1F1F"/>
          <w:sz w:val="24"/>
          <w:szCs w:val="24"/>
        </w:rPr>
        <w:t xml:space="preserve"> For video consultations, the Doctor agrees to comply fully with NMC Telemedicine Practice Guidelines, ensuring adequate patient identity verification, documentation of clinical advice, and adherence to prescription restrictions (e.g., prohibition of Schedule X substances via telemedicine).</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lastRenderedPageBreak/>
        <w:t>Digital Prescriptions:</w:t>
      </w:r>
      <w:r w:rsidRPr="00AD482F">
        <w:rPr>
          <w:rFonts w:ascii="Times New Roman" w:eastAsia="Times New Roman" w:hAnsi="Times New Roman" w:cs="Times New Roman"/>
          <w:color w:val="1F1F1F"/>
          <w:sz w:val="24"/>
          <w:szCs w:val="24"/>
        </w:rPr>
        <w:t xml:space="preserve"> All drug prescriptions generated through the platform must feature the Doctor’s full name, medical registration number, qualification, signature/digital authentication, and clear dosage instructions.</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Home Visit Decorum:</w:t>
      </w:r>
      <w:r w:rsidRPr="00AD482F">
        <w:rPr>
          <w:rFonts w:ascii="Times New Roman" w:eastAsia="Times New Roman" w:hAnsi="Times New Roman" w:cs="Times New Roman"/>
          <w:color w:val="1F1F1F"/>
          <w:sz w:val="24"/>
          <w:szCs w:val="24"/>
        </w:rPr>
        <w:t xml:space="preserve"> While conducting home visits, the Doctor must display professional medical decorum, carry appropriate primary diagnostic instruments (stethoscope, sphygmomanometer, pulse </w:t>
      </w:r>
      <w:proofErr w:type="spellStart"/>
      <w:r w:rsidRPr="00AD482F">
        <w:rPr>
          <w:rFonts w:ascii="Times New Roman" w:eastAsia="Times New Roman" w:hAnsi="Times New Roman" w:cs="Times New Roman"/>
          <w:color w:val="1F1F1F"/>
          <w:sz w:val="24"/>
          <w:szCs w:val="24"/>
        </w:rPr>
        <w:t>oximeter</w:t>
      </w:r>
      <w:proofErr w:type="spellEnd"/>
      <w:r w:rsidRPr="00AD482F">
        <w:rPr>
          <w:rFonts w:ascii="Times New Roman" w:eastAsia="Times New Roman" w:hAnsi="Times New Roman" w:cs="Times New Roman"/>
          <w:color w:val="1F1F1F"/>
          <w:sz w:val="24"/>
          <w:szCs w:val="24"/>
        </w:rPr>
        <w:t>, torch, thermometer), and carry their CALL MedEx identification badge.</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Emergency Protocol Disclaimer:</w:t>
      </w:r>
      <w:r w:rsidRPr="00AD482F">
        <w:rPr>
          <w:rFonts w:ascii="Times New Roman" w:eastAsia="Times New Roman" w:hAnsi="Times New Roman" w:cs="Times New Roman"/>
          <w:color w:val="1F1F1F"/>
          <w:sz w:val="24"/>
          <w:szCs w:val="24"/>
        </w:rPr>
        <w:t xml:space="preserve"> Consultations through CALL MedEx—especially video visits and home medical visits—are strictly for non-acute, non-emergency care. In the event of acute trauma, cardiac events, respiratory failure, or severe instability, the Doctor must advise immediate transfer to the nearest tertiary emergency department.</w:t>
      </w:r>
    </w:p>
    <w:p w:rsidR="00AD482F" w:rsidRPr="00AD482F" w:rsidRDefault="00AD482F" w:rsidP="00AD482F">
      <w:pPr>
        <w:spacing w:before="100" w:beforeAutospacing="1" w:after="0" w:line="240" w:lineRule="auto"/>
        <w:rPr>
          <w:rFonts w:ascii="Times New Roman" w:eastAsia="Times New Roman" w:hAnsi="Times New Roman" w:cs="Times New Roman"/>
          <w:color w:val="1F1F1F"/>
          <w:sz w:val="24"/>
          <w:szCs w:val="24"/>
        </w:rPr>
      </w:pPr>
    </w:p>
    <w:p w:rsidR="00AD482F" w:rsidRPr="00AD482F" w:rsidRDefault="00AD482F" w:rsidP="00AD482F">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AD482F">
        <w:rPr>
          <w:rFonts w:ascii="Times New Roman" w:eastAsia="Times New Roman" w:hAnsi="Times New Roman" w:cs="Times New Roman"/>
          <w:b/>
          <w:bCs/>
          <w:color w:val="1F1F1F"/>
          <w:sz w:val="24"/>
          <w:szCs w:val="24"/>
          <w:bdr w:val="none" w:sz="0" w:space="0" w:color="auto" w:frame="1"/>
        </w:rPr>
        <w:t>Zero Direct Solicitation (Platform Integrity):</w:t>
      </w:r>
      <w:r w:rsidRPr="00AD482F">
        <w:rPr>
          <w:rFonts w:ascii="Times New Roman" w:eastAsia="Times New Roman" w:hAnsi="Times New Roman" w:cs="Times New Roman"/>
          <w:color w:val="1F1F1F"/>
          <w:sz w:val="24"/>
          <w:szCs w:val="24"/>
        </w:rPr>
        <w:t xml:space="preserve"> The Doctor shall not collect</w:t>
      </w:r>
    </w:p>
    <w:p w:rsidR="00DA0C34" w:rsidRDefault="00DA0C34"/>
    <w:sectPr w:rsidR="00DA0C3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D34D4"/>
    <w:multiLevelType w:val="multilevel"/>
    <w:tmpl w:val="B11C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8B6065"/>
    <w:multiLevelType w:val="multilevel"/>
    <w:tmpl w:val="B4FE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26ABE"/>
    <w:multiLevelType w:val="multilevel"/>
    <w:tmpl w:val="A0E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EB7EC9"/>
    <w:multiLevelType w:val="multilevel"/>
    <w:tmpl w:val="9524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083A03"/>
    <w:multiLevelType w:val="multilevel"/>
    <w:tmpl w:val="7A7C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D482F"/>
    <w:rsid w:val="00AD482F"/>
    <w:rsid w:val="00DA0C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D48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482F"/>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44901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2026-09-02T09:09:00Z</dcterms:created>
  <dcterms:modified xsi:type="dcterms:W3CDTF">2026-09-02T09:13:00Z</dcterms:modified>
</cp:coreProperties>
</file>