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6F0C" w:rsidRPr="009F6F0C" w:rsidRDefault="009F6F0C" w:rsidP="009F6F0C">
      <w:pPr>
        <w:spacing w:before="100" w:beforeAutospacing="1" w:after="342" w:line="240" w:lineRule="auto"/>
        <w:outlineLvl w:val="0"/>
        <w:rPr>
          <w:rFonts w:ascii="Times New Roman" w:eastAsia="Times New Roman" w:hAnsi="Times New Roman" w:cs="Times New Roman"/>
          <w:b/>
          <w:bCs/>
          <w:color w:val="1F1F1F"/>
          <w:kern w:val="36"/>
          <w:sz w:val="48"/>
          <w:szCs w:val="48"/>
        </w:rPr>
      </w:pPr>
      <w:r w:rsidRPr="009F6F0C">
        <w:rPr>
          <w:rFonts w:ascii="Times New Roman" w:eastAsia="Times New Roman" w:hAnsi="Times New Roman" w:cs="Times New Roman"/>
          <w:b/>
          <w:bCs/>
          <w:color w:val="1F1F1F"/>
          <w:kern w:val="36"/>
          <w:sz w:val="48"/>
          <w:szCs w:val="48"/>
        </w:rPr>
        <w:t>TERMS AND CONDITIONS FOR DIETETIC &amp; NUTRITION SERVICES</w:t>
      </w:r>
    </w:p>
    <w:p w:rsidR="009F6F0C" w:rsidRPr="009F6F0C" w:rsidRDefault="009F6F0C" w:rsidP="009F6F0C">
      <w:pPr>
        <w:spacing w:before="100" w:beforeAutospacing="1" w:after="298" w:line="240" w:lineRule="auto"/>
        <w:outlineLvl w:val="2"/>
        <w:rPr>
          <w:rFonts w:ascii="Times New Roman" w:eastAsia="Times New Roman" w:hAnsi="Times New Roman" w:cs="Times New Roman"/>
          <w:b/>
          <w:bCs/>
          <w:color w:val="1F1F1F"/>
          <w:sz w:val="27"/>
          <w:szCs w:val="27"/>
        </w:rPr>
      </w:pPr>
      <w:r w:rsidRPr="009F6F0C">
        <w:rPr>
          <w:rFonts w:ascii="Times New Roman" w:eastAsia="Times New Roman" w:hAnsi="Times New Roman" w:cs="Times New Roman"/>
          <w:b/>
          <w:bCs/>
          <w:color w:val="1F1F1F"/>
          <w:sz w:val="27"/>
          <w:szCs w:val="27"/>
        </w:rPr>
        <w:t>ONLINE CONSULTATION, HOME VISITS &amp; CENTER WALK-IN SERVICES – CALLMEDEX</w:t>
      </w:r>
    </w:p>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These Terms and Conditions govern the participation of Dietetic Centers, Nutrition Clinics, Hospitals, and Individual Qualified Dietitians / Clinical Nutritionists (“Service Providers”) offering dietetic and nutrition counselling services through the CALLMEDEX platform (“App”). By registering, accepting service requests, or providing services through CALLMEDEX, the Service Provider agrees to the following terms and conditions.</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rPr>
        <w:br/>
      </w:r>
    </w:p>
    <w:p w:rsidR="009F6F0C" w:rsidRPr="009F6F0C" w:rsidRDefault="009F6F0C" w:rsidP="009F6F0C">
      <w:pPr>
        <w:spacing w:before="100" w:beforeAutospacing="1" w:after="298" w:line="240" w:lineRule="auto"/>
        <w:outlineLvl w:val="2"/>
        <w:rPr>
          <w:rFonts w:ascii="Times New Roman" w:eastAsia="Times New Roman" w:hAnsi="Times New Roman" w:cs="Times New Roman"/>
          <w:b/>
          <w:bCs/>
          <w:color w:val="1F1F1F"/>
          <w:sz w:val="27"/>
          <w:szCs w:val="27"/>
        </w:rPr>
      </w:pPr>
      <w:r w:rsidRPr="009F6F0C">
        <w:rPr>
          <w:rFonts w:ascii="Times New Roman" w:eastAsia="Times New Roman" w:hAnsi="Times New Roman" w:cs="Times New Roman"/>
          <w:b/>
          <w:bCs/>
          <w:color w:val="1F1F1F"/>
          <w:sz w:val="27"/>
          <w:szCs w:val="27"/>
        </w:rPr>
        <w:t>1. Scope of Services &amp; Modes of Delivery</w:t>
      </w:r>
    </w:p>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Dietetic and nutrition services may be provided through CALLMEDEX across three primary modalities:</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rPr>
        <w:br/>
      </w:r>
    </w:p>
    <w:p w:rsidR="009F6F0C" w:rsidRPr="009F6F0C" w:rsidRDefault="009F6F0C" w:rsidP="009F6F0C">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b/>
          <w:bCs/>
          <w:color w:val="1F1F1F"/>
          <w:sz w:val="24"/>
          <w:szCs w:val="24"/>
          <w:bdr w:val="none" w:sz="0" w:space="0" w:color="auto" w:frame="1"/>
        </w:rPr>
        <w:t>Online Consultations (Tele-Dietetics):</w:t>
      </w:r>
      <w:r w:rsidRPr="009F6F0C">
        <w:rPr>
          <w:rFonts w:ascii="Times New Roman" w:eastAsia="Times New Roman" w:hAnsi="Times New Roman" w:cs="Times New Roman"/>
          <w:color w:val="1F1F1F"/>
          <w:sz w:val="24"/>
          <w:szCs w:val="24"/>
          <w:bdr w:val="none" w:sz="0" w:space="0" w:color="auto" w:frame="1"/>
        </w:rPr>
        <w:t xml:space="preserve"> Audio/video consultations, secure digital chat reviews, dietary recall evaluations, and electronic customized diet plan delivery.</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b/>
          <w:bCs/>
          <w:color w:val="1F1F1F"/>
          <w:sz w:val="24"/>
          <w:szCs w:val="24"/>
          <w:bdr w:val="none" w:sz="0" w:space="0" w:color="auto" w:frame="1"/>
        </w:rPr>
        <w:t>Center Walk-In Services:</w:t>
      </w:r>
      <w:r w:rsidRPr="009F6F0C">
        <w:rPr>
          <w:rFonts w:ascii="Times New Roman" w:eastAsia="Times New Roman" w:hAnsi="Times New Roman" w:cs="Times New Roman"/>
          <w:color w:val="1F1F1F"/>
          <w:sz w:val="24"/>
          <w:szCs w:val="24"/>
          <w:bdr w:val="none" w:sz="0" w:space="0" w:color="auto" w:frame="1"/>
        </w:rPr>
        <w:t xml:space="preserve"> Clinic-based consultations, body composition analysis (BCA/BIA), anthropometric assessments, and nutritional therapy conducted at partner clinics, hospitals, or polyclinics.</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b/>
          <w:bCs/>
          <w:color w:val="1F1F1F"/>
          <w:sz w:val="24"/>
          <w:szCs w:val="24"/>
          <w:bdr w:val="none" w:sz="0" w:space="0" w:color="auto" w:frame="1"/>
        </w:rPr>
        <w:t>Home Visits (Home Dietetic Services):</w:t>
      </w:r>
      <w:r w:rsidRPr="009F6F0C">
        <w:rPr>
          <w:rFonts w:ascii="Times New Roman" w:eastAsia="Times New Roman" w:hAnsi="Times New Roman" w:cs="Times New Roman"/>
          <w:color w:val="1F1F1F"/>
          <w:sz w:val="24"/>
          <w:szCs w:val="24"/>
          <w:bdr w:val="none" w:sz="0" w:space="0" w:color="auto" w:frame="1"/>
        </w:rPr>
        <w:t xml:space="preserve"> In-person home consultations, bedside geriatric/post-operative nutritional assessment, pantry audits, and family dietary counselling at the patient's residence.</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Clinical domains include weight management (obesity/underweight), diabetic medical nutrition therapy (MNT), cardiac nutrition, renal dietetics, pediatric and maternal nutrition, sports nutrition, gastrointestinal disorders, critical care/tube feeding formulas, and preventive lifestyle wellness. All services are subject to professional qualifications, appointment scheduling, and the approved scope listed on the CALLMEDEX platform.</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rPr>
        <w:br/>
      </w:r>
    </w:p>
    <w:p w:rsidR="009F6F0C" w:rsidRPr="009F6F0C" w:rsidRDefault="009F6F0C" w:rsidP="009F6F0C">
      <w:pPr>
        <w:spacing w:before="100" w:beforeAutospacing="1" w:after="298" w:line="240" w:lineRule="auto"/>
        <w:outlineLvl w:val="2"/>
        <w:rPr>
          <w:rFonts w:ascii="Times New Roman" w:eastAsia="Times New Roman" w:hAnsi="Times New Roman" w:cs="Times New Roman"/>
          <w:b/>
          <w:bCs/>
          <w:color w:val="1F1F1F"/>
          <w:sz w:val="27"/>
          <w:szCs w:val="27"/>
        </w:rPr>
      </w:pPr>
      <w:r w:rsidRPr="009F6F0C">
        <w:rPr>
          <w:rFonts w:ascii="Times New Roman" w:eastAsia="Times New Roman" w:hAnsi="Times New Roman" w:cs="Times New Roman"/>
          <w:b/>
          <w:bCs/>
          <w:color w:val="1F1F1F"/>
          <w:sz w:val="27"/>
          <w:szCs w:val="27"/>
        </w:rPr>
        <w:lastRenderedPageBreak/>
        <w:t>2. Registration and Professional Eligibility</w:t>
      </w:r>
    </w:p>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Dietetic Centers and individual Dietitians must submit and maintain valid:</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rPr>
        <w:br/>
      </w:r>
    </w:p>
    <w:p w:rsidR="009F6F0C" w:rsidRPr="009F6F0C" w:rsidRDefault="009F6F0C" w:rsidP="009F6F0C">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Recognized qualifications in Clinical Nutrition, Dietetics, or Food &amp; Nutrition (e.g., B.Sc./M.Sc., PGD Dietetics) and registered dietitian (RD) credentials or IDA membership details, wherever applicable.</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Identity proof, address proof, and PAN details.</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Center registration certificates and statutory approvals, where applicable.</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Bank account and payment settlement details.</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Details of clinical tools (e.g., certified body composition analyzers, skinfold calipers, stadiometers), where applicable.</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CALLMEDEX reserves the right to verify credentials and reject, suspend, or terminate onboarding in the event of discrepancies or statutory non-compliance.</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rPr>
        <w:br/>
      </w:r>
    </w:p>
    <w:p w:rsidR="009F6F0C" w:rsidRPr="009F6F0C" w:rsidRDefault="009F6F0C" w:rsidP="009F6F0C">
      <w:pPr>
        <w:spacing w:before="100" w:beforeAutospacing="1" w:after="298" w:line="240" w:lineRule="auto"/>
        <w:outlineLvl w:val="2"/>
        <w:rPr>
          <w:rFonts w:ascii="Times New Roman" w:eastAsia="Times New Roman" w:hAnsi="Times New Roman" w:cs="Times New Roman"/>
          <w:b/>
          <w:bCs/>
          <w:color w:val="1F1F1F"/>
          <w:sz w:val="27"/>
          <w:szCs w:val="27"/>
        </w:rPr>
      </w:pPr>
      <w:r w:rsidRPr="009F6F0C">
        <w:rPr>
          <w:rFonts w:ascii="Times New Roman" w:eastAsia="Times New Roman" w:hAnsi="Times New Roman" w:cs="Times New Roman"/>
          <w:b/>
          <w:bCs/>
          <w:color w:val="1F1F1F"/>
          <w:sz w:val="27"/>
          <w:szCs w:val="27"/>
        </w:rPr>
        <w:t>3. Appointment Acceptance and Booking Protocols</w:t>
      </w:r>
    </w:p>
    <w:p w:rsidR="009F6F0C" w:rsidRPr="009F6F0C" w:rsidRDefault="009F6F0C" w:rsidP="009F6F0C">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Service requests across all modes (Online, Home Visit, Center Walk-In) are assigned through the CALLMEDEX App.</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b/>
          <w:bCs/>
          <w:color w:val="1F1F1F"/>
          <w:sz w:val="24"/>
          <w:szCs w:val="24"/>
          <w:bdr w:val="none" w:sz="0" w:space="0" w:color="auto" w:frame="1"/>
        </w:rPr>
        <w:t>Online Consultations:</w:t>
      </w:r>
      <w:r w:rsidRPr="009F6F0C">
        <w:rPr>
          <w:rFonts w:ascii="Times New Roman" w:eastAsia="Times New Roman" w:hAnsi="Times New Roman" w:cs="Times New Roman"/>
          <w:color w:val="1F1F1F"/>
          <w:sz w:val="24"/>
          <w:szCs w:val="24"/>
        </w:rPr>
        <w:t xml:space="preserve"> The Dietitian must be logged in and initiate the video/audio consultation link at the scheduled time. A post-consultation digital diet chart and clinical advice summary must be uploaded through the App within the agreed turnaround time (maximum 12 to 24 hours).</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b/>
          <w:bCs/>
          <w:color w:val="1F1F1F"/>
          <w:sz w:val="24"/>
          <w:szCs w:val="24"/>
          <w:bdr w:val="none" w:sz="0" w:space="0" w:color="auto" w:frame="1"/>
        </w:rPr>
        <w:lastRenderedPageBreak/>
        <w:t>Center Walk-Ins:</w:t>
      </w:r>
      <w:r w:rsidRPr="009F6F0C">
        <w:rPr>
          <w:rFonts w:ascii="Times New Roman" w:eastAsia="Times New Roman" w:hAnsi="Times New Roman" w:cs="Times New Roman"/>
          <w:color w:val="1F1F1F"/>
          <w:sz w:val="24"/>
          <w:szCs w:val="24"/>
          <w:bdr w:val="none" w:sz="0" w:space="0" w:color="auto" w:frame="1"/>
        </w:rPr>
        <w:t xml:space="preserve"> The Center/Dietitian shall ensure room availability, functional diagnostic equipment (e.g., weighing scales, BCA machines), and zero wait-time exceeding 15 minutes past the scheduled slot.</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b/>
          <w:bCs/>
          <w:color w:val="1F1F1F"/>
          <w:sz w:val="24"/>
          <w:szCs w:val="24"/>
          <w:bdr w:val="none" w:sz="0" w:space="0" w:color="auto" w:frame="1"/>
        </w:rPr>
        <w:t>Home Visits:</w:t>
      </w:r>
      <w:r w:rsidRPr="009F6F0C">
        <w:rPr>
          <w:rFonts w:ascii="Times New Roman" w:eastAsia="Times New Roman" w:hAnsi="Times New Roman" w:cs="Times New Roman"/>
          <w:color w:val="1F1F1F"/>
          <w:sz w:val="24"/>
          <w:szCs w:val="24"/>
          <w:bdr w:val="none" w:sz="0" w:space="0" w:color="auto" w:frame="1"/>
        </w:rPr>
        <w:t xml:space="preserve"> The Dietitian shall attend the patient’s confirmed address punctually at the scheduled time equipped with portable anthropometric assessment tools.</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Appointment confirmation is communicated to the patient approximately 2 hours prior to the scheduled slot. Unilateral cancellations after acceptance may adversely impact platform rating, algorithm priority, and operational eligibility.</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spacing w:before="100" w:beforeAutospacing="1" w:after="298" w:line="240" w:lineRule="auto"/>
        <w:outlineLvl w:val="2"/>
        <w:rPr>
          <w:rFonts w:ascii="Times New Roman" w:eastAsia="Times New Roman" w:hAnsi="Times New Roman" w:cs="Times New Roman"/>
          <w:b/>
          <w:bCs/>
          <w:color w:val="1F1F1F"/>
          <w:sz w:val="27"/>
          <w:szCs w:val="27"/>
        </w:rPr>
      </w:pPr>
      <w:r w:rsidRPr="009F6F0C">
        <w:rPr>
          <w:rFonts w:ascii="Times New Roman" w:eastAsia="Times New Roman" w:hAnsi="Times New Roman" w:cs="Times New Roman"/>
          <w:b/>
          <w:bCs/>
          <w:color w:val="1F1F1F"/>
          <w:sz w:val="27"/>
          <w:szCs w:val="27"/>
        </w:rPr>
        <w:t>4. Pricing, Fee Structure &amp; Commercial Terms</w:t>
      </w:r>
    </w:p>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Reference pricing across service modalities adheres to approved platform rates:</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after="0" w:line="240" w:lineRule="auto"/>
        <w:rPr>
          <w:rFonts w:ascii="Times New Roman" w:eastAsia="Times New Roman" w:hAnsi="Times New Roman" w:cs="Times New Roman"/>
          <w:color w:val="1F1F1F"/>
          <w:sz w:val="24"/>
          <w:szCs w:val="24"/>
        </w:rPr>
      </w:pPr>
    </w:p>
    <w:tbl>
      <w:tblPr>
        <w:tblW w:w="0" w:type="auto"/>
        <w:tblCellSpacing w:w="15" w:type="dxa"/>
        <w:tblCellMar>
          <w:left w:w="0" w:type="dxa"/>
          <w:right w:w="0" w:type="dxa"/>
        </w:tblCellMar>
        <w:tblLook w:val="04A0"/>
      </w:tblPr>
      <w:tblGrid>
        <w:gridCol w:w="2960"/>
        <w:gridCol w:w="2633"/>
        <w:gridCol w:w="4217"/>
      </w:tblGrid>
      <w:tr w:rsidR="009F6F0C" w:rsidRPr="009F6F0C" w:rsidTr="009F6F0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b/>
                <w:bCs/>
                <w:color w:val="1F1F1F"/>
                <w:sz w:val="24"/>
                <w:szCs w:val="24"/>
              </w:rPr>
              <w:t>Service Modality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b/>
                <w:bCs/>
                <w:color w:val="1F1F1F"/>
                <w:sz w:val="24"/>
                <w:szCs w:val="24"/>
              </w:rPr>
              <w:t>Indicative Regular Price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b/>
                <w:bCs/>
                <w:color w:val="1F1F1F"/>
                <w:sz w:val="24"/>
                <w:szCs w:val="24"/>
              </w:rPr>
              <w:t>Mode Details</w:t>
            </w:r>
          </w:p>
        </w:tc>
      </w:tr>
      <w:tr w:rsidR="009F6F0C" w:rsidRPr="009F6F0C" w:rsidTr="009F6F0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b/>
                <w:bCs/>
                <w:color w:val="1F1F1F"/>
                <w:sz w:val="24"/>
                <w:szCs w:val="24"/>
                <w:bdr w:val="none" w:sz="0" w:space="0" w:color="auto" w:frame="1"/>
              </w:rPr>
              <w:t>Online Teleconsultation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b/>
                <w:bCs/>
                <w:color w:val="1F1F1F"/>
                <w:sz w:val="24"/>
                <w:szCs w:val="24"/>
                <w:bdr w:val="none" w:sz="0" w:space="0" w:color="auto" w:frame="1"/>
              </w:rPr>
              <w:t>₹400 – ₹500</w:t>
            </w:r>
          </w:p>
          <w:p w:rsidR="009F6F0C" w:rsidRPr="009F6F0C" w:rsidRDefault="009F6F0C" w:rsidP="009F6F0C">
            <w:pPr>
              <w:spacing w:after="0" w:line="240" w:lineRule="auto"/>
              <w:rPr>
                <w:rFonts w:ascii="Times New Roman" w:eastAsia="Times New Roman" w:hAnsi="Times New Roman" w:cs="Times New Roman"/>
                <w:color w:val="1F1F1F"/>
                <w:sz w:val="24"/>
                <w:szCs w:val="24"/>
              </w:rPr>
            </w:pPr>
          </w:p>
          <w:p w:rsidR="009F6F0C" w:rsidRPr="009F6F0C" w:rsidRDefault="009F6F0C" w:rsidP="009F6F0C">
            <w:pPr>
              <w:spacing w:after="0" w:line="240" w:lineRule="auto"/>
              <w:rPr>
                <w:rFonts w:ascii="Times New Roman" w:eastAsia="Times New Roman" w:hAnsi="Times New Roman" w:cs="Times New Roman"/>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Audio/Video session (20–30 mins) + Diet Chart</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after="0" w:line="240" w:lineRule="auto"/>
              <w:rPr>
                <w:rFonts w:ascii="Times New Roman" w:eastAsia="Times New Roman" w:hAnsi="Times New Roman" w:cs="Times New Roman"/>
                <w:color w:val="1F1F1F"/>
                <w:sz w:val="24"/>
                <w:szCs w:val="24"/>
              </w:rPr>
            </w:pPr>
          </w:p>
        </w:tc>
      </w:tr>
      <w:tr w:rsidR="009F6F0C" w:rsidRPr="009F6F0C" w:rsidTr="009F6F0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b/>
                <w:bCs/>
                <w:color w:val="1F1F1F"/>
                <w:sz w:val="24"/>
                <w:szCs w:val="24"/>
                <w:bdr w:val="none" w:sz="0" w:space="0" w:color="auto" w:frame="1"/>
              </w:rPr>
              <w:t>Center Walk-In Consultation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b/>
                <w:bCs/>
                <w:color w:val="1F1F1F"/>
                <w:sz w:val="24"/>
                <w:szCs w:val="24"/>
                <w:bdr w:val="none" w:sz="0" w:space="0" w:color="auto" w:frame="1"/>
              </w:rPr>
              <w:t>₹500</w:t>
            </w:r>
          </w:p>
          <w:p w:rsidR="009F6F0C" w:rsidRPr="009F6F0C" w:rsidRDefault="009F6F0C" w:rsidP="009F6F0C">
            <w:pPr>
              <w:spacing w:after="0" w:line="240" w:lineRule="auto"/>
              <w:rPr>
                <w:rFonts w:ascii="Times New Roman" w:eastAsia="Times New Roman" w:hAnsi="Times New Roman" w:cs="Times New Roman"/>
                <w:color w:val="1F1F1F"/>
                <w:sz w:val="24"/>
                <w:szCs w:val="24"/>
              </w:rPr>
            </w:pPr>
          </w:p>
          <w:p w:rsidR="009F6F0C" w:rsidRPr="009F6F0C" w:rsidRDefault="009F6F0C" w:rsidP="009F6F0C">
            <w:pPr>
              <w:spacing w:after="0" w:line="240" w:lineRule="auto"/>
              <w:rPr>
                <w:rFonts w:ascii="Times New Roman" w:eastAsia="Times New Roman" w:hAnsi="Times New Roman" w:cs="Times New Roman"/>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In-clinic physical consultation &amp; assessment</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after="0" w:line="240" w:lineRule="auto"/>
              <w:rPr>
                <w:rFonts w:ascii="Times New Roman" w:eastAsia="Times New Roman" w:hAnsi="Times New Roman" w:cs="Times New Roman"/>
                <w:color w:val="1F1F1F"/>
                <w:sz w:val="24"/>
                <w:szCs w:val="24"/>
              </w:rPr>
            </w:pPr>
          </w:p>
        </w:tc>
      </w:tr>
      <w:tr w:rsidR="009F6F0C" w:rsidRPr="009F6F0C" w:rsidTr="009F6F0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b/>
                <w:bCs/>
                <w:color w:val="1F1F1F"/>
                <w:sz w:val="24"/>
                <w:szCs w:val="24"/>
                <w:bdr w:val="none" w:sz="0" w:space="0" w:color="auto" w:frame="1"/>
              </w:rPr>
              <w:t>Home Dietetic Visit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b/>
                <w:bCs/>
                <w:color w:val="1F1F1F"/>
                <w:sz w:val="24"/>
                <w:szCs w:val="24"/>
                <w:bdr w:val="none" w:sz="0" w:space="0" w:color="auto" w:frame="1"/>
              </w:rPr>
              <w:t>₹700 – ₹1,000</w:t>
            </w:r>
          </w:p>
          <w:p w:rsidR="009F6F0C" w:rsidRPr="009F6F0C" w:rsidRDefault="009F6F0C" w:rsidP="009F6F0C">
            <w:pPr>
              <w:spacing w:after="0" w:line="240" w:lineRule="auto"/>
              <w:rPr>
                <w:rFonts w:ascii="Times New Roman" w:eastAsia="Times New Roman" w:hAnsi="Times New Roman" w:cs="Times New Roman"/>
                <w:color w:val="1F1F1F"/>
                <w:sz w:val="24"/>
                <w:szCs w:val="24"/>
              </w:rPr>
            </w:pPr>
          </w:p>
          <w:p w:rsidR="009F6F0C" w:rsidRPr="009F6F0C" w:rsidRDefault="009F6F0C" w:rsidP="009F6F0C">
            <w:pPr>
              <w:spacing w:after="0" w:line="240" w:lineRule="auto"/>
              <w:rPr>
                <w:rFonts w:ascii="Times New Roman" w:eastAsia="Times New Roman" w:hAnsi="Times New Roman" w:cs="Times New Roman"/>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In-person home visit &amp; personalized evaluation</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after="0" w:line="240" w:lineRule="auto"/>
              <w:rPr>
                <w:rFonts w:ascii="Times New Roman" w:eastAsia="Times New Roman" w:hAnsi="Times New Roman" w:cs="Times New Roman"/>
                <w:color w:val="1F1F1F"/>
                <w:sz w:val="24"/>
                <w:szCs w:val="24"/>
              </w:rPr>
            </w:pPr>
          </w:p>
        </w:tc>
      </w:tr>
      <w:tr w:rsidR="009F6F0C" w:rsidRPr="009F6F0C" w:rsidTr="009F6F0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b/>
                <w:bCs/>
                <w:color w:val="1F1F1F"/>
                <w:sz w:val="24"/>
                <w:szCs w:val="24"/>
                <w:bdr w:val="none" w:sz="0" w:space="0" w:color="auto" w:frame="1"/>
              </w:rPr>
              <w:t>Monthly Nutritional Package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b/>
                <w:bCs/>
                <w:color w:val="1F1F1F"/>
                <w:sz w:val="24"/>
                <w:szCs w:val="24"/>
                <w:bdr w:val="none" w:sz="0" w:space="0" w:color="auto" w:frame="1"/>
              </w:rPr>
              <w:t>₹1,500 – ₹3,000</w:t>
            </w:r>
          </w:p>
          <w:p w:rsidR="009F6F0C" w:rsidRPr="009F6F0C" w:rsidRDefault="009F6F0C" w:rsidP="009F6F0C">
            <w:pPr>
              <w:spacing w:after="0" w:line="240" w:lineRule="auto"/>
              <w:rPr>
                <w:rFonts w:ascii="Times New Roman" w:eastAsia="Times New Roman" w:hAnsi="Times New Roman" w:cs="Times New Roman"/>
                <w:color w:val="1F1F1F"/>
                <w:sz w:val="24"/>
                <w:szCs w:val="24"/>
              </w:rPr>
            </w:pPr>
          </w:p>
          <w:p w:rsidR="009F6F0C" w:rsidRPr="009F6F0C" w:rsidRDefault="009F6F0C" w:rsidP="009F6F0C">
            <w:pPr>
              <w:spacing w:after="0" w:line="240" w:lineRule="auto"/>
              <w:rPr>
                <w:rFonts w:ascii="Times New Roman" w:eastAsia="Times New Roman" w:hAnsi="Times New Roman" w:cs="Times New Roman"/>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Assessment, custom diet chart &amp; bi-weekly follow-ups</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after="0" w:line="240" w:lineRule="auto"/>
              <w:rPr>
                <w:rFonts w:ascii="Times New Roman" w:eastAsia="Times New Roman" w:hAnsi="Times New Roman" w:cs="Times New Roman"/>
                <w:color w:val="1F1F1F"/>
                <w:sz w:val="24"/>
                <w:szCs w:val="24"/>
              </w:rPr>
            </w:pPr>
          </w:p>
        </w:tc>
      </w:tr>
    </w:tbl>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All final rates must be mutually agreed upon and approved on CALLMEDEX before going live. Unauthorized surcharges, travel add-ons not visible at booking, or off-platform cash requests are strictly prohibited.</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rPr>
        <w:br/>
      </w:r>
    </w:p>
    <w:p w:rsidR="009F6F0C" w:rsidRPr="009F6F0C" w:rsidRDefault="009F6F0C" w:rsidP="009F6F0C">
      <w:pPr>
        <w:spacing w:before="100" w:beforeAutospacing="1" w:after="298" w:line="240" w:lineRule="auto"/>
        <w:outlineLvl w:val="2"/>
        <w:rPr>
          <w:rFonts w:ascii="Times New Roman" w:eastAsia="Times New Roman" w:hAnsi="Times New Roman" w:cs="Times New Roman"/>
          <w:b/>
          <w:bCs/>
          <w:color w:val="1F1F1F"/>
          <w:sz w:val="27"/>
          <w:szCs w:val="27"/>
        </w:rPr>
      </w:pPr>
      <w:r w:rsidRPr="009F6F0C">
        <w:rPr>
          <w:rFonts w:ascii="Times New Roman" w:eastAsia="Times New Roman" w:hAnsi="Times New Roman" w:cs="Times New Roman"/>
          <w:b/>
          <w:bCs/>
          <w:color w:val="1F1F1F"/>
          <w:sz w:val="27"/>
          <w:szCs w:val="27"/>
        </w:rPr>
        <w:t>5. Platform Fee and Payment Settlement Models</w:t>
      </w:r>
    </w:p>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 xml:space="preserve">CALLMEDEX levies a </w:t>
      </w:r>
      <w:r w:rsidRPr="009F6F0C">
        <w:rPr>
          <w:rFonts w:ascii="Times New Roman" w:eastAsia="Times New Roman" w:hAnsi="Times New Roman" w:cs="Times New Roman"/>
          <w:b/>
          <w:bCs/>
          <w:color w:val="1F1F1F"/>
          <w:sz w:val="24"/>
          <w:szCs w:val="24"/>
          <w:bdr w:val="none" w:sz="0" w:space="0" w:color="auto" w:frame="1"/>
        </w:rPr>
        <w:t>20% platform fee</w:t>
      </w:r>
      <w:r w:rsidRPr="009F6F0C">
        <w:rPr>
          <w:rFonts w:ascii="Times New Roman" w:eastAsia="Times New Roman" w:hAnsi="Times New Roman" w:cs="Times New Roman"/>
          <w:color w:val="1F1F1F"/>
          <w:sz w:val="24"/>
          <w:szCs w:val="24"/>
          <w:bdr w:val="none" w:sz="0" w:space="0" w:color="auto" w:frame="1"/>
        </w:rPr>
        <w:t xml:space="preserve"> per completed consultation or package service, calculated on the agreed gross billing amount:</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rPr>
        <w:br/>
      </w:r>
    </w:p>
    <w:p w:rsidR="009F6F0C" w:rsidRPr="009F6F0C" w:rsidRDefault="009F6F0C" w:rsidP="009F6F0C">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b/>
          <w:bCs/>
          <w:color w:val="1F1F1F"/>
          <w:sz w:val="24"/>
          <w:szCs w:val="24"/>
          <w:bdr w:val="none" w:sz="0" w:space="0" w:color="auto" w:frame="1"/>
        </w:rPr>
        <w:t>Method 1 – Wallet Settlement Model (Default for Online &amp; Pre-paid Visits):</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rPr>
        <w:br/>
      </w:r>
    </w:p>
    <w:p w:rsidR="009F6F0C" w:rsidRPr="009F6F0C" w:rsidRDefault="009F6F0C" w:rsidP="009F6F0C">
      <w:pPr>
        <w:numPr>
          <w:ilvl w:val="1"/>
          <w:numId w:val="4"/>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100% of the consultation or package fee is collected digitally via the CALLMEDEX payment gateway.</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numPr>
          <w:ilvl w:val="1"/>
          <w:numId w:val="4"/>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CALLMEDEX deducts its 20% platform fee and credits the remaining 80% to the Service Provider’s in-app wallet.</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numPr>
          <w:ilvl w:val="1"/>
          <w:numId w:val="4"/>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Wallet balances are settled monthly/bi-weekly directly into the registered bank account after adjusting for verified completions, refunds, and disputes.</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b/>
          <w:bCs/>
          <w:color w:val="1F1F1F"/>
          <w:sz w:val="24"/>
          <w:szCs w:val="24"/>
          <w:bdr w:val="none" w:sz="0" w:space="0" w:color="auto" w:frame="1"/>
        </w:rPr>
        <w:t>Method 2 – Confirmation Fee Model (Walk-In / Direct Home Visit Collections):</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rPr>
        <w:br/>
      </w:r>
    </w:p>
    <w:p w:rsidR="009F6F0C" w:rsidRPr="009F6F0C" w:rsidRDefault="009F6F0C" w:rsidP="009F6F0C">
      <w:pPr>
        <w:numPr>
          <w:ilvl w:val="1"/>
          <w:numId w:val="4"/>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CALLMEDEX collects 20% as an advance platform/confirmation fee from the client at the time of booking.</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numPr>
          <w:ilvl w:val="1"/>
          <w:numId w:val="4"/>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The remaining 80% balance is collected directly from the client by the Dietitian or Center upon completion of the service.</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numPr>
          <w:ilvl w:val="1"/>
          <w:numId w:val="4"/>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The Service Provider is solely responsible for collecting the accurate balance and issuing an appropriate receipt.</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spacing w:before="100" w:beforeAutospacing="1" w:after="298" w:line="240" w:lineRule="auto"/>
        <w:outlineLvl w:val="2"/>
        <w:rPr>
          <w:rFonts w:ascii="Times New Roman" w:eastAsia="Times New Roman" w:hAnsi="Times New Roman" w:cs="Times New Roman"/>
          <w:b/>
          <w:bCs/>
          <w:color w:val="1F1F1F"/>
          <w:sz w:val="27"/>
          <w:szCs w:val="27"/>
        </w:rPr>
      </w:pPr>
      <w:r w:rsidRPr="009F6F0C">
        <w:rPr>
          <w:rFonts w:ascii="Times New Roman" w:eastAsia="Times New Roman" w:hAnsi="Times New Roman" w:cs="Times New Roman"/>
          <w:b/>
          <w:bCs/>
          <w:color w:val="1F1F1F"/>
          <w:sz w:val="27"/>
          <w:szCs w:val="27"/>
        </w:rPr>
        <w:t>6. Service Delivery &amp; Clinical Standards</w:t>
      </w:r>
    </w:p>
    <w:p w:rsidR="009F6F0C" w:rsidRPr="009F6F0C" w:rsidRDefault="009F6F0C" w:rsidP="009F6F0C">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b/>
          <w:bCs/>
          <w:color w:val="1F1F1F"/>
          <w:sz w:val="24"/>
          <w:szCs w:val="24"/>
          <w:bdr w:val="none" w:sz="0" w:space="0" w:color="auto" w:frame="1"/>
        </w:rPr>
        <w:t>Evidence-Based Practice:</w:t>
      </w:r>
      <w:r w:rsidRPr="009F6F0C">
        <w:rPr>
          <w:rFonts w:ascii="Times New Roman" w:eastAsia="Times New Roman" w:hAnsi="Times New Roman" w:cs="Times New Roman"/>
          <w:color w:val="1F1F1F"/>
          <w:sz w:val="24"/>
          <w:szCs w:val="24"/>
        </w:rPr>
        <w:t xml:space="preserve"> Dietitians shall prescribe nutritionally sound, individualized meal plans based on validated scientific principles, avoiding unsubstantiated fad diets, hazardous starvation protocols, or unapproved commercial supplement pushing.</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b/>
          <w:bCs/>
          <w:color w:val="1F1F1F"/>
          <w:sz w:val="24"/>
          <w:szCs w:val="24"/>
          <w:bdr w:val="none" w:sz="0" w:space="0" w:color="auto" w:frame="1"/>
        </w:rPr>
        <w:t>Medical Scope Boundaries:</w:t>
      </w:r>
      <w:r w:rsidRPr="009F6F0C">
        <w:rPr>
          <w:rFonts w:ascii="Times New Roman" w:eastAsia="Times New Roman" w:hAnsi="Times New Roman" w:cs="Times New Roman"/>
          <w:color w:val="1F1F1F"/>
          <w:sz w:val="24"/>
          <w:szCs w:val="24"/>
          <w:bdr w:val="none" w:sz="0" w:space="0" w:color="auto" w:frame="1"/>
        </w:rPr>
        <w:t xml:space="preserve"> Dietitians must not diagnose underlying medical diseases, prescribe allopathic pharmacological medications, or alter medical dosages (e.g., insulin, hypertensive drugs) set by the treating physician. Any clinical red flags, eating disorders, or metabolic crises must be immediately referred to a qualified medical doctor.</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b/>
          <w:bCs/>
          <w:color w:val="1F1F1F"/>
          <w:sz w:val="24"/>
          <w:szCs w:val="24"/>
          <w:bdr w:val="none" w:sz="0" w:space="0" w:color="auto" w:frame="1"/>
        </w:rPr>
        <w:t>Hygiene &amp; Equipment:</w:t>
      </w:r>
      <w:r w:rsidRPr="009F6F0C">
        <w:rPr>
          <w:rFonts w:ascii="Times New Roman" w:eastAsia="Times New Roman" w:hAnsi="Times New Roman" w:cs="Times New Roman"/>
          <w:color w:val="1F1F1F"/>
          <w:sz w:val="24"/>
          <w:szCs w:val="24"/>
          <w:bdr w:val="none" w:sz="0" w:space="0" w:color="auto" w:frame="1"/>
        </w:rPr>
        <w:t xml:space="preserve"> For home visits and center clinics, anthropometric instruments (measuring tapes, calipers, fat analyzers) must be sanitized before and after each patient contact.</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spacing w:before="100" w:beforeAutospacing="1" w:after="298" w:line="240" w:lineRule="auto"/>
        <w:outlineLvl w:val="2"/>
        <w:rPr>
          <w:rFonts w:ascii="Times New Roman" w:eastAsia="Times New Roman" w:hAnsi="Times New Roman" w:cs="Times New Roman"/>
          <w:b/>
          <w:bCs/>
          <w:color w:val="1F1F1F"/>
          <w:sz w:val="27"/>
          <w:szCs w:val="27"/>
        </w:rPr>
      </w:pPr>
      <w:r w:rsidRPr="009F6F0C">
        <w:rPr>
          <w:rFonts w:ascii="Times New Roman" w:eastAsia="Times New Roman" w:hAnsi="Times New Roman" w:cs="Times New Roman"/>
          <w:b/>
          <w:bCs/>
          <w:color w:val="1F1F1F"/>
          <w:sz w:val="27"/>
          <w:szCs w:val="27"/>
        </w:rPr>
        <w:t>7. Professional Appearance and Identification</w:t>
      </w:r>
    </w:p>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All dietitians conducting Center Walk-Ins or Home Visits must maintain high professional grooming standards:</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rPr>
        <w:br/>
      </w:r>
    </w:p>
    <w:p w:rsidR="009F6F0C" w:rsidRPr="009F6F0C" w:rsidRDefault="009F6F0C" w:rsidP="009F6F0C">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Clean, professional clinical attire or white consultation coat.</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Visible CALLMEDEX identification badge.</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Clean personal hygiene, appropriate footwear, and masks/gloves where clinically warranted.</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spacing w:before="100" w:beforeAutospacing="1" w:after="298" w:line="240" w:lineRule="auto"/>
        <w:outlineLvl w:val="2"/>
        <w:rPr>
          <w:rFonts w:ascii="Times New Roman" w:eastAsia="Times New Roman" w:hAnsi="Times New Roman" w:cs="Times New Roman"/>
          <w:b/>
          <w:bCs/>
          <w:color w:val="1F1F1F"/>
          <w:sz w:val="27"/>
          <w:szCs w:val="27"/>
        </w:rPr>
      </w:pPr>
      <w:r w:rsidRPr="009F6F0C">
        <w:rPr>
          <w:rFonts w:ascii="Times New Roman" w:eastAsia="Times New Roman" w:hAnsi="Times New Roman" w:cs="Times New Roman"/>
          <w:b/>
          <w:bCs/>
          <w:color w:val="1F1F1F"/>
          <w:sz w:val="27"/>
          <w:szCs w:val="27"/>
        </w:rPr>
        <w:t>8. Patient Confidentiality and Data Governance</w:t>
      </w:r>
    </w:p>
    <w:p w:rsidR="009F6F0C" w:rsidRPr="009F6F0C" w:rsidRDefault="009F6F0C" w:rsidP="009F6F0C">
      <w:pPr>
        <w:numPr>
          <w:ilvl w:val="0"/>
          <w:numId w:val="7"/>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All medical records, biochemical lab reports (e.g., HbA1c, lipid profiles, renal panels), food logs, body composition readings, and personal photographs are strictly confidential.</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numPr>
          <w:ilvl w:val="0"/>
          <w:numId w:val="7"/>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Dietitians shall not screenshot, publish, or utilize patient before-and-after photos, health stats, or testimonials on social media or personal websites without explicit, documented written consent.</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numPr>
          <w:ilvl w:val="0"/>
          <w:numId w:val="7"/>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Data handling must comply with prevailing digital data protection laws and CALLMEDEX privacy standards.</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spacing w:before="100" w:beforeAutospacing="1" w:after="298" w:line="240" w:lineRule="auto"/>
        <w:outlineLvl w:val="2"/>
        <w:rPr>
          <w:rFonts w:ascii="Times New Roman" w:eastAsia="Times New Roman" w:hAnsi="Times New Roman" w:cs="Times New Roman"/>
          <w:b/>
          <w:bCs/>
          <w:color w:val="1F1F1F"/>
          <w:sz w:val="27"/>
          <w:szCs w:val="27"/>
        </w:rPr>
      </w:pPr>
      <w:r w:rsidRPr="009F6F0C">
        <w:rPr>
          <w:rFonts w:ascii="Times New Roman" w:eastAsia="Times New Roman" w:hAnsi="Times New Roman" w:cs="Times New Roman"/>
          <w:b/>
          <w:bCs/>
          <w:color w:val="1F1F1F"/>
          <w:sz w:val="27"/>
          <w:szCs w:val="27"/>
        </w:rPr>
        <w:t>9. Cancellations, Rescheduling &amp; No-Show Policy</w:t>
      </w:r>
    </w:p>
    <w:p w:rsidR="009F6F0C" w:rsidRPr="009F6F0C" w:rsidRDefault="009F6F0C" w:rsidP="009F6F0C">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rPr>
        <w:t>Consultations cancelled by the client at least 2 hours prior to the slot are eligible for rescheduling or refund without penalty.</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If a Dietitian fails to join an online consultation within 10 minutes of the start time or misses a scheduled home visit, it is logged as a "Provider No-Show," triggering a full patient refund and applicable platform penalty fees.</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Emergency rescheduling initiated by the Service Provider must be submitted through the App immediately. Repeated non-attendance or unexcused cancellations will lead to algorithmic downranking or account deactivation.</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spacing w:before="100" w:beforeAutospacing="1" w:after="298" w:line="240" w:lineRule="auto"/>
        <w:outlineLvl w:val="2"/>
        <w:rPr>
          <w:rFonts w:ascii="Times New Roman" w:eastAsia="Times New Roman" w:hAnsi="Times New Roman" w:cs="Times New Roman"/>
          <w:b/>
          <w:bCs/>
          <w:color w:val="1F1F1F"/>
          <w:sz w:val="27"/>
          <w:szCs w:val="27"/>
        </w:rPr>
      </w:pPr>
      <w:r w:rsidRPr="009F6F0C">
        <w:rPr>
          <w:rFonts w:ascii="Times New Roman" w:eastAsia="Times New Roman" w:hAnsi="Times New Roman" w:cs="Times New Roman"/>
          <w:b/>
          <w:bCs/>
          <w:color w:val="1F1F1F"/>
          <w:sz w:val="27"/>
          <w:szCs w:val="27"/>
        </w:rPr>
        <w:t>10. Limitation of Liability</w:t>
      </w:r>
    </w:p>
    <w:p w:rsidR="009F6F0C" w:rsidRPr="009F6F0C" w:rsidRDefault="009F6F0C" w:rsidP="009F6F0C">
      <w:pPr>
        <w:numPr>
          <w:ilvl w:val="0"/>
          <w:numId w:val="9"/>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CALLMEDEX serves solely as an intermediary technology aggregator connecting patients with professional nutrition practitioners.</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numPr>
          <w:ilvl w:val="0"/>
          <w:numId w:val="9"/>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Nutritional evaluations, dietary recommendations, tolerance outcomes, allergen reactions, and clinical advisories remain solely the clinical responsibility of the individual Dietitian and/or Nutrition Center.</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numPr>
          <w:ilvl w:val="0"/>
          <w:numId w:val="9"/>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CALLMEDEX assumes no legal liability for clinical outcomes, non-compliance by the patient, or complications arising from dietary regimens.</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spacing w:before="100" w:beforeAutospacing="1" w:after="298" w:line="240" w:lineRule="auto"/>
        <w:outlineLvl w:val="2"/>
        <w:rPr>
          <w:rFonts w:ascii="Times New Roman" w:eastAsia="Times New Roman" w:hAnsi="Times New Roman" w:cs="Times New Roman"/>
          <w:b/>
          <w:bCs/>
          <w:color w:val="1F1F1F"/>
          <w:sz w:val="27"/>
          <w:szCs w:val="27"/>
        </w:rPr>
      </w:pPr>
      <w:r w:rsidRPr="009F6F0C">
        <w:rPr>
          <w:rFonts w:ascii="Times New Roman" w:eastAsia="Times New Roman" w:hAnsi="Times New Roman" w:cs="Times New Roman"/>
          <w:b/>
          <w:bCs/>
          <w:color w:val="1F1F1F"/>
          <w:sz w:val="27"/>
          <w:szCs w:val="27"/>
        </w:rPr>
        <w:t>11. Suspension and Termination</w:t>
      </w:r>
    </w:p>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CALLMEDEX reserves the right to suspend or permanently terminate a Dietitian or Center account for:</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rPr>
        <w:br/>
      </w:r>
    </w:p>
    <w:p w:rsidR="009F6F0C" w:rsidRPr="009F6F0C" w:rsidRDefault="009F6F0C" w:rsidP="009F6F0C">
      <w:pPr>
        <w:numPr>
          <w:ilvl w:val="0"/>
          <w:numId w:val="10"/>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rPr>
        <w:t>Prescribing medications beyond legal clinical nutrition scope;</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numPr>
          <w:ilvl w:val="0"/>
          <w:numId w:val="10"/>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rPr>
        <w:t>Unethical product endorsements or coercive supplement sales;</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numPr>
          <w:ilvl w:val="0"/>
          <w:numId w:val="10"/>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Unprofessional conduct, harassment, or verbal abuse;</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numPr>
          <w:ilvl w:val="0"/>
          <w:numId w:val="10"/>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Soliciting offline side-transactions to bypass platform fees;</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numPr>
          <w:ilvl w:val="0"/>
          <w:numId w:val="10"/>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Excessive patient grievances or falsifying service completion;</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numPr>
          <w:ilvl w:val="0"/>
          <w:numId w:val="10"/>
        </w:numPr>
        <w:spacing w:before="100" w:beforeAutospacing="1" w:after="0" w:line="240" w:lineRule="auto"/>
        <w:ind w:left="0"/>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Breach of patient confidentiality.</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before="100" w:beforeAutospacing="1" w:after="0" w:line="240" w:lineRule="auto"/>
        <w:rPr>
          <w:rFonts w:ascii="Times New Roman" w:eastAsia="Times New Roman" w:hAnsi="Times New Roman" w:cs="Times New Roman"/>
          <w:color w:val="1F1F1F"/>
          <w:sz w:val="24"/>
          <w:szCs w:val="24"/>
        </w:rPr>
      </w:pPr>
    </w:p>
    <w:p w:rsidR="009F6F0C" w:rsidRPr="009F6F0C" w:rsidRDefault="009F6F0C" w:rsidP="009F6F0C">
      <w:pPr>
        <w:spacing w:before="100" w:beforeAutospacing="1" w:after="298" w:line="240" w:lineRule="auto"/>
        <w:outlineLvl w:val="2"/>
        <w:rPr>
          <w:rFonts w:ascii="Times New Roman" w:eastAsia="Times New Roman" w:hAnsi="Times New Roman" w:cs="Times New Roman"/>
          <w:b/>
          <w:bCs/>
          <w:color w:val="1F1F1F"/>
          <w:sz w:val="27"/>
          <w:szCs w:val="27"/>
        </w:rPr>
      </w:pPr>
      <w:r w:rsidRPr="009F6F0C">
        <w:rPr>
          <w:rFonts w:ascii="Times New Roman" w:eastAsia="Times New Roman" w:hAnsi="Times New Roman" w:cs="Times New Roman"/>
          <w:b/>
          <w:bCs/>
          <w:color w:val="1F1F1F"/>
          <w:sz w:val="27"/>
          <w:szCs w:val="27"/>
        </w:rPr>
        <w:t>12. Acceptance Declaration</w:t>
      </w:r>
    </w:p>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By completing digital onboarding and accepting bookings on CALLMEDEX, the Service Provider affirms that they have read, understood, and consented to abide by these Terms and Conditions.</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after="0" w:line="240" w:lineRule="auto"/>
        <w:rPr>
          <w:rFonts w:ascii="Times New Roman" w:eastAsia="Times New Roman" w:hAnsi="Times New Roman" w:cs="Times New Roman"/>
          <w:color w:val="1F1F1F"/>
          <w:sz w:val="24"/>
          <w:szCs w:val="24"/>
        </w:rPr>
      </w:pPr>
    </w:p>
    <w:tbl>
      <w:tblPr>
        <w:tblW w:w="0" w:type="auto"/>
        <w:tblCellSpacing w:w="15" w:type="dxa"/>
        <w:tblCellMar>
          <w:left w:w="0" w:type="dxa"/>
          <w:right w:w="0" w:type="dxa"/>
        </w:tblCellMar>
        <w:tblLook w:val="04A0"/>
      </w:tblPr>
      <w:tblGrid>
        <w:gridCol w:w="3855"/>
        <w:gridCol w:w="5835"/>
      </w:tblGrid>
      <w:tr w:rsidR="009F6F0C" w:rsidRPr="009F6F0C" w:rsidTr="009F6F0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b/>
                <w:bCs/>
                <w:color w:val="1F1F1F"/>
                <w:sz w:val="24"/>
                <w:szCs w:val="24"/>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b/>
                <w:bCs/>
                <w:color w:val="1F1F1F"/>
                <w:sz w:val="24"/>
                <w:szCs w:val="24"/>
              </w:rPr>
              <w:t>Details</w:t>
            </w:r>
          </w:p>
        </w:tc>
      </w:tr>
      <w:tr w:rsidR="009F6F0C" w:rsidRPr="009F6F0C" w:rsidTr="009F6F0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b/>
                <w:bCs/>
                <w:color w:val="1F1F1F"/>
                <w:sz w:val="24"/>
                <w:szCs w:val="24"/>
                <w:bdr w:val="none" w:sz="0" w:space="0" w:color="auto" w:frame="1"/>
              </w:rPr>
              <w:t>Dietetic Center / Dietitian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_____________________________________________</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after="0" w:line="240" w:lineRule="auto"/>
              <w:rPr>
                <w:rFonts w:ascii="Times New Roman" w:eastAsia="Times New Roman" w:hAnsi="Times New Roman" w:cs="Times New Roman"/>
                <w:color w:val="1F1F1F"/>
                <w:sz w:val="24"/>
                <w:szCs w:val="24"/>
              </w:rPr>
            </w:pPr>
          </w:p>
        </w:tc>
      </w:tr>
      <w:tr w:rsidR="009F6F0C" w:rsidRPr="009F6F0C" w:rsidTr="009F6F0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b/>
                <w:bCs/>
                <w:color w:val="1F1F1F"/>
                <w:sz w:val="24"/>
                <w:szCs w:val="24"/>
                <w:bdr w:val="none" w:sz="0" w:space="0" w:color="auto" w:frame="1"/>
              </w:rPr>
              <w:t>Registration / IDA / RD Number: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_____________________________________________</w:t>
            </w:r>
            <w:r w:rsidRPr="009F6F0C">
              <w:rPr>
                <w:rFonts w:ascii="Times New Roman" w:eastAsia="Times New Roman" w:hAnsi="Times New Roman" w:cs="Times New Roman"/>
                <w:color w:val="1F1F1F"/>
                <w:sz w:val="24"/>
                <w:szCs w:val="24"/>
              </w:rPr>
              <w:t xml:space="preserve"> </w:t>
            </w:r>
          </w:p>
          <w:p w:rsidR="009F6F0C" w:rsidRPr="009F6F0C" w:rsidRDefault="009F6F0C" w:rsidP="009F6F0C">
            <w:pPr>
              <w:spacing w:after="0" w:line="240" w:lineRule="auto"/>
              <w:rPr>
                <w:rFonts w:ascii="Times New Roman" w:eastAsia="Times New Roman" w:hAnsi="Times New Roman" w:cs="Times New Roman"/>
                <w:color w:val="1F1F1F"/>
                <w:sz w:val="24"/>
                <w:szCs w:val="24"/>
              </w:rPr>
            </w:pPr>
          </w:p>
        </w:tc>
      </w:tr>
      <w:tr w:rsidR="009F6F0C" w:rsidRPr="009F6F0C" w:rsidTr="009F6F0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b/>
                <w:bCs/>
                <w:color w:val="1F1F1F"/>
                <w:sz w:val="24"/>
                <w:szCs w:val="24"/>
                <w:bdr w:val="none" w:sz="0" w:space="0" w:color="auto" w:frame="1"/>
              </w:rPr>
              <w:t>Authorized Signature &amp; Seal: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_____________________________________________</w:t>
            </w:r>
            <w:r w:rsidRPr="009F6F0C">
              <w:rPr>
                <w:rFonts w:ascii="Times New Roman" w:eastAsia="Times New Roman" w:hAnsi="Times New Roman" w:cs="Times New Roman"/>
                <w:color w:val="1F1F1F"/>
                <w:sz w:val="24"/>
                <w:szCs w:val="24"/>
              </w:rPr>
              <w:t xml:space="preserve"> </w:t>
            </w:r>
          </w:p>
        </w:tc>
      </w:tr>
      <w:tr w:rsidR="009F6F0C" w:rsidRPr="009F6F0C" w:rsidTr="009F6F0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b/>
                <w:bCs/>
                <w:color w:val="1F1F1F"/>
                <w:sz w:val="24"/>
                <w:szCs w:val="24"/>
                <w:bdr w:val="none" w:sz="0" w:space="0" w:color="auto" w:frame="1"/>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6F0C" w:rsidRPr="009F6F0C" w:rsidRDefault="009F6F0C" w:rsidP="009F6F0C">
            <w:pPr>
              <w:spacing w:after="0" w:line="240" w:lineRule="auto"/>
              <w:rPr>
                <w:rFonts w:ascii="Times New Roman" w:eastAsia="Times New Roman" w:hAnsi="Times New Roman" w:cs="Times New Roman"/>
                <w:color w:val="1F1F1F"/>
                <w:sz w:val="24"/>
                <w:szCs w:val="24"/>
              </w:rPr>
            </w:pPr>
            <w:r w:rsidRPr="009F6F0C">
              <w:rPr>
                <w:rFonts w:ascii="Times New Roman" w:eastAsia="Times New Roman" w:hAnsi="Times New Roman" w:cs="Times New Roman"/>
                <w:color w:val="1F1F1F"/>
                <w:sz w:val="24"/>
                <w:szCs w:val="24"/>
                <w:bdr w:val="none" w:sz="0" w:space="0" w:color="auto" w:frame="1"/>
              </w:rPr>
              <w:t>_____ / _____ / 20___</w:t>
            </w:r>
          </w:p>
        </w:tc>
      </w:tr>
    </w:tbl>
    <w:p w:rsidR="000E50CE" w:rsidRDefault="000E50CE"/>
    <w:sectPr w:rsidR="000E50C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DE5A72"/>
    <w:multiLevelType w:val="multilevel"/>
    <w:tmpl w:val="1D84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4A7999"/>
    <w:multiLevelType w:val="multilevel"/>
    <w:tmpl w:val="4D2C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307D8F"/>
    <w:multiLevelType w:val="multilevel"/>
    <w:tmpl w:val="7B6A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6AD5583"/>
    <w:multiLevelType w:val="multilevel"/>
    <w:tmpl w:val="8E08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8DC151B"/>
    <w:multiLevelType w:val="multilevel"/>
    <w:tmpl w:val="B1EC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CF7033B"/>
    <w:multiLevelType w:val="multilevel"/>
    <w:tmpl w:val="1B9C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47A1EC0"/>
    <w:multiLevelType w:val="multilevel"/>
    <w:tmpl w:val="C94C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B66164F"/>
    <w:multiLevelType w:val="multilevel"/>
    <w:tmpl w:val="1FE8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FC52EC3"/>
    <w:multiLevelType w:val="multilevel"/>
    <w:tmpl w:val="CE34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B4B36A4"/>
    <w:multiLevelType w:val="multilevel"/>
    <w:tmpl w:val="E4785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5"/>
  </w:num>
  <w:num w:numId="4">
    <w:abstractNumId w:val="9"/>
  </w:num>
  <w:num w:numId="5">
    <w:abstractNumId w:val="6"/>
  </w:num>
  <w:num w:numId="6">
    <w:abstractNumId w:val="4"/>
  </w:num>
  <w:num w:numId="7">
    <w:abstractNumId w:val="3"/>
  </w:num>
  <w:num w:numId="8">
    <w:abstractNumId w:val="7"/>
  </w:num>
  <w:num w:numId="9">
    <w:abstractNumId w:val="0"/>
  </w:num>
  <w:num w:numId="1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9F6F0C"/>
    <w:rsid w:val="000E50CE"/>
    <w:rsid w:val="009F6F0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F6F0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9F6F0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F0C"/>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9F6F0C"/>
    <w:rPr>
      <w:rFonts w:ascii="Times New Roman" w:eastAsia="Times New Roman" w:hAnsi="Times New Roman" w:cs="Times New Roman"/>
      <w:b/>
      <w:bCs/>
      <w:sz w:val="27"/>
      <w:szCs w:val="27"/>
    </w:rPr>
  </w:style>
  <w:style w:type="character" w:styleId="Strong">
    <w:name w:val="Strong"/>
    <w:basedOn w:val="DefaultParagraphFont"/>
    <w:uiPriority w:val="22"/>
    <w:qFormat/>
    <w:rsid w:val="009F6F0C"/>
    <w:rPr>
      <w:b/>
      <w:bCs/>
    </w:rPr>
  </w:style>
</w:styles>
</file>

<file path=word/webSettings.xml><?xml version="1.0" encoding="utf-8"?>
<w:webSettings xmlns:r="http://schemas.openxmlformats.org/officeDocument/2006/relationships" xmlns:w="http://schemas.openxmlformats.org/wordprocessingml/2006/main">
  <w:divs>
    <w:div w:id="174196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1375</Words>
  <Characters>7841</Characters>
  <Application>Microsoft Office Word</Application>
  <DocSecurity>0</DocSecurity>
  <Lines>65</Lines>
  <Paragraphs>18</Paragraphs>
  <ScaleCrop>false</ScaleCrop>
  <Company/>
  <LinksUpToDate>false</LinksUpToDate>
  <CharactersWithSpaces>9198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2026-09-03T05:17:00Z</dcterms:created>
  <dcterms:modified xsi:type="dcterms:W3CDTF">2026-09-03T05:19:00Z</dcterms:modified>
</cp:coreProperties>
</file>