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terms-conditions"/>
    <w:p>
      <w:pPr>
        <w:pStyle w:val="Heading1"/>
      </w:pPr>
      <w:r>
        <w:t xml:space="preserve">TERMS &amp; CONDITIONS</w:t>
      </w:r>
    </w:p>
    <w:bookmarkStart w:id="40" w:name="X2f4cab452807712f6b98c0b31aafe6624a88f5c"/>
    <w:p>
      <w:pPr>
        <w:pStyle w:val="Heading2"/>
      </w:pPr>
      <w:r>
        <w:t xml:space="preserve">AGREEMENT BETWEEN CALL MEDEX AND DIAGNOSTIC CENTER</w:t>
      </w:r>
    </w:p>
    <w:p>
      <w:pPr>
        <w:pStyle w:val="FirstParagraph"/>
      </w:pPr>
      <w:r>
        <w:rPr>
          <w:b/>
          <w:bCs/>
        </w:rPr>
        <w:t xml:space="preserve">(Outsource Diagnostic Service Provider)</w:t>
      </w:r>
    </w:p>
    <w:bookmarkStart w:id="20" w:name="appointment"/>
    <w:p>
      <w:pPr>
        <w:pStyle w:val="Heading3"/>
      </w:pPr>
      <w:r>
        <w:t xml:space="preserve">1. Appointment</w:t>
      </w:r>
    </w:p>
    <w:p>
      <w:pPr>
        <w:pStyle w:val="FirstParagraph"/>
      </w:pPr>
      <w:r>
        <w:t xml:space="preserve">The Diagnostic Center agrees to act as an authorized outsourced diagnostic service provider for patients referred through the CALL MEDEX platform and shall provide diagnostic services in accordance with the terms of this agreement.</w:t>
      </w:r>
    </w:p>
    <w:bookmarkEnd w:id="20"/>
    <w:bookmarkStart w:id="21" w:name="b2b-pricing"/>
    <w:p>
      <w:pPr>
        <w:pStyle w:val="Heading3"/>
      </w:pPr>
      <w:r>
        <w:t xml:space="preserve">2. B2B Pricing</w:t>
      </w:r>
    </w:p>
    <w:p>
      <w:pPr>
        <w:pStyle w:val="FirstParagraph"/>
      </w:pPr>
      <w:r>
        <w:t xml:space="preserve">The Diagnostic Center shall offer mutually agreed Business-to-Business (B2B) prices for all approved diagnostic services to CALL MEDEX. These prices shall remain valid until revised with mutual written consent.</w:t>
      </w:r>
    </w:p>
    <w:bookmarkEnd w:id="21"/>
    <w:bookmarkStart w:id="22" w:name="dashboard-access"/>
    <w:p>
      <w:pPr>
        <w:pStyle w:val="Heading3"/>
      </w:pPr>
      <w:r>
        <w:t xml:space="preserve">3. Dashboard Access</w:t>
      </w:r>
    </w:p>
    <w:p>
      <w:pPr>
        <w:pStyle w:val="FirstParagraph"/>
      </w:pPr>
      <w:r>
        <w:t xml:space="preserve">CALL MEDEX shall provide a dedicated online dashboard to the Diagnostic Center for managing appointments, patient bookings, service status, reports, billing, wallets, and other operational activities.</w:t>
      </w:r>
    </w:p>
    <w:bookmarkEnd w:id="22"/>
    <w:bookmarkStart w:id="23" w:name="slot-management"/>
    <w:p>
      <w:pPr>
        <w:pStyle w:val="Heading3"/>
      </w:pPr>
      <w:r>
        <w:t xml:space="preserve">4. Slot Management</w:t>
      </w:r>
    </w:p>
    <w:p>
      <w:pPr>
        <w:pStyle w:val="FirstParagraph"/>
      </w:pPr>
      <w:r>
        <w:t>The Diagnostic Center shall update the availability of appointment slots, emergency services, and holiday schedules on the dashboard regularly to ensure accurate scheduling.</w:t>
      </w:r>
    </w:p>
    <w:bookmarkEnd w:id="23"/>
    <w:bookmarkStart w:id="24" w:name="patient-discount-policy"/>
    <w:p>
      <w:pPr>
        <w:pStyle w:val="Heading3"/>
      </w:pPr>
      <w:r>
        <w:t xml:space="preserve">5. Patient Discount Policy</w:t>
      </w:r>
    </w:p>
    <w:p>
      <w:pPr>
        <w:pStyle w:val="FirstParagraph"/>
      </w:pPr>
      <w:r>
        <w:t xml:space="preserve">CALL MEDEX may offer promotional discounts to patients. Such discounts shall be adjusted only from CALL MEDEX’s margin and shall not reduce the mutually agreed B2B price payable to the Diagnostic Center unless specifically agreed in writing.</w:t>
      </w:r>
    </w:p>
    <w:bookmarkEnd w:id="24"/>
    <w:bookmarkStart w:id="25" w:name="dual-wallet-system"/>
    <w:p>
      <w:pPr>
        <w:pStyle w:val="Heading3"/>
      </w:pPr>
      <w:r>
        <w:t xml:space="preserve">6. Dual Wallet System</w:t>
      </w:r>
    </w:p>
    <w:p>
      <w:pPr>
        <w:pStyle w:val="FirstParagraph"/>
      </w:pPr>
      <w:r>
        <w:t xml:space="preserve">CALL MEDEX shall provide two separate digital wallets within the dashboard:</w:t>
      </w:r>
    </w:p>
    <w:p>
      <w:pPr>
        <w:pStyle w:val="Compact"/>
        <w:numPr>
          <w:ilvl w:val="0"/>
          <w:numId w:val="1001"/>
        </w:numPr>
      </w:pPr>
      <w:r>
        <w:rPr>
          <w:b/>
          <w:bCs/>
        </w:rPr>
        <w:t xml:space="preserve">Diagnostic Center Wallet:</w:t>
      </w:r>
      <w:r>
        <w:t xml:space="preserve"> </w:t>
      </w:r>
      <w:r>
        <w:t xml:space="preserve">To record payments payable to the Diagnostic Center.</w:t>
      </w:r>
    </w:p>
    <w:p>
      <w:pPr>
        <w:pStyle w:val="Compact"/>
        <w:numPr>
          <w:ilvl w:val="0"/>
          <w:numId w:val="1001"/>
        </w:numPr>
      </w:pPr>
      <w:r>
        <w:rPr>
          <w:b/>
          <w:bCs/>
        </w:rPr>
        <w:t xml:space="preserve">CALL MEDEX Wallet:</w:t>
      </w:r>
      <w:r>
        <w:t xml:space="preserve"> </w:t>
      </w:r>
      <w:r>
        <w:t xml:space="preserve">To record platform fees, promotional discounts, and CALL MEDEX earnings.</w:t>
      </w:r>
    </w:p>
    <w:bookmarkEnd w:id="25"/>
    <w:bookmarkStart w:id="26" w:name="payment-settlement"/>
    <w:p>
      <w:pPr>
        <w:pStyle w:val="Heading3"/>
      </w:pPr>
      <w:r>
        <w:t xml:space="preserve">7. Payment Settlement</w:t>
      </w:r>
    </w:p>
    <w:p>
      <w:pPr>
        <w:pStyle w:val="FirstParagraph"/>
      </w:pPr>
      <w:r>
        <w:t xml:space="preserve">Financial settlements between CALL MEDEX and the Diagnostic Center shall be reconciled and completed once every month based on the dashboard transaction records.</w:t>
      </w:r>
    </w:p>
    <w:bookmarkEnd w:id="26"/>
    <w:bookmarkStart w:id="27" w:name="scope-of-services"/>
    <w:p>
      <w:pPr>
        <w:pStyle w:val="Heading3"/>
      </w:pPr>
      <w:r>
        <w:t xml:space="preserve">8. Scope of Services</w:t>
      </w:r>
    </w:p>
    <w:p>
      <w:pPr>
        <w:pStyle w:val="FirstParagraph"/>
      </w:pPr>
      <w:r>
        <w:t xml:space="preserve">The Diagnostic Center agrees to provide all mutually accepted diagnostic services listed in the attached Scope of Services and maintain adequate infrastructure, qualified personnel, and equipment.</w:t>
      </w:r>
    </w:p>
    <w:bookmarkEnd w:id="27"/>
    <w:bookmarkStart w:id="28" w:name="quality-assurance"/>
    <w:p>
      <w:pPr>
        <w:pStyle w:val="Heading3"/>
      </w:pPr>
      <w:r>
        <w:t xml:space="preserve">9. Quality Assurance</w:t>
      </w:r>
    </w:p>
    <w:p>
      <w:pPr>
        <w:pStyle w:val="FirstParagraph"/>
      </w:pPr>
      <w:r>
        <w:t xml:space="preserve">The Diagnostic Center shall:</w:t>
      </w:r>
    </w:p>
    <w:p>
      <w:pPr>
        <w:pStyle w:val="Compact"/>
        <w:numPr>
          <w:ilvl w:val="0"/>
          <w:numId w:val="1002"/>
        </w:numPr>
      </w:pPr>
      <w:r>
        <w:t xml:space="preserve">Follow NABL/ISO standards wherever applicable.</w:t>
      </w:r>
    </w:p>
    <w:p>
      <w:pPr>
        <w:pStyle w:val="Compact"/>
        <w:numPr>
          <w:ilvl w:val="0"/>
          <w:numId w:val="1002"/>
        </w:numPr>
      </w:pPr>
      <w:r>
        <w:t xml:space="preserve">Maintain internal and external quality control.</w:t>
      </w:r>
    </w:p>
    <w:p>
      <w:pPr>
        <w:pStyle w:val="Compact"/>
        <w:numPr>
          <w:ilvl w:val="0"/>
          <w:numId w:val="1002"/>
        </w:numPr>
      </w:pPr>
      <w:r>
        <w:t xml:space="preserve">Ensure equipment calibration and preventive maintenance.</w:t>
      </w:r>
    </w:p>
    <w:p>
      <w:pPr>
        <w:pStyle w:val="Compact"/>
        <w:numPr>
          <w:ilvl w:val="0"/>
          <w:numId w:val="1002"/>
        </w:numPr>
      </w:pPr>
      <w:r>
        <w:t xml:space="preserve">Deliver accurate and timely reports.</w:t>
      </w:r>
    </w:p>
    <w:p>
      <w:pPr>
        <w:pStyle w:val="Compact"/>
        <w:numPr>
          <w:ilvl w:val="0"/>
          <w:numId w:val="1002"/>
        </w:numPr>
      </w:pPr>
      <w:r>
        <w:t xml:space="preserve">Maintain patient safety and infection control standards.</w:t>
      </w:r>
    </w:p>
    <w:bookmarkEnd w:id="28"/>
    <w:bookmarkStart w:id="29" w:name="confidentiality"/>
    <w:p>
      <w:pPr>
        <w:pStyle w:val="Heading3"/>
      </w:pPr>
      <w:r>
        <w:t xml:space="preserve">10. Confidentiality</w:t>
      </w:r>
    </w:p>
    <w:p>
      <w:pPr>
        <w:pStyle w:val="FirstParagraph"/>
      </w:pPr>
      <w:r>
        <w:t xml:space="preserve">The Diagnostic Center shall maintain complete confidentiality regarding:</w:t>
      </w:r>
    </w:p>
    <w:p>
      <w:pPr>
        <w:pStyle w:val="Compact"/>
        <w:numPr>
          <w:ilvl w:val="0"/>
          <w:numId w:val="1003"/>
        </w:numPr>
      </w:pPr>
      <w:r>
        <w:t xml:space="preserve">Patient medical information</w:t>
      </w:r>
    </w:p>
    <w:p>
      <w:pPr>
        <w:pStyle w:val="Compact"/>
        <w:numPr>
          <w:ilvl w:val="0"/>
          <w:numId w:val="1003"/>
        </w:numPr>
      </w:pPr>
      <w:r>
        <w:t xml:space="preserve">Diagnostic reports</w:t>
      </w:r>
    </w:p>
    <w:p>
      <w:pPr>
        <w:pStyle w:val="Compact"/>
        <w:numPr>
          <w:ilvl w:val="0"/>
          <w:numId w:val="1003"/>
        </w:numPr>
      </w:pPr>
      <w:r>
        <w:t xml:space="preserve">Business information</w:t>
      </w:r>
    </w:p>
    <w:p>
      <w:pPr>
        <w:pStyle w:val="Compact"/>
        <w:numPr>
          <w:ilvl w:val="0"/>
          <w:numId w:val="1003"/>
        </w:numPr>
      </w:pPr>
      <w:r>
        <w:t xml:space="preserve">Pricing details</w:t>
      </w:r>
    </w:p>
    <w:p>
      <w:pPr>
        <w:pStyle w:val="Compact"/>
        <w:numPr>
          <w:ilvl w:val="0"/>
          <w:numId w:val="1003"/>
        </w:numPr>
      </w:pPr>
      <w:r>
        <w:t xml:space="preserve">Dashboard access credentials</w:t>
      </w:r>
    </w:p>
    <w:p>
      <w:pPr>
        <w:pStyle w:val="Compact"/>
        <w:numPr>
          <w:ilvl w:val="0"/>
          <w:numId w:val="1003"/>
        </w:numPr>
      </w:pPr>
      <w:r>
        <w:t xml:space="preserve">CALL MEDEX operational data</w:t>
      </w:r>
    </w:p>
    <w:p>
      <w:pPr>
        <w:pStyle w:val="FirstParagraph"/>
      </w:pPr>
      <w:r>
        <w:t xml:space="preserve">No confidential information shall be disclosed except as required by law.</w:t>
      </w:r>
    </w:p>
    <w:bookmarkEnd w:id="29"/>
    <w:bookmarkStart w:id="30" w:name="report-delivery"/>
    <w:p>
      <w:pPr>
        <w:pStyle w:val="Heading3"/>
      </w:pPr>
      <w:r>
        <w:t xml:space="preserve">11. Report Delivery</w:t>
      </w:r>
    </w:p>
    <w:p>
      <w:pPr>
        <w:pStyle w:val="FirstParagraph"/>
      </w:pPr>
      <w:r>
        <w:t xml:space="preserve">Reports shall be uploaded promptly through the dashboard or shared digitally with CALL MEDEX for patient access within the agreed turnaround time.</w:t>
      </w:r>
    </w:p>
    <w:bookmarkEnd w:id="30"/>
    <w:bookmarkStart w:id="31" w:name="home-collection-services"/>
    <w:bookmarkEnd w:id="31"/>
    <w:bookmarkStart w:id="32" w:name="Xbb9e3586a268c8950fe0a9755f59d61812a0a75"/>
    <w:p>
      <w:pPr>
        <w:pStyle w:val="Heading3"/>
      </w:pPr>
      <w:r>
        <w:t>12. Responsibilities of the Diagnostic Center</w:t>
      </w:r>
    </w:p>
    <w:p>
      <w:pPr>
        <w:pStyle w:val="FirstParagraph"/>
      </w:pPr>
      <w:r>
        <w:t xml:space="preserve">The Diagnostic Center shall:</w:t>
      </w:r>
    </w:p>
    <w:p>
      <w:pPr>
        <w:pStyle w:val="Compact"/>
        <w:numPr>
          <w:ilvl w:val="0"/>
          <w:numId w:val="1004"/>
        </w:numPr>
      </w:pPr>
      <w:r>
        <w:t xml:space="preserve">Provide qualified technical and medical staff.</w:t>
      </w:r>
    </w:p>
    <w:p>
      <w:pPr>
        <w:pStyle w:val="Compact"/>
        <w:numPr>
          <w:ilvl w:val="0"/>
          <w:numId w:val="1004"/>
        </w:numPr>
      </w:pPr>
      <w:r>
        <w:t xml:space="preserve">Ensure uninterrupted services during working hours.</w:t>
      </w:r>
    </w:p>
    <w:p>
      <w:pPr>
        <w:pStyle w:val="Compact"/>
        <w:numPr>
          <w:ilvl w:val="0"/>
          <w:numId w:val="1004"/>
        </w:numPr>
      </w:pPr>
      <w:r>
        <w:t xml:space="preserve">Maintain all statutory licenses and registrations.</w:t>
      </w:r>
    </w:p>
    <w:p>
      <w:pPr>
        <w:pStyle w:val="Compact"/>
        <w:numPr>
          <w:ilvl w:val="0"/>
          <w:numId w:val="1004"/>
        </w:numPr>
      </w:pPr>
      <w:r>
        <w:t xml:space="preserve">Handle patient complaints professionally.</w:t>
      </w:r>
    </w:p>
    <w:p>
      <w:pPr>
        <w:pStyle w:val="Compact"/>
        <w:numPr>
          <w:ilvl w:val="0"/>
          <w:numId w:val="1004"/>
        </w:numPr>
      </w:pPr>
      <w:r>
        <w:t xml:space="preserve">Maintain adequate consumables and reagents.</w:t>
      </w:r>
    </w:p>
    <w:bookmarkEnd w:id="32"/>
    <w:bookmarkStart w:id="33" w:name="responsibilities-of-call-medex"/>
    <w:p>
      <w:pPr>
        <w:pStyle w:val="Heading3"/>
      </w:pPr>
      <w:r>
        <w:t>13. Responsibilities of CALL MEDEX</w:t>
      </w:r>
    </w:p>
    <w:p>
      <w:pPr>
        <w:pStyle w:val="FirstParagraph"/>
      </w:pPr>
      <w:r>
        <w:t xml:space="preserve">CALL MEDEX shall:</w:t>
      </w:r>
    </w:p>
    <w:p>
      <w:pPr>
        <w:pStyle w:val="Compact"/>
        <w:numPr>
          <w:ilvl w:val="0"/>
          <w:numId w:val="1005"/>
        </w:numPr>
      </w:pPr>
      <w:r>
        <w:t xml:space="preserve">Market the Diagnostic Center’s services through its digital platform.</w:t>
      </w:r>
    </w:p>
    <w:p>
      <w:pPr>
        <w:pStyle w:val="Compact"/>
        <w:numPr>
          <w:ilvl w:val="0"/>
          <w:numId w:val="1005"/>
        </w:numPr>
      </w:pPr>
      <w:r>
        <w:t xml:space="preserve">Generate patient referrals.</w:t>
      </w:r>
    </w:p>
    <w:p>
      <w:pPr>
        <w:pStyle w:val="Compact"/>
        <w:numPr>
          <w:ilvl w:val="0"/>
          <w:numId w:val="1005"/>
        </w:numPr>
      </w:pPr>
      <w:r>
        <w:t xml:space="preserve">Manage online bookings.</w:t>
      </w:r>
    </w:p>
    <w:p>
      <w:pPr>
        <w:pStyle w:val="Compact"/>
        <w:numPr>
          <w:ilvl w:val="0"/>
          <w:numId w:val="1005"/>
        </w:numPr>
      </w:pPr>
      <w:r>
        <w:t xml:space="preserve">Provide dashboard support.</w:t>
      </w:r>
    </w:p>
    <w:p>
      <w:pPr>
        <w:pStyle w:val="Compact"/>
        <w:numPr>
          <w:ilvl w:val="0"/>
          <w:numId w:val="1005"/>
        </w:numPr>
      </w:pPr>
      <w:r>
        <w:t xml:space="preserve">Facilitate monthly settlement statements.</w:t>
      </w:r>
    </w:p>
    <w:p>
      <w:pPr>
        <w:pStyle w:val="Compact"/>
        <w:numPr>
          <w:ilvl w:val="0"/>
          <w:numId w:val="1005"/>
        </w:numPr>
      </w:pPr>
      <w:r>
        <w:t xml:space="preserve">Provide customer support for appointment coordination.</w:t>
      </w:r>
    </w:p>
    <w:bookmarkEnd w:id="33"/>
    <w:bookmarkStart w:id="34" w:name="patient-care-standards"/>
    <w:p>
      <w:pPr>
        <w:pStyle w:val="Heading3"/>
      </w:pPr>
      <w:r>
        <w:t>14. Patient Care Standards</w:t>
      </w:r>
    </w:p>
    <w:p>
      <w:pPr>
        <w:pStyle w:val="FirstParagraph"/>
      </w:pPr>
      <w:r>
        <w:t xml:space="preserve">The Diagnostic Center shall provide courteous, ethical, and non-discriminatory services to all patients referred through CALL MEDEX.</w:t>
      </w:r>
    </w:p>
    <w:bookmarkEnd w:id="34"/>
    <w:bookmarkStart w:id="35" w:name="liability"/>
    <w:p>
      <w:pPr>
        <w:pStyle w:val="Heading3"/>
      </w:pPr>
      <w:r>
        <w:t>15. Liability</w:t>
      </w:r>
    </w:p>
    <w:p>
      <w:pPr>
        <w:pStyle w:val="FirstParagraph"/>
      </w:pPr>
      <w:r>
        <w:t xml:space="preserve">The Diagnostic Center shall be solely responsible for:</w:t>
      </w:r>
    </w:p>
    <w:p>
      <w:pPr>
        <w:pStyle w:val="Compact"/>
        <w:numPr>
          <w:ilvl w:val="0"/>
          <w:numId w:val="1006"/>
        </w:numPr>
      </w:pPr>
      <w:r>
        <w:t xml:space="preserve">Accuracy of investigations</w:t>
      </w:r>
    </w:p>
    <w:p>
      <w:pPr>
        <w:pStyle w:val="Compact"/>
        <w:numPr>
          <w:ilvl w:val="0"/>
          <w:numId w:val="1006"/>
        </w:numPr>
      </w:pPr>
      <w:r>
        <w:t xml:space="preserve">Sample handling</w:t>
      </w:r>
    </w:p>
    <w:p>
      <w:pPr>
        <w:pStyle w:val="Compact"/>
        <w:numPr>
          <w:ilvl w:val="0"/>
          <w:numId w:val="1006"/>
        </w:numPr>
      </w:pPr>
      <w:r>
        <w:t xml:space="preserve">Professional interpretation</w:t>
      </w:r>
    </w:p>
    <w:p>
      <w:pPr>
        <w:pStyle w:val="Compact"/>
        <w:numPr>
          <w:ilvl w:val="0"/>
          <w:numId w:val="1006"/>
        </w:numPr>
      </w:pPr>
      <w:r>
        <w:t xml:space="preserve">Report quality</w:t>
      </w:r>
    </w:p>
    <w:p>
      <w:pPr>
        <w:pStyle w:val="Compact"/>
        <w:numPr>
          <w:ilvl w:val="0"/>
          <w:numId w:val="1006"/>
        </w:numPr>
      </w:pPr>
      <w:r>
        <w:t xml:space="preserve">Clinical negligence, if any</w:t>
      </w:r>
    </w:p>
    <w:p>
      <w:pPr>
        <w:pStyle w:val="FirstParagraph"/>
      </w:pPr>
      <w:r>
        <w:t xml:space="preserve">CALL MEDEX functions only as a digital marketing and appointment facilitation platform.</w:t>
      </w:r>
    </w:p>
    <w:bookmarkEnd w:id="35"/>
    <w:bookmarkStart w:id="36" w:name="audit-rights"/>
    <w:p>
      <w:pPr>
        <w:pStyle w:val="Heading3"/>
      </w:pPr>
      <w:r>
        <w:t>16. Audit Rights</w:t>
      </w:r>
    </w:p>
    <w:p>
      <w:pPr>
        <w:pStyle w:val="FirstParagraph"/>
      </w:pPr>
      <w:r>
        <w:t xml:space="preserve">CALL MEDEX may periodically review service quality, turnaround time, patient satisfaction, and compliance with agreed standards.</w:t>
      </w:r>
    </w:p>
    <w:bookmarkEnd w:id="36"/>
    <w:bookmarkStart w:id="37" w:name="non-exclusivity"/>
    <w:p>
      <w:pPr>
        <w:pStyle w:val="Heading3"/>
      </w:pPr>
      <w:r>
        <w:t>17. Non-Exclusivity</w:t>
      </w:r>
    </w:p>
    <w:p>
      <w:pPr>
        <w:pStyle w:val="FirstParagraph"/>
      </w:pPr>
      <w:r>
        <w:t xml:space="preserve">This agreement is non-exclusive unless otherwise agreed in writing.</w:t>
      </w:r>
    </w:p>
    <w:bookmarkEnd w:id="37"/>
    <w:bookmarkStart w:id="38" w:name="termination"/>
    <w:p>
      <w:pPr>
        <w:pStyle w:val="Heading3"/>
      </w:pPr>
      <w:r>
        <w:t>18. Termination</w:t>
      </w:r>
    </w:p>
    <w:p>
      <w:pPr>
        <w:pStyle w:val="FirstParagraph"/>
      </w:pPr>
      <w:r>
        <w:t xml:space="preserve">Either party may terminate this agreement by giving thirty (30) days’ written notice. Immediate termination may occur in case of fraud, persistent quality issues, breach of confidentiality, or violation of statutory regulations.</w:t>
      </w:r>
    </w:p>
    <w:bookmarkEnd w:id="38"/>
    <w:bookmarkStart w:id="39" w:name="governing-law"/>
    <w:p>
      <w:pPr>
        <w:pStyle w:val="Heading3"/>
      </w:pPr>
      <w:r>
        <w:t>19. Governing Law</w:t>
      </w:r>
    </w:p>
    <w:p>
      <w:pPr>
        <w:pStyle w:val="FirstParagraph"/>
      </w:pPr>
      <w:r>
        <w:t xml:space="preserve">This agreement shall be governed by the laws of India. Any dispute arising from this agreement shall be subject to the jurisdiction of the competent courts at Visakhapatnam, Andhra Pradesh.</w:t>
      </w:r>
    </w:p>
    <w:p>
      <w:r>
        <w:pict>
          <v:rect style="width:0;height:1.5pt" o:hralign="center" o:hrstd="t" o:hr="t"/>
        </w:pict>
      </w:r>
    </w:p>
    <w:bookmarkEnd w:id="39"/>
    <w:bookmarkEnd w:id="40"/>
    <w:bookmarkEnd w:id="41"/>
    <w:bookmarkStart w:id="44" w:name="annexure-a"/>
    <w:p>
      <w:pPr>
        <w:pStyle w:val="Heading1"/>
      </w:pPr>
      <w:r>
        <w:t xml:space="preserve">ANNEXURE – A</w:t>
      </w:r>
    </w:p>
    <w:bookmarkStart w:id="43" w:name="X95273c4fab3cdf7ea0d360de23716778145e629"/>
    <w:p>
      <w:pPr>
        <w:pStyle w:val="Heading2"/>
      </w:pPr>
      <w:r>
        <w:t xml:space="preserve">SCOPE OF DIAGNOSTIC SERVICES (Tick ✓ Applicable Services)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Scope of Service</w:t>
            </w:r>
          </w:p>
        </w:tc>
        <w:tc>
          <w:tcPr/>
          <w:p>
            <w:pPr>
              <w:pStyle w:val="Compact"/>
              <w:jc w:val="right"/>
            </w:pPr>
            <w:r>
              <w:t xml:space="preserve">Regular Price</w:t>
            </w:r>
          </w:p>
        </w:tc>
        <w:tc>
          <w:tcPr/>
          <w:p>
            <w:pPr>
              <w:pStyle w:val="Compact"/>
              <w:jc w:val="right"/>
            </w:pPr>
            <w:r>
              <w:t xml:space="preserve">B2B Price</w:t>
            </w:r>
          </w:p>
        </w:tc>
        <w:tc>
          <w:tcPr/>
          <w:p>
            <w:pPr>
              <w:pStyle w:val="Compact"/>
              <w:jc w:val="right"/>
            </w:pPr>
            <w:r>
              <w:t xml:space="preserve">Offer Price</w:t>
            </w:r>
          </w:p>
        </w:tc>
      </w:tr>
      <w:tr>
        <w:tc>
          <w:tcPr/>
          <w:p>
            <w:pPr>
              <w:pStyle w:val="Compact"/>
            </w:pPr>
            <w:r>
              <w:t xml:space="preserve">☐</w:t>
            </w:r>
          </w:p>
        </w:tc>
        <w:tc>
          <w:tcPr/>
          <w:p>
            <w:pPr>
              <w:pStyle w:val="Compact"/>
            </w:pPr>
            <w:r>
              <w:t xml:space="preserve">ECG</w:t>
            </w:r>
          </w:p>
        </w:tc>
        <w:tc>
          <w:tcPr/>
          <w:p>
            <w:pPr>
              <w:pStyle w:val="Compact"/>
            </w:pPr>
          </w:p>
        </w:tc>
        <w:tc>
          <w:tcPr/>
          <w:p>
            <w:pPr>
              <w:pStyle w:val="Compact"/>
            </w:pPr>
          </w:p>
        </w:tc>
        <w:tc>
          <w:tcPr/>
          <w:p>
            <w:pPr>
              <w:pStyle w:val="Compact"/>
            </w:pPr>
          </w:p>
        </w:tc>
      </w:tr>
      <w:tr>
        <w:tc>
          <w:tcPr/>
          <w:p>
            <w:pPr>
              <w:pStyle w:val="Compact"/>
            </w:pPr>
            <w:r>
              <w:t xml:space="preserve">☐</w:t>
            </w:r>
          </w:p>
        </w:tc>
        <w:tc>
          <w:tcPr/>
          <w:p>
            <w:pPr>
              <w:pStyle w:val="Compact"/>
            </w:pPr>
            <w:r>
              <w:t xml:space="preserve">2D Echo</w:t>
            </w:r>
          </w:p>
        </w:tc>
        <w:tc>
          <w:tcPr/>
          <w:p>
            <w:pPr>
              <w:pStyle w:val="Compact"/>
            </w:pPr>
          </w:p>
        </w:tc>
        <w:tc>
          <w:tcPr/>
          <w:p>
            <w:pPr>
              <w:pStyle w:val="Compact"/>
            </w:pPr>
          </w:p>
        </w:tc>
        <w:tc>
          <w:tcPr/>
          <w:p>
            <w:pPr>
              <w:pStyle w:val="Compact"/>
            </w:pPr>
          </w:p>
        </w:tc>
      </w:tr>
      <w:tr>
        <w:tc>
          <w:tcPr/>
          <w:p>
            <w:pPr>
              <w:pStyle w:val="Compact"/>
            </w:pPr>
            <w:r>
              <w:t xml:space="preserve">☐</w:t>
            </w:r>
          </w:p>
        </w:tc>
        <w:tc>
          <w:tcPr/>
          <w:p>
            <w:pPr>
              <w:pStyle w:val="Compact"/>
            </w:pPr>
            <w:r>
              <w:t xml:space="preserve">TMT</w:t>
            </w:r>
          </w:p>
        </w:tc>
        <w:tc>
          <w:tcPr/>
          <w:p>
            <w:pPr>
              <w:pStyle w:val="Compact"/>
            </w:pPr>
          </w:p>
        </w:tc>
        <w:tc>
          <w:tcPr/>
          <w:p>
            <w:pPr>
              <w:pStyle w:val="Compact"/>
            </w:pPr>
          </w:p>
        </w:tc>
        <w:tc>
          <w:tcPr/>
          <w:p>
            <w:pPr>
              <w:pStyle w:val="Compact"/>
            </w:pPr>
          </w:p>
        </w:tc>
      </w:tr>
      <w:tr>
        <w:tc>
          <w:tcPr/>
          <w:p>
            <w:pPr>
              <w:pStyle w:val="Compact"/>
            </w:pPr>
            <w:r>
              <w:t xml:space="preserve">☐</w:t>
            </w:r>
          </w:p>
        </w:tc>
        <w:tc>
          <w:tcPr/>
          <w:p>
            <w:pPr>
              <w:pStyle w:val="Compact"/>
            </w:pPr>
            <w:r>
              <w:t xml:space="preserve">Stress Echo</w:t>
            </w:r>
          </w:p>
        </w:tc>
        <w:tc>
          <w:tcPr/>
          <w:p>
            <w:pPr>
              <w:pStyle w:val="Compact"/>
            </w:pPr>
          </w:p>
        </w:tc>
        <w:tc>
          <w:tcPr/>
          <w:p>
            <w:pPr>
              <w:pStyle w:val="Compact"/>
            </w:pPr>
          </w:p>
        </w:tc>
        <w:tc>
          <w:tcPr/>
          <w:p>
            <w:pPr>
              <w:pStyle w:val="Compact"/>
            </w:pPr>
          </w:p>
        </w:tc>
      </w:tr>
      <w:tr>
        <w:tc>
          <w:tcPr/>
          <w:p>
            <w:pPr>
              <w:pStyle w:val="Compact"/>
            </w:pPr>
            <w:r>
              <w:t xml:space="preserve">☐</w:t>
            </w:r>
          </w:p>
        </w:tc>
        <w:tc>
          <w:tcPr/>
          <w:p>
            <w:pPr>
              <w:pStyle w:val="Compact"/>
            </w:pPr>
            <w:r>
              <w:t xml:space="preserve">Holter Monitoring</w:t>
            </w:r>
          </w:p>
        </w:tc>
        <w:tc>
          <w:tcPr/>
          <w:p>
            <w:pPr>
              <w:pStyle w:val="Compact"/>
            </w:pPr>
          </w:p>
        </w:tc>
        <w:tc>
          <w:tcPr/>
          <w:p>
            <w:pPr>
              <w:pStyle w:val="Compact"/>
            </w:pPr>
          </w:p>
        </w:tc>
        <w:tc>
          <w:tcPr/>
          <w:p>
            <w:pPr>
              <w:pStyle w:val="Compact"/>
            </w:pPr>
          </w:p>
        </w:tc>
      </w:tr>
      <w:tr>
        <w:tc>
          <w:tcPr/>
          <w:p>
            <w:pPr>
              <w:pStyle w:val="Compact"/>
            </w:pPr>
            <w:r>
              <w:t xml:space="preserve">☐</w:t>
            </w:r>
          </w:p>
        </w:tc>
        <w:tc>
          <w:tcPr/>
          <w:p>
            <w:pPr>
              <w:pStyle w:val="Compact"/>
            </w:pPr>
            <w:r>
              <w:t xml:space="preserve">Ambulatory BP Monitoring</w:t>
            </w:r>
          </w:p>
        </w:tc>
        <w:tc>
          <w:tcPr/>
          <w:p>
            <w:pPr>
              <w:pStyle w:val="Compact"/>
            </w:pPr>
          </w:p>
        </w:tc>
        <w:tc>
          <w:tcPr/>
          <w:p>
            <w:pPr>
              <w:pStyle w:val="Compact"/>
            </w:pPr>
          </w:p>
        </w:tc>
        <w:tc>
          <w:tcPr/>
          <w:p>
            <w:pPr>
              <w:pStyle w:val="Compact"/>
            </w:pPr>
          </w:p>
        </w:tc>
      </w:tr>
      <w:tr>
        <w:tc>
          <w:tcPr/>
          <w:p>
            <w:pPr>
              <w:pStyle w:val="Compact"/>
            </w:pPr>
            <w:r>
              <w:t xml:space="preserve">☐</w:t>
            </w:r>
          </w:p>
        </w:tc>
        <w:tc>
          <w:tcPr/>
          <w:p>
            <w:pPr>
              <w:pStyle w:val="Compact"/>
            </w:pPr>
            <w:r>
              <w:t xml:space="preserve">X-Ray</w:t>
            </w:r>
          </w:p>
        </w:tc>
        <w:tc>
          <w:tcPr/>
          <w:p>
            <w:pPr>
              <w:pStyle w:val="Compact"/>
            </w:pPr>
          </w:p>
        </w:tc>
        <w:tc>
          <w:tcPr/>
          <w:p>
            <w:pPr>
              <w:pStyle w:val="Compact"/>
            </w:pPr>
          </w:p>
        </w:tc>
        <w:tc>
          <w:tcPr/>
          <w:p>
            <w:pPr>
              <w:pStyle w:val="Compact"/>
            </w:pPr>
          </w:p>
        </w:tc>
      </w:tr>
      <w:tr>
        <w:tc>
          <w:tcPr/>
          <w:p>
            <w:pPr>
              <w:pStyle w:val="Compact"/>
            </w:pPr>
            <w:r>
              <w:t xml:space="preserve">☐</w:t>
            </w:r>
          </w:p>
        </w:tc>
        <w:tc>
          <w:tcPr/>
          <w:p>
            <w:pPr>
              <w:pStyle w:val="Compact"/>
            </w:pPr>
            <w:r>
              <w:t xml:space="preserve">Ultrasound</w:t>
            </w:r>
          </w:p>
        </w:tc>
        <w:tc>
          <w:tcPr/>
          <w:p>
            <w:pPr>
              <w:pStyle w:val="Compact"/>
            </w:pPr>
          </w:p>
        </w:tc>
        <w:tc>
          <w:tcPr/>
          <w:p>
            <w:pPr>
              <w:pStyle w:val="Compact"/>
            </w:pPr>
          </w:p>
        </w:tc>
        <w:tc>
          <w:tcPr/>
          <w:p>
            <w:pPr>
              <w:pStyle w:val="Compact"/>
            </w:pPr>
          </w:p>
        </w:tc>
      </w:tr>
      <w:tr>
        <w:tc>
          <w:tcPr/>
          <w:p>
            <w:pPr>
              <w:pStyle w:val="Compact"/>
            </w:pPr>
            <w:r>
              <w:t xml:space="preserve">☐</w:t>
            </w:r>
          </w:p>
        </w:tc>
        <w:tc>
          <w:tcPr/>
          <w:p>
            <w:pPr>
              <w:pStyle w:val="Compact"/>
            </w:pPr>
            <w:r>
              <w:t xml:space="preserve">Colour Doppler</w:t>
            </w:r>
          </w:p>
        </w:tc>
        <w:tc>
          <w:tcPr/>
          <w:p>
            <w:pPr>
              <w:pStyle w:val="Compact"/>
            </w:pPr>
          </w:p>
        </w:tc>
        <w:tc>
          <w:tcPr/>
          <w:p>
            <w:pPr>
              <w:pStyle w:val="Compact"/>
            </w:pPr>
          </w:p>
        </w:tc>
        <w:tc>
          <w:tcPr/>
          <w:p>
            <w:pPr>
              <w:pStyle w:val="Compact"/>
            </w:pPr>
          </w:p>
        </w:tc>
      </w:tr>
      <w:tr>
        <w:tc>
          <w:tcPr/>
          <w:p>
            <w:pPr>
              <w:pStyle w:val="Compact"/>
            </w:pPr>
            <w:r>
              <w:t xml:space="preserve">☐</w:t>
            </w:r>
          </w:p>
        </w:tc>
        <w:tc>
          <w:tcPr/>
          <w:p>
            <w:pPr>
              <w:pStyle w:val="Compact"/>
            </w:pPr>
            <w:r>
              <w:t xml:space="preserve">TIFFA Scan</w:t>
            </w:r>
          </w:p>
        </w:tc>
        <w:tc>
          <w:tcPr/>
          <w:p>
            <w:pPr>
              <w:pStyle w:val="Compact"/>
            </w:pPr>
          </w:p>
        </w:tc>
        <w:tc>
          <w:tcPr/>
          <w:p>
            <w:pPr>
              <w:pStyle w:val="Compact"/>
            </w:pPr>
          </w:p>
        </w:tc>
        <w:tc>
          <w:tcPr/>
          <w:p>
            <w:pPr>
              <w:pStyle w:val="Compact"/>
            </w:pPr>
          </w:p>
        </w:tc>
      </w:tr>
      <w:tr>
        <w:tc>
          <w:tcPr/>
          <w:p>
            <w:pPr>
              <w:pStyle w:val="Compact"/>
            </w:pPr>
            <w:r>
              <w:t xml:space="preserve">☐</w:t>
            </w:r>
          </w:p>
        </w:tc>
        <w:tc>
          <w:tcPr/>
          <w:p>
            <w:pPr>
              <w:pStyle w:val="Compact"/>
            </w:pPr>
            <w:r>
              <w:t xml:space="preserve">NT Scan</w:t>
            </w:r>
          </w:p>
        </w:tc>
        <w:tc>
          <w:tcPr/>
          <w:p>
            <w:pPr>
              <w:pStyle w:val="Compact"/>
            </w:pPr>
          </w:p>
        </w:tc>
        <w:tc>
          <w:tcPr/>
          <w:p>
            <w:pPr>
              <w:pStyle w:val="Compact"/>
            </w:pPr>
          </w:p>
        </w:tc>
        <w:tc>
          <w:tcPr/>
          <w:p>
            <w:pPr>
              <w:pStyle w:val="Compact"/>
            </w:pPr>
          </w:p>
        </w:tc>
      </w:tr>
      <w:tr>
        <w:tc>
          <w:tcPr/>
          <w:p>
            <w:pPr>
              <w:pStyle w:val="Compact"/>
            </w:pPr>
            <w:r>
              <w:t xml:space="preserve">☐</w:t>
            </w:r>
          </w:p>
        </w:tc>
        <w:tc>
          <w:tcPr/>
          <w:p>
            <w:pPr>
              <w:pStyle w:val="Compact"/>
            </w:pPr>
            <w:r>
              <w:t xml:space="preserve">Anomaly Scan</w:t>
            </w:r>
          </w:p>
        </w:tc>
        <w:tc>
          <w:tcPr/>
          <w:p>
            <w:pPr>
              <w:pStyle w:val="Compact"/>
            </w:pPr>
          </w:p>
        </w:tc>
        <w:tc>
          <w:tcPr/>
          <w:p>
            <w:pPr>
              <w:pStyle w:val="Compact"/>
            </w:pPr>
          </w:p>
        </w:tc>
        <w:tc>
          <w:tcPr/>
          <w:p>
            <w:pPr>
              <w:pStyle w:val="Compact"/>
            </w:pPr>
          </w:p>
        </w:tc>
      </w:tr>
      <w:tr>
        <w:tc>
          <w:tcPr/>
          <w:p>
            <w:pPr>
              <w:pStyle w:val="Compact"/>
            </w:pPr>
            <w:r>
              <w:t xml:space="preserve">☐</w:t>
            </w:r>
          </w:p>
        </w:tc>
        <w:tc>
          <w:tcPr/>
          <w:p>
            <w:pPr>
              <w:pStyle w:val="Compact"/>
            </w:pPr>
            <w:r>
              <w:t xml:space="preserve">Mammography</w:t>
            </w:r>
          </w:p>
        </w:tc>
        <w:tc>
          <w:tcPr/>
          <w:p>
            <w:pPr>
              <w:pStyle w:val="Compact"/>
            </w:pPr>
          </w:p>
        </w:tc>
        <w:tc>
          <w:tcPr/>
          <w:p>
            <w:pPr>
              <w:pStyle w:val="Compact"/>
            </w:pPr>
          </w:p>
        </w:tc>
        <w:tc>
          <w:tcPr/>
          <w:p>
            <w:pPr>
              <w:pStyle w:val="Compact"/>
            </w:pPr>
          </w:p>
        </w:tc>
      </w:tr>
      <w:tr>
        <w:tc>
          <w:tcPr/>
          <w:p>
            <w:pPr>
              <w:pStyle w:val="Compact"/>
            </w:pPr>
            <w:r>
              <w:t xml:space="preserve">☐</w:t>
            </w:r>
          </w:p>
        </w:tc>
        <w:tc>
          <w:tcPr/>
          <w:p>
            <w:pPr>
              <w:pStyle w:val="Compact"/>
            </w:pPr>
            <w:r>
              <w:t xml:space="preserve">Bone Mineral Density (BMD)</w:t>
            </w:r>
          </w:p>
        </w:tc>
        <w:tc>
          <w:tcPr/>
          <w:p>
            <w:pPr>
              <w:pStyle w:val="Compact"/>
            </w:pPr>
          </w:p>
        </w:tc>
        <w:tc>
          <w:tcPr/>
          <w:p>
            <w:pPr>
              <w:pStyle w:val="Compact"/>
            </w:pPr>
          </w:p>
        </w:tc>
        <w:tc>
          <w:tcPr/>
          <w:p>
            <w:pPr>
              <w:pStyle w:val="Compact"/>
            </w:pPr>
          </w:p>
        </w:tc>
      </w:tr>
      <w:tr>
        <w:tc>
          <w:tcPr/>
          <w:p>
            <w:pPr>
              <w:pStyle w:val="Compact"/>
            </w:pPr>
            <w:r>
              <w:t xml:space="preserve">☐</w:t>
            </w:r>
          </w:p>
        </w:tc>
        <w:tc>
          <w:tcPr/>
          <w:p>
            <w:pPr>
              <w:pStyle w:val="Compact"/>
            </w:pPr>
            <w:r>
              <w:t xml:space="preserve">Pulmonary Function Test (PFT)</w:t>
            </w:r>
          </w:p>
        </w:tc>
        <w:tc>
          <w:tcPr/>
          <w:p>
            <w:pPr>
              <w:pStyle w:val="Compact"/>
            </w:pPr>
          </w:p>
        </w:tc>
        <w:tc>
          <w:tcPr/>
          <w:p>
            <w:pPr>
              <w:pStyle w:val="Compact"/>
            </w:pPr>
          </w:p>
        </w:tc>
        <w:tc>
          <w:tcPr/>
          <w:p>
            <w:pPr>
              <w:pStyle w:val="Compact"/>
            </w:pPr>
          </w:p>
        </w:tc>
      </w:tr>
      <w:tr>
        <w:tc>
          <w:tcPr/>
          <w:p>
            <w:pPr>
              <w:pStyle w:val="Compact"/>
            </w:pPr>
            <w:r>
              <w:t xml:space="preserve">☐</w:t>
            </w:r>
          </w:p>
        </w:tc>
        <w:tc>
          <w:tcPr/>
          <w:p>
            <w:pPr>
              <w:pStyle w:val="Compact"/>
            </w:pPr>
            <w:r>
              <w:t xml:space="preserve">Audiometry</w:t>
            </w:r>
          </w:p>
        </w:tc>
        <w:tc>
          <w:tcPr/>
          <w:p>
            <w:pPr>
              <w:pStyle w:val="Compact"/>
            </w:pPr>
          </w:p>
        </w:tc>
        <w:tc>
          <w:tcPr/>
          <w:p>
            <w:pPr>
              <w:pStyle w:val="Compact"/>
            </w:pPr>
          </w:p>
        </w:tc>
        <w:tc>
          <w:tcPr/>
          <w:p>
            <w:pPr>
              <w:pStyle w:val="Compact"/>
            </w:pPr>
          </w:p>
        </w:tc>
      </w:tr>
      <w:tr>
        <w:tc>
          <w:tcPr/>
          <w:p>
            <w:pPr>
              <w:pStyle w:val="Compact"/>
            </w:pPr>
            <w:r>
              <w:t xml:space="preserve">☐</w:t>
            </w:r>
          </w:p>
        </w:tc>
        <w:tc>
          <w:tcPr/>
          <w:p>
            <w:pPr>
              <w:pStyle w:val="Compact"/>
            </w:pPr>
            <w:r>
              <w:t xml:space="preserve">CT Scan</w:t>
            </w:r>
          </w:p>
        </w:tc>
        <w:tc>
          <w:tcPr/>
          <w:p>
            <w:pPr>
              <w:pStyle w:val="Compact"/>
            </w:pPr>
          </w:p>
        </w:tc>
        <w:tc>
          <w:tcPr/>
          <w:p>
            <w:pPr>
              <w:pStyle w:val="Compact"/>
            </w:pPr>
          </w:p>
        </w:tc>
        <w:tc>
          <w:tcPr/>
          <w:p>
            <w:pPr>
              <w:pStyle w:val="Compact"/>
            </w:pPr>
          </w:p>
        </w:tc>
      </w:tr>
      <w:tr>
        <w:tc>
          <w:tcPr/>
          <w:p>
            <w:pPr>
              <w:pStyle w:val="Compact"/>
            </w:pPr>
            <w:r>
              <w:t xml:space="preserve">☐</w:t>
            </w:r>
          </w:p>
        </w:tc>
        <w:tc>
          <w:tcPr/>
          <w:p>
            <w:pPr>
              <w:pStyle w:val="Compact"/>
            </w:pPr>
            <w:r>
              <w:t xml:space="preserve">MRI Scan</w:t>
            </w:r>
          </w:p>
        </w:tc>
        <w:tc>
          <w:tcPr/>
          <w:p>
            <w:pPr>
              <w:pStyle w:val="Compact"/>
            </w:pPr>
          </w:p>
        </w:tc>
        <w:tc>
          <w:tcPr/>
          <w:p>
            <w:pPr>
              <w:pStyle w:val="Compact"/>
            </w:pPr>
          </w:p>
        </w:tc>
        <w:tc>
          <w:tcPr/>
          <w:p>
            <w:pPr>
              <w:pStyle w:val="Compact"/>
            </w:pPr>
          </w:p>
        </w:tc>
      </w:tr>
      <w:tr>
        <w:tc>
          <w:tcPr/>
          <w:p>
            <w:pPr>
              <w:pStyle w:val="Compact"/>
            </w:pPr>
            <w:r>
              <w:t xml:space="preserve">☐</w:t>
            </w:r>
          </w:p>
        </w:tc>
        <w:tc>
          <w:tcPr/>
          <w:p>
            <w:pPr>
              <w:pStyle w:val="Compact"/>
            </w:pPr>
            <w:r>
              <w:t xml:space="preserve">PET-CT</w:t>
            </w:r>
          </w:p>
        </w:tc>
        <w:tc>
          <w:tcPr/>
          <w:p>
            <w:pPr>
              <w:pStyle w:val="Compact"/>
            </w:pPr>
          </w:p>
        </w:tc>
        <w:tc>
          <w:tcPr/>
          <w:p>
            <w:pPr>
              <w:pStyle w:val="Compact"/>
            </w:pPr>
          </w:p>
        </w:tc>
        <w:tc>
          <w:tcPr/>
          <w:p>
            <w:pPr>
              <w:pStyle w:val="Compact"/>
            </w:pPr>
          </w:p>
        </w:tc>
      </w:tr>
      <w:tr>
        <w:tc>
          <w:tcPr/>
          <w:p>
            <w:pPr>
              <w:pStyle w:val="Compact"/>
            </w:pPr>
            <w:r>
              <w:t xml:space="preserve">☐</w:t>
            </w:r>
          </w:p>
        </w:tc>
        <w:tc>
          <w:tcPr/>
          <w:p>
            <w:pPr>
              <w:pStyle w:val="Compact"/>
            </w:pPr>
            <w:r>
              <w:t xml:space="preserve">Other Services</w:t>
            </w:r>
          </w:p>
        </w:tc>
        <w:tc>
          <w:tcPr/>
          <w:p>
            <w:pPr>
              <w:pStyle w:val="Compact"/>
            </w:pPr>
          </w:p>
        </w:tc>
        <w:tc>
          <w:tcPr/>
          <w:p>
            <w:pPr>
              <w:pStyle w:val="Compact"/>
            </w:pPr>
          </w:p>
        </w:tc>
        <w:tc>
          <w:tcPr/>
          <w:p>
            <w:pPr>
              <w:pStyle w:val="Compact"/>
            </w:pPr>
          </w:p>
        </w:tc>
      </w:tr>
    </w:tbl>
    <w:bookmarkStart w:id="42" w:name="declaration"/>
    <w:p>
      <w:pPr>
        <w:pStyle w:val="Heading3"/>
      </w:pPr>
      <w:r>
        <w:t xml:space="preserve">Declaration</w:t>
      </w:r>
    </w:p>
    <w:p>
      <w:pPr>
        <w:pStyle w:val="FirstParagraph"/>
      </w:pPr>
      <w:r>
        <w:t xml:space="preserve">The Diagnostic Center confirms that it possesses the necessary infrastructure, qualified personnel, licenses, statutory approvals, and equipment to provide the selected services in accordance with applicable laws and quality standards.</w:t>
      </w:r>
    </w:p>
    <w:p>
      <w:pPr>
        <w:pStyle w:val="BodyText"/>
      </w:pPr>
      <w:r>
        <w:rPr>
          <w:b/>
          <w:bCs/>
        </w:rPr>
        <w:t xml:space="preserve">Authorized Signatory – CALL MEDEX</w:t>
      </w:r>
    </w:p>
    <w:p>
      <w:pPr>
        <w:pStyle w:val="BodyText"/>
      </w:pPr>
      <w:r>
        <w:t xml:space="preserve">Name: _______________________</w:t>
      </w:r>
    </w:p>
    <w:p>
      <w:pPr>
        <w:pStyle w:val="BodyText"/>
      </w:pPr>
      <w:r>
        <w:t xml:space="preserve">Signature: ___________________</w:t>
      </w:r>
    </w:p>
    <w:p>
      <w:pPr>
        <w:pStyle w:val="BodyText"/>
      </w:pPr>
      <w:r>
        <w:t xml:space="preserve">Date: _______________________</w:t>
      </w:r>
    </w:p>
    <w:p>
      <w:pPr>
        <w:pStyle w:val="BodyText"/>
      </w:pPr>
      <w:r>
        <w:rPr>
          <w:b/>
          <w:bCs/>
        </w:rPr>
        <w:t xml:space="preserve">Authorized Signatory – Diagnostic Center</w:t>
      </w:r>
    </w:p>
    <w:p>
      <w:pPr>
        <w:pStyle w:val="BodyText"/>
      </w:pPr>
      <w:r>
        <w:t xml:space="preserve">Name: _______________________</w:t>
      </w:r>
    </w:p>
    <w:p>
      <w:pPr>
        <w:pStyle w:val="BodyText"/>
      </w:pPr>
      <w:r>
        <w:t xml:space="preserve">Signature: ___________________</w:t>
      </w:r>
    </w:p>
    <w:p>
      <w:pPr>
        <w:pStyle w:val="BodyText"/>
      </w:pPr>
      <w:r>
        <w:t xml:space="preserve">Date: _______________________</w:t>
      </w:r>
    </w:p>
    <w:bookmarkEnd w:id="42"/>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