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left="720" w:hanging="360"/>
        <w:jc w:val="center"/>
        <w:rPr>
          <w:color w:val="5b9bd5"/>
          <w:sz w:val="36"/>
          <w:szCs w:val="36"/>
          <w:u w:val="single"/>
        </w:rPr>
      </w:pPr>
      <w:r w:rsidDel="00000000" w:rsidR="00000000" w:rsidRPr="00000000">
        <w:rPr>
          <w:color w:val="5b9bd5"/>
          <w:sz w:val="36"/>
          <w:szCs w:val="36"/>
          <w:u w:val="single"/>
          <w:rtl w:val="0"/>
        </w:rPr>
        <w:t xml:space="preserve">Day 3</w:t>
      </w:r>
    </w:p>
    <w:p w:rsidR="00000000" w:rsidDel="00000000" w:rsidP="00000000" w:rsidRDefault="00000000" w:rsidRPr="00000000" w14:paraId="00000002">
      <w:pPr>
        <w:spacing w:after="160" w:line="259" w:lineRule="auto"/>
        <w:ind w:left="720" w:hanging="36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6.0" w:type="dxa"/>
        <w:jc w:val="left"/>
        <w:tblLayout w:type="fixed"/>
        <w:tblLook w:val="0400"/>
      </w:tblPr>
      <w:tblGrid>
        <w:gridCol w:w="9586"/>
        <w:tblGridChange w:id="0">
          <w:tblGrid>
            <w:gridCol w:w="9586"/>
          </w:tblGrid>
        </w:tblGridChange>
      </w:tblGrid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3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 the sub-category whose profit value is least (lowest) in the year 2022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