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jc w:val="center"/>
      </w:pPr>
      <w:r>
        <w:rPr>
          <w:sz w:val="24"/>
          <w:szCs w:val="24"/>
        </w:rPr>
        <w:t xml:space="preserve"/>
      </w:r>
    </w:p>
    <w:p>
      <w:pPr>
        <w:spacing w:after="80"/>
        <w:jc w:val="center"/>
      </w:pPr>
      <w:r>
        <w:rPr>
          <w:b/>
          <w:bCs/>
          <w:color w:val="1A56DB"/>
          <w:sz w:val="52"/>
          <w:szCs w:val="52"/>
        </w:rPr>
        <w:t xml:space="preserve">Autonomous Incident Classifier &amp;</w:t>
      </w:r>
    </w:p>
    <w:p>
      <w:pPr>
        <w:spacing w:after="400"/>
        <w:jc w:val="center"/>
      </w:pPr>
      <w:r>
        <w:rPr>
          <w:b/>
          <w:bCs/>
          <w:color w:val="1A56DB"/>
          <w:sz w:val="52"/>
          <w:szCs w:val="52"/>
        </w:rPr>
        <w:t xml:space="preserve">Dynamic Taxonomy Miner</w:t>
      </w:r>
    </w:p>
    <w:p>
      <w:pPr>
        <w:spacing w:after="600"/>
        <w:jc w:val="center"/>
      </w:pPr>
      <w:r>
        <w:rPr>
          <w:i/>
          <w:iCs/>
          <w:color w:val="6B7280"/>
          <w:sz w:val="28"/>
          <w:szCs w:val="28"/>
        </w:rPr>
        <w:t xml:space="preserve">Project Description &amp; Functionality Reference</w:t>
      </w:r>
    </w:p>
    <w:p>
      <w:pPr>
        <w:pBdr>
          <w:bottom w:val="single" w:color="CBD5E1" w:sz="6"/>
        </w:pBdr>
        <w:spacing w:after="200"/>
      </w:pPr>
    </w:p>
    <w:p>
      <w:pPr>
        <w:spacing w:after="240"/>
      </w:pPr>
    </w:p>
    <w:p>
      <w:pPr>
        <w:spacing w:after="120"/>
        <w:jc w:val="center"/>
      </w:pPr>
      <w:r>
        <w:rPr>
          <w:color w:val="6B7280"/>
          <w:sz w:val="22"/>
          <w:szCs w:val="22"/>
        </w:rPr>
        <w:t xml:space="preserve">Version 1.0  |  October 2026</w:t>
      </w:r>
    </w:p>
    <w:p>
      <w:pPr>
        <w:spacing w:after="120"/>
        <w:jc w:val="center"/>
      </w:pPr>
      <w:r>
        <w:rPr>
          <w:color w:val="6B7280"/>
          <w:sz w:val="22"/>
          <w:szCs w:val="22"/>
        </w:rPr>
        <w:t xml:space="preserve">Build with Gemini — Incident Analysis</w:t>
      </w:r>
    </w:p>
    <w:p>
      <w:r>
        <w:br w:type="page"/>
      </w:r>
    </w:p>
    <w:p>
      <w:pPr>
        <w:pStyle w:val="Heading1"/>
        <w:spacing w:after="160" w:before="400"/>
      </w:pPr>
      <w:r>
        <w:rPr>
          <w:b/>
          <w:bCs/>
          <w:color w:val="1A56DB"/>
          <w:sz w:val="36"/>
          <w:szCs w:val="36"/>
        </w:rPr>
        <w:t xml:space="preserve">1. Executive Summary</w:t>
      </w:r>
    </w:p>
    <w:p>
      <w:pPr>
        <w:spacing w:after="120"/>
      </w:pPr>
      <w:r>
        <w:rPr>
          <w:color w:val="111827"/>
          <w:sz w:val="22"/>
          <w:szCs w:val="22"/>
        </w:rPr>
        <w:t xml:space="preserve">The Autonomous Incident Classifier &amp; Dynamic Taxonomy Miner is a production-grade Site Reliability Engineering (SRE) platform that automatically classifies infrastructure incidents, mines failure patterns, and builds an evolving knowledge base for engineering teams.</w:t>
      </w:r>
    </w:p>
    <w:p>
      <w:pPr>
        <w:spacing w:after="120"/>
      </w:pPr>
      <w:r>
        <w:rPr>
          <w:color w:val="111827"/>
          <w:sz w:val="22"/>
          <w:szCs w:val="22"/>
        </w:rPr>
        <w:t xml:space="preserve">As modern systems grow more heterogeneous — spanning Kubernetes, Kafka, PostgreSQL, Redis, Envoy, AWS, and more — incident analysis becomes increasingly complex. This platform provides a unified AI-powered interface that eliminates manual triage effort, surfaces actionable remediation guidance, and continuously learns from each new incident.</w:t>
      </w:r>
    </w:p>
    <w:p>
      <w:pPr>
        <w:spacing w:after="120"/>
      </w:pPr>
    </w:p>
    <w:p>
      <w:pPr>
        <w:pStyle w:val="Heading2"/>
        <w:spacing w:after="120" w:before="280"/>
      </w:pPr>
      <w:r>
        <w:rPr>
          <w:b/>
          <w:bCs/>
          <w:color w:val="1A56DB"/>
          <w:sz w:val="28"/>
          <w:szCs w:val="28"/>
        </w:rPr>
        <w:t xml:space="preserve">Key Value Propositions</w:t>
      </w:r>
    </w:p>
    <w:p>
      <w:pPr>
        <w:pStyle w:val="ListParagraph"/>
        <w:numPr>
          <w:ilvl w:val="0"/>
          <w:numId w:val="2"/>
        </w:numPr>
        <w:spacing w:after="80"/>
      </w:pPr>
      <w:r>
        <w:rPr>
          <w:color w:val="111827"/>
          <w:sz w:val="22"/>
          <w:szCs w:val="22"/>
        </w:rPr>
        <w:t xml:space="preserve">Automatic multi-technology incident classification using state-of-the-art LLMs</w:t>
      </w:r>
    </w:p>
    <w:p>
      <w:pPr>
        <w:pStyle w:val="ListParagraph"/>
        <w:numPr>
          <w:ilvl w:val="0"/>
          <w:numId w:val="2"/>
        </w:numPr>
        <w:spacing w:after="80"/>
      </w:pPr>
      <w:r>
        <w:rPr>
          <w:color w:val="111827"/>
          <w:sz w:val="22"/>
          <w:szCs w:val="22"/>
        </w:rPr>
        <w:t xml:space="preserve">Self-evolving 4-tier taxonomy tree that learns failure patterns over time</w:t>
      </w:r>
    </w:p>
    <w:p>
      <w:pPr>
        <w:pStyle w:val="ListParagraph"/>
        <w:numPr>
          <w:ilvl w:val="0"/>
          <w:numId w:val="2"/>
        </w:numPr>
        <w:spacing w:after="80"/>
      </w:pPr>
      <w:r>
        <w:rPr>
          <w:color w:val="111827"/>
          <w:sz w:val="22"/>
          <w:szCs w:val="22"/>
        </w:rPr>
        <w:t xml:space="preserve">Pluggable AI backends — Google Gemini, Anthropic Claude, or OpenAI GPT-4o</w:t>
      </w:r>
    </w:p>
    <w:p>
      <w:pPr>
        <w:pStyle w:val="ListParagraph"/>
        <w:numPr>
          <w:ilvl w:val="0"/>
          <w:numId w:val="2"/>
        </w:numPr>
        <w:spacing w:after="80"/>
      </w:pPr>
      <w:r>
        <w:rPr>
          <w:color w:val="111827"/>
          <w:sz w:val="22"/>
          <w:szCs w:val="22"/>
        </w:rPr>
        <w:t xml:space="preserve">Enterprise-ready: multi-tenant projects, cloud storage, Docker deployment</w:t>
      </w:r>
    </w:p>
    <w:p>
      <w:pPr>
        <w:pStyle w:val="ListParagraph"/>
        <w:numPr>
          <w:ilvl w:val="0"/>
          <w:numId w:val="2"/>
        </w:numPr>
        <w:spacing w:after="80"/>
      </w:pPr>
      <w:r>
        <w:rPr>
          <w:color w:val="111827"/>
          <w:sz w:val="22"/>
          <w:szCs w:val="22"/>
        </w:rPr>
        <w:t xml:space="preserve">SRE tooling built-in: runbooks, post-mortem generation, and external status checks</w:t>
      </w:r>
    </w:p>
    <w:p>
      <w:pPr>
        <w:pStyle w:val="ListParagraph"/>
        <w:numPr>
          <w:ilvl w:val="0"/>
          <w:numId w:val="2"/>
        </w:numPr>
        <w:spacing w:after="80"/>
      </w:pPr>
      <w:r>
        <w:rPr>
          <w:color w:val="111827"/>
          <w:sz w:val="22"/>
          <w:szCs w:val="22"/>
        </w:rPr>
        <w:t xml:space="preserve">Zero-configuration local mode for rapid evaluation — no cloud account required</w:t>
      </w:r>
    </w:p>
    <w:p>
      <w:pPr>
        <w:spacing w:after="120"/>
      </w:pPr>
    </w:p>
    <w:p>
      <w:r>
        <w:br w:type="page"/>
      </w:r>
    </w:p>
    <w:p>
      <w:pPr>
        <w:pStyle w:val="Heading1"/>
        <w:spacing w:after="160" w:before="400"/>
      </w:pPr>
      <w:r>
        <w:rPr>
          <w:b/>
          <w:bCs/>
          <w:color w:val="1A56DB"/>
          <w:sz w:val="36"/>
          <w:szCs w:val="36"/>
        </w:rPr>
        <w:t xml:space="preserve">2. Project Overview</w:t>
      </w:r>
    </w:p>
    <w:p>
      <w:pPr>
        <w:spacing w:after="120"/>
      </w:pPr>
      <w:r>
        <w:rPr>
          <w:color w:val="111827"/>
          <w:sz w:val="22"/>
          <w:szCs w:val="22"/>
        </w:rPr>
        <w:t xml:space="preserve">The project exposes two complementary application surfaces tailored to different consumption patterns:</w:t>
      </w:r>
    </w:p>
    <w:p>
      <w:pPr>
        <w:spacing w:after="120"/>
      </w:pPr>
    </w:p>
    <w:p>
      <w:pPr>
        <w:pStyle w:val="Heading2"/>
        <w:spacing w:after="120" w:before="280"/>
      </w:pPr>
      <w:r>
        <w:rPr>
          <w:b/>
          <w:bCs/>
          <w:color w:val="1A56DB"/>
          <w:sz w:val="28"/>
          <w:szCs w:val="28"/>
        </w:rPr>
        <w:t xml:space="preserve">2.1 FastAPI Web Application</w:t>
      </w:r>
    </w:p>
    <w:p>
      <w:pPr>
        <w:spacing w:after="120"/>
      </w:pPr>
      <w:r>
        <w:rPr>
          <w:color w:val="111827"/>
          <w:sz w:val="22"/>
          <w:szCs w:val="22"/>
        </w:rPr>
        <w:t xml:space="preserve">A self-contained REST API combined with a single-page web dashboard. Teams can interact through a browser-based UI or integrate via REST calls from CI/CD pipelines, alerting systems, or custom tooling. It runs standalone via Uvicorn and is containerized with Docker.</w:t>
      </w:r>
    </w:p>
    <w:p>
      <w:pPr>
        <w:spacing w:after="120"/>
      </w:pPr>
    </w:p>
    <w:p>
      <w:pPr>
        <w:pStyle w:val="Heading2"/>
        <w:spacing w:after="120" w:before="280"/>
      </w:pPr>
      <w:r>
        <w:rPr>
          <w:b/>
          <w:bCs/>
          <w:color w:val="1A56DB"/>
          <w:sz w:val="28"/>
          <w:szCs w:val="28"/>
        </w:rPr>
        <w:t xml:space="preserve">2.2 Google ADK Conversational Agent</w:t>
      </w:r>
    </w:p>
    <w:p>
      <w:pPr>
        <w:spacing w:after="120"/>
      </w:pPr>
      <w:r>
        <w:rPr>
          <w:color w:val="111827"/>
          <w:sz w:val="22"/>
          <w:szCs w:val="22"/>
        </w:rPr>
        <w:t xml:space="preserve">A Google Agent Development Kit (ADK) agent deployed to Vertex AI Reasoning Engines, allowing engineering teams to interact via natural-language conversation. A lightweight frontend proxy bridges the browser to the deployed cloud agent over JSON-RPC 2.0.</w:t>
      </w:r>
    </w:p>
    <w:p>
      <w:pPr>
        <w:spacing w:after="120"/>
      </w:pPr>
    </w:p>
    <w:p>
      <w:r>
        <w:br w:type="page"/>
      </w:r>
    </w:p>
    <w:p>
      <w:pPr>
        <w:pStyle w:val="Heading1"/>
        <w:spacing w:after="160" w:before="400"/>
      </w:pPr>
      <w:r>
        <w:rPr>
          <w:b/>
          <w:bCs/>
          <w:color w:val="1A56DB"/>
          <w:sz w:val="36"/>
          <w:szCs w:val="36"/>
        </w:rPr>
        <w:t xml:space="preserve">3. Core Functionalities</w:t>
      </w:r>
    </w:p>
    <w:p>
      <w:pPr>
        <w:spacing w:after="120"/>
      </w:pPr>
      <w:r>
        <w:rPr>
          <w:color w:val="111827"/>
          <w:sz w:val="22"/>
          <w:szCs w:val="22"/>
        </w:rPr>
        <w:t xml:space="preserve">The following sections describe each major functionality in detail, including its purpose, key behaviors, and technical implementation.</w:t>
      </w:r>
    </w:p>
    <w:p>
      <w:pPr>
        <w:spacing w:after="120"/>
      </w:pPr>
    </w:p>
    <w:p>
      <w:pPr>
        <w:pStyle w:val="Heading2"/>
        <w:spacing w:after="120" w:before="280"/>
      </w:pPr>
      <w:r>
        <w:rPr>
          <w:b/>
          <w:bCs/>
          <w:color w:val="1A56DB"/>
          <w:sz w:val="28"/>
          <w:szCs w:val="28"/>
        </w:rPr>
        <w:t xml:space="preserve">3.1  Multi-Technology Incident Classification</w:t>
      </w:r>
    </w:p>
    <w:p>
      <w:pPr>
        <w:spacing w:after="120"/>
      </w:pPr>
      <w:r>
        <w:rPr>
          <w:color w:val="111827"/>
          <w:sz w:val="22"/>
          <w:szCs w:val="22"/>
        </w:rPr>
        <w:t xml:space="preserve">The classification engine is the heart of the platform. When an incident description is submitted — either through the dashboard, API, or batch file — the system sends it to an LLM and extracts a structured TechStackSignature object with the following fields:</w:t>
      </w:r>
    </w:p>
    <w:p>
      <w:pPr>
        <w:spacing w:after="12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000"/>
        <w:gridCol w:w="6480"/>
      </w:tblGrid>
      <w:tr>
        <w:tc>
          <w:tcPr>
            <w:tcW w:type="dxa" w:w="3000"/>
            <w:shd w:fill="1A56DB" w:val="clear"/>
          </w:tcPr>
          <w:p>
            <w:pPr>
              <w:spacing w:after="60" w:before="60"/>
            </w:pPr>
            <w:r>
              <w:rPr>
                <w:b/>
                <w:bCs/>
                <w:color w:val="FFFFFF"/>
                <w:sz w:val="20"/>
                <w:szCs w:val="20"/>
              </w:rPr>
              <w:t xml:space="preserve">Field</w:t>
            </w:r>
          </w:p>
        </w:tc>
        <w:tc>
          <w:tcPr>
            <w:tcW w:type="dxa" w:w="6480"/>
            <w:shd w:fill="1A56DB" w:val="clear"/>
          </w:tcPr>
          <w:p>
            <w:pPr>
              <w:spacing w:after="60" w:before="60"/>
            </w:pPr>
            <w:r>
              <w:rPr>
                <w:b/>
                <w:bCs/>
                <w:color w:val="FFFFFF"/>
                <w:sz w:val="20"/>
                <w:szCs w:val="20"/>
              </w:rPr>
              <w:t xml:space="preserve">Description</w:t>
            </w:r>
          </w:p>
        </w:tc>
      </w:tr>
      <w:tr>
        <w:tc>
          <w:tcPr>
            <w:tcW w:type="dxa" w:w="3000"/>
            <w:shd w:fill="FFFFFF" w:val="clear"/>
            <w:vAlign w:val="top"/>
          </w:tcPr>
          <w:p>
            <w:pPr>
              <w:spacing w:after="60" w:before="60"/>
            </w:pPr>
            <w:r>
              <w:rPr>
                <w:b/>
                <w:bCs/>
                <w:color w:val="111827"/>
                <w:sz w:val="20"/>
                <w:szCs w:val="20"/>
              </w:rPr>
              <w:t xml:space="preserve">technologies</w:t>
            </w:r>
          </w:p>
        </w:tc>
        <w:tc>
          <w:tcPr>
            <w:tcW w:type="dxa" w:w="6480"/>
            <w:shd w:fill="FFFFFF" w:val="clear"/>
            <w:vAlign w:val="top"/>
          </w:tcPr>
          <w:p>
            <w:pPr>
              <w:spacing w:after="60" w:before="60"/>
            </w:pPr>
            <w:r>
              <w:rPr>
                <w:b w:val="false"/>
                <w:bCs w:val="false"/>
                <w:color w:val="111827"/>
                <w:sz w:val="20"/>
                <w:szCs w:val="20"/>
              </w:rPr>
              <w:t xml:space="preserve">All detected technology stack components (e.g., Kubernetes, Redis)</w:t>
            </w:r>
          </w:p>
        </w:tc>
      </w:tr>
      <w:tr>
        <w:tc>
          <w:tcPr>
            <w:tcW w:type="dxa" w:w="3000"/>
            <w:shd w:fill="EFF6FF" w:val="clear"/>
            <w:vAlign w:val="top"/>
          </w:tcPr>
          <w:p>
            <w:pPr>
              <w:spacing w:after="60" w:before="60"/>
            </w:pPr>
            <w:r>
              <w:rPr>
                <w:b/>
                <w:bCs/>
                <w:color w:val="111827"/>
                <w:sz w:val="20"/>
                <w:szCs w:val="20"/>
              </w:rPr>
              <w:t xml:space="preserve">primary_technology</w:t>
            </w:r>
          </w:p>
        </w:tc>
        <w:tc>
          <w:tcPr>
            <w:tcW w:type="dxa" w:w="6480"/>
            <w:shd w:fill="EFF6FF" w:val="clear"/>
            <w:vAlign w:val="top"/>
          </w:tcPr>
          <w:p>
            <w:pPr>
              <w:spacing w:after="60" w:before="60"/>
            </w:pPr>
            <w:r>
              <w:rPr>
                <w:b w:val="false"/>
                <w:bCs w:val="false"/>
                <w:color w:val="111827"/>
                <w:sz w:val="20"/>
                <w:szCs w:val="20"/>
              </w:rPr>
              <w:t xml:space="preserve">The root technology most responsible for the failure</w:t>
            </w:r>
          </w:p>
        </w:tc>
      </w:tr>
      <w:tr>
        <w:tc>
          <w:tcPr>
            <w:tcW w:type="dxa" w:w="3000"/>
            <w:shd w:fill="FFFFFF" w:val="clear"/>
            <w:vAlign w:val="top"/>
          </w:tcPr>
          <w:p>
            <w:pPr>
              <w:spacing w:after="60" w:before="60"/>
            </w:pPr>
            <w:r>
              <w:rPr>
                <w:b/>
                <w:bCs/>
                <w:color w:val="111827"/>
                <w:sz w:val="20"/>
                <w:szCs w:val="20"/>
              </w:rPr>
              <w:t xml:space="preserve">component</w:t>
            </w:r>
          </w:p>
        </w:tc>
        <w:tc>
          <w:tcPr>
            <w:tcW w:type="dxa" w:w="6480"/>
            <w:shd w:fill="FFFFFF" w:val="clear"/>
            <w:vAlign w:val="top"/>
          </w:tcPr>
          <w:p>
            <w:pPr>
              <w:spacing w:after="60" w:before="60"/>
            </w:pPr>
            <w:r>
              <w:rPr>
                <w:b w:val="false"/>
                <w:bCs w:val="false"/>
                <w:color w:val="111827"/>
                <w:sz w:val="20"/>
                <w:szCs w:val="20"/>
              </w:rPr>
              <w:t xml:space="preserve">Specific subsystem or component at fault (e.g., kubelet, pgbouncer)</w:t>
            </w:r>
          </w:p>
        </w:tc>
      </w:tr>
      <w:tr>
        <w:tc>
          <w:tcPr>
            <w:tcW w:type="dxa" w:w="3000"/>
            <w:shd w:fill="EFF6FF" w:val="clear"/>
            <w:vAlign w:val="top"/>
          </w:tcPr>
          <w:p>
            <w:pPr>
              <w:spacing w:after="60" w:before="60"/>
            </w:pPr>
            <w:r>
              <w:rPr>
                <w:b/>
                <w:bCs/>
                <w:color w:val="111827"/>
                <w:sz w:val="20"/>
                <w:szCs w:val="20"/>
              </w:rPr>
              <w:t xml:space="preserve">failure_mechanism</w:t>
            </w:r>
          </w:p>
        </w:tc>
        <w:tc>
          <w:tcPr>
            <w:tcW w:type="dxa" w:w="6480"/>
            <w:shd w:fill="EFF6FF" w:val="clear"/>
            <w:vAlign w:val="top"/>
          </w:tcPr>
          <w:p>
            <w:pPr>
              <w:spacing w:after="60" w:before="60"/>
            </w:pPr>
            <w:r>
              <w:rPr>
                <w:b w:val="false"/>
                <w:bCs w:val="false"/>
                <w:color w:val="111827"/>
                <w:sz w:val="20"/>
                <w:szCs w:val="20"/>
              </w:rPr>
              <w:t xml:space="preserve">The technical failure mode (e.g., OOMKilled, connection pool exhaustion)</w:t>
            </w:r>
          </w:p>
        </w:tc>
      </w:tr>
      <w:tr>
        <w:tc>
          <w:tcPr>
            <w:tcW w:type="dxa" w:w="3000"/>
            <w:shd w:fill="FFFFFF" w:val="clear"/>
            <w:vAlign w:val="top"/>
          </w:tcPr>
          <w:p>
            <w:pPr>
              <w:spacing w:after="60" w:before="60"/>
            </w:pPr>
            <w:r>
              <w:rPr>
                <w:b/>
                <w:bCs/>
                <w:color w:val="111827"/>
                <w:sz w:val="20"/>
                <w:szCs w:val="20"/>
              </w:rPr>
              <w:t xml:space="preserve">root_cause_domain</w:t>
            </w:r>
          </w:p>
        </w:tc>
        <w:tc>
          <w:tcPr>
            <w:tcW w:type="dxa" w:w="6480"/>
            <w:shd w:fill="FFFFFF" w:val="clear"/>
            <w:vAlign w:val="top"/>
          </w:tcPr>
          <w:p>
            <w:pPr>
              <w:spacing w:after="60" w:before="60"/>
            </w:pPr>
            <w:r>
              <w:rPr>
                <w:b w:val="false"/>
                <w:bCs w:val="false"/>
                <w:color w:val="111827"/>
                <w:sz w:val="20"/>
                <w:szCs w:val="20"/>
              </w:rPr>
              <w:t xml:space="preserve">High-level domain: resource_exhaustion, network_failure, configuration, etc.</w:t>
            </w:r>
          </w:p>
        </w:tc>
      </w:tr>
      <w:tr>
        <w:tc>
          <w:tcPr>
            <w:tcW w:type="dxa" w:w="3000"/>
            <w:shd w:fill="EFF6FF" w:val="clear"/>
            <w:vAlign w:val="top"/>
          </w:tcPr>
          <w:p>
            <w:pPr>
              <w:spacing w:after="60" w:before="60"/>
            </w:pPr>
            <w:r>
              <w:rPr>
                <w:b/>
                <w:bCs/>
                <w:color w:val="111827"/>
                <w:sz w:val="20"/>
                <w:szCs w:val="20"/>
              </w:rPr>
              <w:t xml:space="preserve">resolution_pattern</w:t>
            </w:r>
          </w:p>
        </w:tc>
        <w:tc>
          <w:tcPr>
            <w:tcW w:type="dxa" w:w="6480"/>
            <w:shd w:fill="EFF6FF" w:val="clear"/>
            <w:vAlign w:val="top"/>
          </w:tcPr>
          <w:p>
            <w:pPr>
              <w:spacing w:after="60" w:before="60"/>
            </w:pPr>
            <w:r>
              <w:rPr>
                <w:b w:val="false"/>
                <w:bCs w:val="false"/>
                <w:color w:val="111827"/>
                <w:sz w:val="20"/>
                <w:szCs w:val="20"/>
              </w:rPr>
              <w:t xml:space="preserve">The remediation class applied: scaling, restart, config_change, etc.</w:t>
            </w:r>
          </w:p>
        </w:tc>
      </w:tr>
      <w:tr>
        <w:tc>
          <w:tcPr>
            <w:tcW w:type="dxa" w:w="3000"/>
            <w:shd w:fill="FFFFFF" w:val="clear"/>
            <w:vAlign w:val="top"/>
          </w:tcPr>
          <w:p>
            <w:pPr>
              <w:spacing w:after="60" w:before="60"/>
            </w:pPr>
            <w:r>
              <w:rPr>
                <w:b/>
                <w:bCs/>
                <w:color w:val="111827"/>
                <w:sz w:val="20"/>
                <w:szCs w:val="20"/>
              </w:rPr>
              <w:t xml:space="preserve">confidence</w:t>
            </w:r>
          </w:p>
        </w:tc>
        <w:tc>
          <w:tcPr>
            <w:tcW w:type="dxa" w:w="6480"/>
            <w:shd w:fill="FFFFFF" w:val="clear"/>
            <w:vAlign w:val="top"/>
          </w:tcPr>
          <w:p>
            <w:pPr>
              <w:spacing w:after="60" w:before="60"/>
            </w:pPr>
            <w:r>
              <w:rPr>
                <w:b w:val="false"/>
                <w:bCs w:val="false"/>
                <w:color w:val="111827"/>
                <w:sz w:val="20"/>
                <w:szCs w:val="20"/>
              </w:rPr>
              <w:t xml:space="preserve">LLM confidence score from 0.0 to 1.0</w:t>
            </w:r>
          </w:p>
        </w:tc>
      </w:tr>
      <w:tr>
        <w:tc>
          <w:tcPr>
            <w:tcW w:type="dxa" w:w="3000"/>
            <w:shd w:fill="EFF6FF" w:val="clear"/>
            <w:vAlign w:val="top"/>
          </w:tcPr>
          <w:p>
            <w:pPr>
              <w:spacing w:after="60" w:before="60"/>
            </w:pPr>
            <w:r>
              <w:rPr>
                <w:b/>
                <w:bCs/>
                <w:color w:val="111827"/>
                <w:sz w:val="20"/>
                <w:szCs w:val="20"/>
              </w:rPr>
              <w:t xml:space="preserve">summary_insight</w:t>
            </w:r>
          </w:p>
        </w:tc>
        <w:tc>
          <w:tcPr>
            <w:tcW w:type="dxa" w:w="6480"/>
            <w:shd w:fill="EFF6FF" w:val="clear"/>
            <w:vAlign w:val="top"/>
          </w:tcPr>
          <w:p>
            <w:pPr>
              <w:spacing w:after="60" w:before="60"/>
            </w:pPr>
            <w:r>
              <w:rPr>
                <w:b w:val="false"/>
                <w:bCs w:val="false"/>
                <w:color w:val="111827"/>
                <w:sz w:val="20"/>
                <w:szCs w:val="20"/>
              </w:rPr>
              <w:t xml:space="preserve">Human-readable one-sentence diagnostic summary</w:t>
            </w:r>
          </w:p>
        </w:tc>
      </w:tr>
    </w:tbl>
    <w:p>
      <w:pPr>
        <w:spacing w:after="160"/>
        <w:jc w:val="center"/>
      </w:pPr>
      <w:r>
        <w:rPr>
          <w:i/>
          <w:iCs/>
          <w:color w:val="6B7280"/>
          <w:sz w:val="18"/>
          <w:szCs w:val="18"/>
        </w:rPr>
        <w:t xml:space="preserve">Table 1 — TechStackSignature output fields</w:t>
      </w:r>
    </w:p>
    <w:p>
      <w:pPr>
        <w:spacing w:after="120"/>
      </w:pPr>
    </w:p>
    <w:p>
      <w:pPr>
        <w:spacing w:after="120"/>
      </w:pPr>
      <w:r>
        <w:rPr>
          <w:color w:val="111827"/>
          <w:sz w:val="22"/>
          <w:szCs w:val="22"/>
        </w:rPr>
        <w:t xml:space="preserve">When no API key is configured, the system automatically falls back to a deterministic rule-based heuristic extractor that covers eight major technology families: Kubernetes, PostgreSQL/PgBouncer, Kafka, Redis, Envoy, AWS IAM/S3, Elasticsearch, RabbitMQ, and Docker.</w:t>
      </w:r>
    </w:p>
    <w:p>
      <w:pPr>
        <w:spacing w:after="120"/>
      </w:pPr>
    </w:p>
    <w:p>
      <w:pPr>
        <w:pStyle w:val="Heading2"/>
        <w:spacing w:after="120" w:before="280"/>
      </w:pPr>
      <w:r>
        <w:rPr>
          <w:b/>
          <w:bCs/>
          <w:color w:val="1A56DB"/>
          <w:sz w:val="28"/>
          <w:szCs w:val="28"/>
        </w:rPr>
        <w:t xml:space="preserve">3.2  Dynamic Hierarchical Taxonomy</w:t>
      </w:r>
    </w:p>
    <w:p>
      <w:pPr>
        <w:spacing w:after="120"/>
      </w:pPr>
      <w:r>
        <w:rPr>
          <w:color w:val="111827"/>
          <w:sz w:val="22"/>
          <w:szCs w:val="22"/>
        </w:rPr>
        <w:t xml:space="preserve">Rather than relying on a static category list, the platform builds and evolves a living 4-tier taxonomy tree with every incident processed:</w:t>
      </w:r>
    </w:p>
    <w:p>
      <w:pPr>
        <w:spacing w:after="120"/>
      </w:pPr>
    </w:p>
    <w:p>
      <w:pPr>
        <w:spacing w:after="160"/>
        <w:jc w:val="center"/>
      </w:pPr>
      <w:r>
        <w:rPr>
          <w:rFonts w:ascii="Courier New" w:cs="Courier New" w:eastAsia="Courier New" w:hAnsi="Courier New"/>
          <w:b/>
          <w:bCs/>
          <w:color w:val="1A56DB"/>
          <w:sz w:val="22"/>
          <w:szCs w:val="22"/>
        </w:rPr>
        <w:t xml:space="preserve">Root  →  Domain  →  Technology  →  Component  →  FailureMode</w:t>
      </w:r>
    </w:p>
    <w:p>
      <w:pPr>
        <w:spacing w:after="120"/>
      </w:pPr>
    </w:p>
    <w:p>
      <w:pPr>
        <w:spacing w:after="120"/>
      </w:pPr>
      <w:r>
        <w:rPr>
          <w:color w:val="111827"/>
          <w:sz w:val="22"/>
          <w:szCs w:val="22"/>
        </w:rPr>
        <w:t xml:space="preserve">Key taxonomy capabilities:</w:t>
      </w:r>
    </w:p>
    <w:p>
      <w:pPr>
        <w:pStyle w:val="ListParagraph"/>
        <w:numPr>
          <w:ilvl w:val="0"/>
          <w:numId w:val="2"/>
        </w:numPr>
        <w:spacing w:after="80"/>
      </w:pPr>
      <w:r>
        <w:rPr>
          <w:color w:val="111827"/>
          <w:sz w:val="22"/>
          <w:szCs w:val="22"/>
        </w:rPr>
        <w:t xml:space="preserve">Nodes are auto-created when a new classification introduces an unseen technology or failure mode</w:t>
      </w:r>
    </w:p>
    <w:p>
      <w:pPr>
        <w:pStyle w:val="ListParagraph"/>
        <w:numPr>
          <w:ilvl w:val="0"/>
          <w:numId w:val="2"/>
        </w:numPr>
        <w:spacing w:after="80"/>
      </w:pPr>
      <w:r>
        <w:rPr>
          <w:color w:val="111827"/>
          <w:sz w:val="22"/>
          <w:szCs w:val="22"/>
        </w:rPr>
        <w:t xml:space="preserve">Custom ontologies can be injected in two formats: nested dict or flat list of path tuples</w:t>
      </w:r>
    </w:p>
    <w:p>
      <w:pPr>
        <w:pStyle w:val="ListParagraph"/>
        <w:numPr>
          <w:ilvl w:val="0"/>
          <w:numId w:val="2"/>
        </w:numPr>
        <w:spacing w:after="80"/>
      </w:pPr>
      <w:r>
        <w:rPr>
          <w:color w:val="111827"/>
          <w:sz w:val="22"/>
          <w:szCs w:val="22"/>
        </w:rPr>
        <w:t xml:space="preserve">User-defined nodes are flagged with is_custom=true and displayed with an "Amber Custom" badge in the UI</w:t>
      </w:r>
    </w:p>
    <w:p>
      <w:pPr>
        <w:pStyle w:val="ListParagraph"/>
        <w:numPr>
          <w:ilvl w:val="0"/>
          <w:numId w:val="2"/>
        </w:numPr>
        <w:spacing w:after="80"/>
      </w:pPr>
      <w:r>
        <w:rPr>
          <w:color w:val="111827"/>
          <w:sz w:val="22"/>
          <w:szCs w:val="22"/>
        </w:rPr>
        <w:t xml:space="preserve">The full tree is serialized to JSON and persisted via the configured storage backend</w:t>
      </w:r>
    </w:p>
    <w:p>
      <w:pPr>
        <w:pStyle w:val="ListParagraph"/>
        <w:numPr>
          <w:ilvl w:val="0"/>
          <w:numId w:val="2"/>
        </w:numPr>
        <w:spacing w:after="80"/>
      </w:pPr>
      <w:r>
        <w:rPr>
          <w:color w:val="111827"/>
          <w:sz w:val="22"/>
          <w:szCs w:val="22"/>
        </w:rPr>
        <w:t xml:space="preserve">Analytics queries traverse the tree to produce aggregated breakdowns by domain and technology</w:t>
      </w:r>
    </w:p>
    <w:p>
      <w:pPr>
        <w:spacing w:after="120"/>
      </w:pPr>
    </w:p>
    <w:p>
      <w:pPr>
        <w:pStyle w:val="Heading2"/>
        <w:spacing w:after="120" w:before="280"/>
      </w:pPr>
      <w:r>
        <w:rPr>
          <w:b/>
          <w:bCs/>
          <w:color w:val="1A56DB"/>
          <w:sz w:val="28"/>
          <w:szCs w:val="28"/>
        </w:rPr>
        <w:t xml:space="preserve">3.3  Multi-Provider LLM Backend</w:t>
      </w:r>
    </w:p>
    <w:p>
      <w:pPr>
        <w:spacing w:after="120"/>
      </w:pPr>
      <w:r>
        <w:rPr>
          <w:color w:val="111827"/>
          <w:sz w:val="22"/>
          <w:szCs w:val="22"/>
        </w:rPr>
        <w:t xml:space="preserve">The LLM layer is fully abstracted behind a provider-agnostic interface. The active provider is selected via the LLM_PROVIDER environment variable and can be changed without modifying any application code.</w:t>
      </w:r>
    </w:p>
    <w:p>
      <w:pPr>
        <w:spacing w:after="12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280"/>
      </w:tblGrid>
      <w:tr>
        <w:tc>
          <w:tcPr>
            <w:tcW w:type="dxa" w:w="1800"/>
            <w:shd w:fill="1A56DB" w:val="clear"/>
          </w:tcPr>
          <w:p>
            <w:pPr>
              <w:spacing w:after="60" w:before="60"/>
            </w:pPr>
            <w:r>
              <w:rPr>
                <w:b/>
                <w:bCs/>
                <w:color w:val="FFFFFF"/>
                <w:sz w:val="20"/>
                <w:szCs w:val="20"/>
              </w:rPr>
              <w:t xml:space="preserve">Provider</w:t>
            </w:r>
          </w:p>
        </w:tc>
        <w:tc>
          <w:tcPr>
            <w:tcW w:type="dxa" w:w="2400"/>
            <w:shd w:fill="1A56DB" w:val="clear"/>
          </w:tcPr>
          <w:p>
            <w:pPr>
              <w:spacing w:after="60" w:before="60"/>
            </w:pPr>
            <w:r>
              <w:rPr>
                <w:b/>
                <w:bCs/>
                <w:color w:val="FFFFFF"/>
                <w:sz w:val="20"/>
                <w:szCs w:val="20"/>
              </w:rPr>
              <w:t xml:space="preserve">Default Model</w:t>
            </w:r>
          </w:p>
        </w:tc>
        <w:tc>
          <w:tcPr>
            <w:tcW w:type="dxa" w:w="5280"/>
            <w:shd w:fill="1A56DB" w:val="clear"/>
          </w:tcPr>
          <w:p>
            <w:pPr>
              <w:spacing w:after="60" w:before="60"/>
            </w:pPr>
            <w:r>
              <w:rPr>
                <w:b/>
                <w:bCs/>
                <w:color w:val="FFFFFF"/>
                <w:sz w:val="20"/>
                <w:szCs w:val="20"/>
              </w:rPr>
              <w:t xml:space="preserve">Notes</w:t>
            </w:r>
          </w:p>
        </w:tc>
      </w:tr>
      <w:tr>
        <w:tc>
          <w:tcPr>
            <w:tcW w:type="dxa" w:w="1800"/>
            <w:shd w:fill="FFFFFF" w:val="clear"/>
            <w:vAlign w:val="top"/>
          </w:tcPr>
          <w:p>
            <w:pPr>
              <w:spacing w:after="60" w:before="60"/>
            </w:pPr>
            <w:r>
              <w:rPr>
                <w:b w:val="false"/>
                <w:bCs w:val="false"/>
                <w:color w:val="111827"/>
                <w:sz w:val="20"/>
                <w:szCs w:val="20"/>
              </w:rPr>
              <w:t xml:space="preserve">gemini (default)</w:t>
            </w:r>
          </w:p>
        </w:tc>
        <w:tc>
          <w:tcPr>
            <w:tcW w:type="dxa" w:w="2400"/>
            <w:shd w:fill="FFFFFF" w:val="clear"/>
            <w:vAlign w:val="top"/>
          </w:tcPr>
          <w:p>
            <w:pPr>
              <w:spacing w:after="60" w:before="60"/>
            </w:pPr>
            <w:r>
              <w:rPr>
                <w:b w:val="false"/>
                <w:bCs w:val="false"/>
                <w:color w:val="111827"/>
                <w:sz w:val="20"/>
                <w:szCs w:val="20"/>
              </w:rPr>
              <w:t xml:space="preserve">gemini-2.5-flash</w:t>
            </w:r>
          </w:p>
        </w:tc>
        <w:tc>
          <w:tcPr>
            <w:tcW w:type="dxa" w:w="5280"/>
            <w:shd w:fill="FFFFFF" w:val="clear"/>
            <w:vAlign w:val="top"/>
          </w:tcPr>
          <w:p>
            <w:pPr>
              <w:spacing w:after="60" w:before="60"/>
            </w:pPr>
            <w:r>
              <w:rPr>
                <w:b w:val="false"/>
                <w:bCs w:val="false"/>
                <w:color w:val="111827"/>
                <w:sz w:val="20"/>
                <w:szCs w:val="20"/>
              </w:rPr>
              <w:t xml:space="preserve">Native JSON schema output; uses Google Gemini 2.5 Flash</w:t>
            </w:r>
          </w:p>
        </w:tc>
      </w:tr>
      <w:tr>
        <w:tc>
          <w:tcPr>
            <w:tcW w:type="dxa" w:w="1800"/>
            <w:shd w:fill="EFF6FF" w:val="clear"/>
            <w:vAlign w:val="top"/>
          </w:tcPr>
          <w:p>
            <w:pPr>
              <w:spacing w:after="60" w:before="60"/>
            </w:pPr>
            <w:r>
              <w:rPr>
                <w:b w:val="false"/>
                <w:bCs w:val="false"/>
                <w:color w:val="111827"/>
                <w:sz w:val="20"/>
                <w:szCs w:val="20"/>
              </w:rPr>
              <w:t xml:space="preserve">anthropic</w:t>
            </w:r>
          </w:p>
        </w:tc>
        <w:tc>
          <w:tcPr>
            <w:tcW w:type="dxa" w:w="2400"/>
            <w:shd w:fill="EFF6FF" w:val="clear"/>
            <w:vAlign w:val="top"/>
          </w:tcPr>
          <w:p>
            <w:pPr>
              <w:spacing w:after="60" w:before="60"/>
            </w:pPr>
            <w:r>
              <w:rPr>
                <w:b w:val="false"/>
                <w:bCs w:val="false"/>
                <w:color w:val="111827"/>
                <w:sz w:val="20"/>
                <w:szCs w:val="20"/>
              </w:rPr>
              <w:t xml:space="preserve">claude-opus-5-5</w:t>
            </w:r>
          </w:p>
        </w:tc>
        <w:tc>
          <w:tcPr>
            <w:tcW w:type="dxa" w:w="5280"/>
            <w:shd w:fill="EFF6FF" w:val="clear"/>
            <w:vAlign w:val="top"/>
          </w:tcPr>
          <w:p>
            <w:pPr>
              <w:spacing w:after="60" w:before="60"/>
            </w:pPr>
            <w:r>
              <w:rPr>
                <w:b w:val="false"/>
                <w:bCs w:val="false"/>
                <w:color w:val="111827"/>
                <w:sz w:val="20"/>
                <w:szCs w:val="20"/>
              </w:rPr>
              <w:t xml:space="preserve">Ephemeral prompt caching for batch cost savings (~60-70% token reduction)</w:t>
            </w:r>
          </w:p>
        </w:tc>
      </w:tr>
      <w:tr>
        <w:tc>
          <w:tcPr>
            <w:tcW w:type="dxa" w:w="1800"/>
            <w:shd w:fill="FFFFFF" w:val="clear"/>
            <w:vAlign w:val="top"/>
          </w:tcPr>
          <w:p>
            <w:pPr>
              <w:spacing w:after="60" w:before="60"/>
            </w:pPr>
            <w:r>
              <w:rPr>
                <w:b w:val="false"/>
                <w:bCs w:val="false"/>
                <w:color w:val="111827"/>
                <w:sz w:val="20"/>
                <w:szCs w:val="20"/>
              </w:rPr>
              <w:t xml:space="preserve">openai</w:t>
            </w:r>
          </w:p>
        </w:tc>
        <w:tc>
          <w:tcPr>
            <w:tcW w:type="dxa" w:w="2400"/>
            <w:shd w:fill="FFFFFF" w:val="clear"/>
            <w:vAlign w:val="top"/>
          </w:tcPr>
          <w:p>
            <w:pPr>
              <w:spacing w:after="60" w:before="60"/>
            </w:pPr>
            <w:r>
              <w:rPr>
                <w:b w:val="false"/>
                <w:bCs w:val="false"/>
                <w:color w:val="111827"/>
                <w:sz w:val="20"/>
                <w:szCs w:val="20"/>
              </w:rPr>
              <w:t xml:space="preserve">gpt-4o</w:t>
            </w:r>
          </w:p>
        </w:tc>
        <w:tc>
          <w:tcPr>
            <w:tcW w:type="dxa" w:w="5280"/>
            <w:shd w:fill="FFFFFF" w:val="clear"/>
            <w:vAlign w:val="top"/>
          </w:tcPr>
          <w:p>
            <w:pPr>
              <w:spacing w:after="60" w:before="60"/>
            </w:pPr>
            <w:r>
              <w:rPr>
                <w:b w:val="false"/>
                <w:bCs w:val="false"/>
                <w:color w:val="111827"/>
                <w:sz w:val="20"/>
                <w:szCs w:val="20"/>
              </w:rPr>
              <w:t xml:space="preserve">Strict JSON schema mode; supports Azure OpenAI base URL override</w:t>
            </w:r>
          </w:p>
        </w:tc>
      </w:tr>
      <w:tr>
        <w:tc>
          <w:tcPr>
            <w:tcW w:type="dxa" w:w="1800"/>
            <w:shd w:fill="EFF6FF" w:val="clear"/>
            <w:vAlign w:val="top"/>
          </w:tcPr>
          <w:p>
            <w:pPr>
              <w:spacing w:after="60" w:before="60"/>
            </w:pPr>
            <w:r>
              <w:rPr>
                <w:b w:val="false"/>
                <w:bCs w:val="false"/>
                <w:color w:val="111827"/>
                <w:sz w:val="20"/>
                <w:szCs w:val="20"/>
              </w:rPr>
              <w:t xml:space="preserve">(offline)</w:t>
            </w:r>
          </w:p>
        </w:tc>
        <w:tc>
          <w:tcPr>
            <w:tcW w:type="dxa" w:w="2400"/>
            <w:shd w:fill="EFF6FF" w:val="clear"/>
            <w:vAlign w:val="top"/>
          </w:tcPr>
          <w:p>
            <w:pPr>
              <w:spacing w:after="60" w:before="60"/>
            </w:pPr>
            <w:r>
              <w:rPr>
                <w:b w:val="false"/>
                <w:bCs w:val="false"/>
                <w:color w:val="111827"/>
                <w:sz w:val="20"/>
                <w:szCs w:val="20"/>
              </w:rPr>
              <w:t xml:space="preserve">N/A — rule-based</w:t>
            </w:r>
          </w:p>
        </w:tc>
        <w:tc>
          <w:tcPr>
            <w:tcW w:type="dxa" w:w="5280"/>
            <w:shd w:fill="EFF6FF" w:val="clear"/>
            <w:vAlign w:val="top"/>
          </w:tcPr>
          <w:p>
            <w:pPr>
              <w:spacing w:after="60" w:before="60"/>
            </w:pPr>
            <w:r>
              <w:rPr>
                <w:b w:val="false"/>
                <w:bCs w:val="false"/>
                <w:color w:val="111827"/>
                <w:sz w:val="20"/>
                <w:szCs w:val="20"/>
              </w:rPr>
              <w:t xml:space="preserve">No API key required; deterministic heuristic fallback</w:t>
            </w:r>
          </w:p>
        </w:tc>
      </w:tr>
    </w:tbl>
    <w:p>
      <w:pPr>
        <w:spacing w:after="160"/>
        <w:jc w:val="center"/>
      </w:pPr>
      <w:r>
        <w:rPr>
          <w:i/>
          <w:iCs/>
          <w:color w:val="6B7280"/>
          <w:sz w:val="18"/>
          <w:szCs w:val="18"/>
        </w:rPr>
        <w:t xml:space="preserve">Table 2 — Supported LLM providers</w:t>
      </w:r>
    </w:p>
    <w:p>
      <w:pPr>
        <w:spacing w:after="120"/>
      </w:pPr>
    </w:p>
    <w:p>
      <w:pPr>
        <w:spacing w:after="120"/>
      </w:pPr>
      <w:r>
        <w:rPr>
          <w:color w:val="111827"/>
          <w:sz w:val="22"/>
          <w:szCs w:val="22"/>
        </w:rPr>
        <w:t xml:space="preserve">For Anthropic Claude, the system uses ephemeral prompt caching on the system prompt to reduce token consumption by approximately 60-70% across batch processing runs — a significant cost saving for high-volume incident ingestion.</w:t>
      </w:r>
    </w:p>
    <w:p>
      <w:pPr>
        <w:spacing w:after="120"/>
      </w:pPr>
    </w:p>
    <w:p>
      <w:pPr>
        <w:pStyle w:val="Heading2"/>
        <w:spacing w:after="120" w:before="280"/>
      </w:pPr>
      <w:r>
        <w:rPr>
          <w:b/>
          <w:bCs/>
          <w:color w:val="1A56DB"/>
          <w:sz w:val="28"/>
          <w:szCs w:val="28"/>
        </w:rPr>
        <w:t xml:space="preserve">3.4  Batch Ingestion Pipeline</w:t>
      </w:r>
    </w:p>
    <w:p>
      <w:pPr>
        <w:spacing w:after="120"/>
      </w:pPr>
      <w:r>
        <w:rPr>
          <w:color w:val="111827"/>
          <w:sz w:val="22"/>
          <w:szCs w:val="22"/>
        </w:rPr>
        <w:t xml:space="preserve">The batch processor enables teams to onboard their historical incident data without writing any code. It accepts both CSV and Excel (.xlsx / .xls) files and processes them in chunks of 1,000 rows to avoid loading large datasets into memory.</w:t>
      </w:r>
    </w:p>
    <w:p>
      <w:pPr>
        <w:spacing w:after="120"/>
      </w:pPr>
    </w:p>
    <w:p>
      <w:pPr>
        <w:spacing w:after="120"/>
      </w:pPr>
      <w:r>
        <w:rPr>
          <w:color w:val="111827"/>
          <w:sz w:val="22"/>
          <w:szCs w:val="22"/>
        </w:rPr>
        <w:t xml:space="preserve">Pipeline capabilities:</w:t>
      </w:r>
    </w:p>
    <w:p>
      <w:pPr>
        <w:pStyle w:val="ListParagraph"/>
        <w:numPr>
          <w:ilvl w:val="0"/>
          <w:numId w:val="2"/>
        </w:numPr>
        <w:spacing w:after="80"/>
      </w:pPr>
      <w:r>
        <w:rPr>
          <w:color w:val="111827"/>
          <w:sz w:val="22"/>
          <w:szCs w:val="22"/>
        </w:rPr>
        <w:t xml:space="preserve">Streams files in 1,000-row chunks — supports up to 50,000 incidents per run</w:t>
      </w:r>
    </w:p>
    <w:p>
      <w:pPr>
        <w:pStyle w:val="ListParagraph"/>
        <w:numPr>
          <w:ilvl w:val="0"/>
          <w:numId w:val="2"/>
        </w:numPr>
        <w:spacing w:after="80"/>
      </w:pPr>
      <w:r>
        <w:rPr>
          <w:color w:val="111827"/>
          <w:sz w:val="22"/>
          <w:szCs w:val="22"/>
        </w:rPr>
        <w:t xml:space="preserve">Auto-maps flexible column names: title, summary, short_description, headline are all recognized</w:t>
      </w:r>
    </w:p>
    <w:p>
      <w:pPr>
        <w:pStyle w:val="ListParagraph"/>
        <w:numPr>
          <w:ilvl w:val="0"/>
          <w:numId w:val="2"/>
        </w:numPr>
        <w:spacing w:after="80"/>
      </w:pPr>
      <w:r>
        <w:rPr>
          <w:color w:val="111827"/>
          <w:sz w:val="22"/>
          <w:szCs w:val="22"/>
        </w:rPr>
        <w:t xml:space="preserve">Merges results into the existing enriched incident store without duplication</w:t>
      </w:r>
    </w:p>
    <w:p>
      <w:pPr>
        <w:pStyle w:val="ListParagraph"/>
        <w:numPr>
          <w:ilvl w:val="0"/>
          <w:numId w:val="2"/>
        </w:numPr>
        <w:spacing w:after="80"/>
      </w:pPr>
      <w:r>
        <w:rPr>
          <w:color w:val="111827"/>
          <w:sz w:val="22"/>
          <w:szCs w:val="22"/>
        </w:rPr>
        <w:t xml:space="preserve">Accessible via the dashboard file upload UI or the POST /api/upload_file REST endpoint</w:t>
      </w:r>
    </w:p>
    <w:p>
      <w:pPr>
        <w:pStyle w:val="ListParagraph"/>
        <w:numPr>
          <w:ilvl w:val="0"/>
          <w:numId w:val="2"/>
        </w:numPr>
        <w:spacing w:after="80"/>
      </w:pPr>
      <w:r>
        <w:rPr>
          <w:color w:val="111827"/>
          <w:sz w:val="22"/>
          <w:szCs w:val="22"/>
        </w:rPr>
        <w:t xml:space="preserve">A bundled sample dataset (CSV + Excel) is included for instant evaluation</w:t>
      </w:r>
    </w:p>
    <w:p>
      <w:pPr>
        <w:spacing w:after="120"/>
      </w:pPr>
    </w:p>
    <w:p>
      <w:pPr>
        <w:pStyle w:val="Heading2"/>
        <w:spacing w:after="120" w:before="280"/>
      </w:pPr>
      <w:r>
        <w:rPr>
          <w:b/>
          <w:bCs/>
          <w:color w:val="1A56DB"/>
          <w:sz w:val="28"/>
          <w:szCs w:val="28"/>
        </w:rPr>
        <w:t xml:space="preserve">3.5  Pluggable Storage Backend</w:t>
      </w:r>
    </w:p>
    <w:p>
      <w:pPr>
        <w:spacing w:after="120"/>
      </w:pPr>
      <w:r>
        <w:rPr>
          <w:color w:val="111827"/>
          <w:sz w:val="22"/>
          <w:szCs w:val="22"/>
        </w:rPr>
        <w:t xml:space="preserve">All persistence is handled through an abstract StorageBackend interface with a factory that selects the implementation at startup based on the STORAGE_BACKEND environment variable. Switching backends requires no code changes.</w:t>
      </w:r>
    </w:p>
    <w:p>
      <w:pPr>
        <w:spacing w:after="12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000"/>
        <w:gridCol w:w="7480"/>
      </w:tblGrid>
      <w:tr>
        <w:tc>
          <w:tcPr>
            <w:tcW w:type="dxa" w:w="2000"/>
            <w:shd w:fill="1A56DB" w:val="clear"/>
          </w:tcPr>
          <w:p>
            <w:pPr>
              <w:spacing w:after="60" w:before="60"/>
            </w:pPr>
            <w:r>
              <w:rPr>
                <w:b/>
                <w:bCs/>
                <w:color w:val="FFFFFF"/>
                <w:sz w:val="20"/>
                <w:szCs w:val="20"/>
              </w:rPr>
              <w:t xml:space="preserve">Backend</w:t>
            </w:r>
          </w:p>
        </w:tc>
        <w:tc>
          <w:tcPr>
            <w:tcW w:type="dxa" w:w="7480"/>
            <w:shd w:fill="1A56DB" w:val="clear"/>
          </w:tcPr>
          <w:p>
            <w:pPr>
              <w:spacing w:after="60" w:before="60"/>
            </w:pPr>
            <w:r>
              <w:rPr>
                <w:b/>
                <w:bCs/>
                <w:color w:val="FFFFFF"/>
                <w:sz w:val="20"/>
                <w:szCs w:val="20"/>
              </w:rPr>
              <w:t xml:space="preserve">Description</w:t>
            </w:r>
          </w:p>
        </w:tc>
      </w:tr>
      <w:tr>
        <w:tc>
          <w:tcPr>
            <w:tcW w:type="dxa" w:w="2000"/>
            <w:shd w:fill="FFFFFF" w:val="clear"/>
            <w:vAlign w:val="top"/>
          </w:tcPr>
          <w:p>
            <w:pPr>
              <w:spacing w:after="60" w:before="60"/>
            </w:pPr>
            <w:r>
              <w:rPr>
                <w:b w:val="false"/>
                <w:bCs w:val="false"/>
                <w:color w:val="111827"/>
                <w:sz w:val="20"/>
                <w:szCs w:val="20"/>
              </w:rPr>
              <w:t xml:space="preserve">local (default)</w:t>
            </w:r>
          </w:p>
        </w:tc>
        <w:tc>
          <w:tcPr>
            <w:tcW w:type="dxa" w:w="7480"/>
            <w:shd w:fill="FFFFFF" w:val="clear"/>
            <w:vAlign w:val="top"/>
          </w:tcPr>
          <w:p>
            <w:pPr>
              <w:spacing w:after="60" w:before="60"/>
            </w:pPr>
            <w:r>
              <w:rPr>
                <w:b w:val="false"/>
                <w:bCs w:val="false"/>
                <w:color w:val="111827"/>
                <w:sz w:val="20"/>
                <w:szCs w:val="20"/>
              </w:rPr>
              <w:t xml:space="preserve">JSON files on the local filesystem, scoped per project. Zero dependencies.</w:t>
            </w:r>
          </w:p>
        </w:tc>
      </w:tr>
      <w:tr>
        <w:tc>
          <w:tcPr>
            <w:tcW w:type="dxa" w:w="2000"/>
            <w:shd w:fill="EFF6FF" w:val="clear"/>
            <w:vAlign w:val="top"/>
          </w:tcPr>
          <w:p>
            <w:pPr>
              <w:spacing w:after="60" w:before="60"/>
            </w:pPr>
            <w:r>
              <w:rPr>
                <w:b w:val="false"/>
                <w:bCs w:val="false"/>
                <w:color w:val="111827"/>
                <w:sz w:val="20"/>
                <w:szCs w:val="20"/>
              </w:rPr>
              <w:t xml:space="preserve">firestore</w:t>
            </w:r>
          </w:p>
        </w:tc>
        <w:tc>
          <w:tcPr>
            <w:tcW w:type="dxa" w:w="7480"/>
            <w:shd w:fill="EFF6FF" w:val="clear"/>
            <w:vAlign w:val="top"/>
          </w:tcPr>
          <w:p>
            <w:pPr>
              <w:spacing w:after="60" w:before="60"/>
            </w:pPr>
            <w:r>
              <w:rPr>
                <w:b w:val="false"/>
                <w:bCs w:val="false"/>
                <w:color w:val="111827"/>
                <w:sz w:val="20"/>
                <w:szCs w:val="20"/>
              </w:rPr>
              <w:t xml:space="preserve">Google Cloud Firestore — serverless NoSQL, ideal for Cloud Run deployments.</w:t>
            </w:r>
          </w:p>
        </w:tc>
      </w:tr>
      <w:tr>
        <w:tc>
          <w:tcPr>
            <w:tcW w:type="dxa" w:w="2000"/>
            <w:shd w:fill="FFFFFF" w:val="clear"/>
            <w:vAlign w:val="top"/>
          </w:tcPr>
          <w:p>
            <w:pPr>
              <w:spacing w:after="60" w:before="60"/>
            </w:pPr>
            <w:r>
              <w:rPr>
                <w:b w:val="false"/>
                <w:bCs w:val="false"/>
                <w:color w:val="111827"/>
                <w:sz w:val="20"/>
                <w:szCs w:val="20"/>
              </w:rPr>
              <w:t xml:space="preserve">dynamodb</w:t>
            </w:r>
          </w:p>
        </w:tc>
        <w:tc>
          <w:tcPr>
            <w:tcW w:type="dxa" w:w="7480"/>
            <w:shd w:fill="FFFFFF" w:val="clear"/>
            <w:vAlign w:val="top"/>
          </w:tcPr>
          <w:p>
            <w:pPr>
              <w:spacing w:after="60" w:before="60"/>
            </w:pPr>
            <w:r>
              <w:rPr>
                <w:b w:val="false"/>
                <w:bCs w:val="false"/>
                <w:color w:val="111827"/>
                <w:sz w:val="20"/>
                <w:szCs w:val="20"/>
              </w:rPr>
              <w:t xml:space="preserve">AWS DynamoDB — integrates with ECS / Lambda deployments.</w:t>
            </w:r>
          </w:p>
        </w:tc>
      </w:tr>
      <w:tr>
        <w:tc>
          <w:tcPr>
            <w:tcW w:type="dxa" w:w="2000"/>
            <w:shd w:fill="EFF6FF" w:val="clear"/>
            <w:vAlign w:val="top"/>
          </w:tcPr>
          <w:p>
            <w:pPr>
              <w:spacing w:after="60" w:before="60"/>
            </w:pPr>
            <w:r>
              <w:rPr>
                <w:b w:val="false"/>
                <w:bCs w:val="false"/>
                <w:color w:val="111827"/>
                <w:sz w:val="20"/>
                <w:szCs w:val="20"/>
              </w:rPr>
              <w:t xml:space="preserve">cosmosdb</w:t>
            </w:r>
          </w:p>
        </w:tc>
        <w:tc>
          <w:tcPr>
            <w:tcW w:type="dxa" w:w="7480"/>
            <w:shd w:fill="EFF6FF" w:val="clear"/>
            <w:vAlign w:val="top"/>
          </w:tcPr>
          <w:p>
            <w:pPr>
              <w:spacing w:after="60" w:before="60"/>
            </w:pPr>
            <w:r>
              <w:rPr>
                <w:b w:val="false"/>
                <w:bCs w:val="false"/>
                <w:color w:val="111827"/>
                <w:sz w:val="20"/>
                <w:szCs w:val="20"/>
              </w:rPr>
              <w:t xml:space="preserve">Azure Cosmos DB — for Azure-hosted deployments.</w:t>
            </w:r>
          </w:p>
        </w:tc>
      </w:tr>
      <w:tr>
        <w:tc>
          <w:tcPr>
            <w:tcW w:type="dxa" w:w="2000"/>
            <w:shd w:fill="FFFFFF" w:val="clear"/>
            <w:vAlign w:val="top"/>
          </w:tcPr>
          <w:p>
            <w:pPr>
              <w:spacing w:after="60" w:before="60"/>
            </w:pPr>
            <w:r>
              <w:rPr>
                <w:b w:val="false"/>
                <w:bCs w:val="false"/>
                <w:color w:val="111827"/>
                <w:sz w:val="20"/>
                <w:szCs w:val="20"/>
              </w:rPr>
              <w:t xml:space="preserve">mongodb</w:t>
            </w:r>
          </w:p>
        </w:tc>
        <w:tc>
          <w:tcPr>
            <w:tcW w:type="dxa" w:w="7480"/>
            <w:shd w:fill="FFFFFF" w:val="clear"/>
            <w:vAlign w:val="top"/>
          </w:tcPr>
          <w:p>
            <w:pPr>
              <w:spacing w:after="60" w:before="60"/>
            </w:pPr>
            <w:r>
              <w:rPr>
                <w:b w:val="false"/>
                <w:bCs w:val="false"/>
                <w:color w:val="111827"/>
                <w:sz w:val="20"/>
                <w:szCs w:val="20"/>
              </w:rPr>
              <w:t xml:space="preserve">MongoDB — self-hosted or MongoDB Atlas.</w:t>
            </w:r>
          </w:p>
        </w:tc>
      </w:tr>
    </w:tbl>
    <w:p>
      <w:pPr>
        <w:spacing w:after="160"/>
        <w:jc w:val="center"/>
      </w:pPr>
      <w:r>
        <w:rPr>
          <w:i/>
          <w:iCs/>
          <w:color w:val="6B7280"/>
          <w:sz w:val="18"/>
          <w:szCs w:val="18"/>
        </w:rPr>
        <w:t xml:space="preserve">Table 3 — Pluggable storage backends</w:t>
      </w:r>
    </w:p>
    <w:p>
      <w:pPr>
        <w:spacing w:after="120"/>
      </w:pPr>
    </w:p>
    <w:p>
      <w:pPr>
        <w:spacing w:after="120"/>
      </w:pPr>
      <w:r>
        <w:rPr>
          <w:color w:val="111827"/>
          <w:sz w:val="22"/>
          <w:szCs w:val="22"/>
        </w:rPr>
        <w:t xml:space="preserve">The StorageBackend interface defines the following operations, all scoped to a project_id: save_incident, get_incident, query_incidents, save_taxonomy_tree, get_taxonomy_tree, save_project, get_project, list_projects, and delete_project.</w:t>
      </w:r>
    </w:p>
    <w:p>
      <w:pPr>
        <w:spacing w:after="120"/>
      </w:pPr>
    </w:p>
    <w:p>
      <w:pPr>
        <w:pStyle w:val="Heading2"/>
        <w:spacing w:after="120" w:before="280"/>
      </w:pPr>
      <w:r>
        <w:rPr>
          <w:b/>
          <w:bCs/>
          <w:color w:val="1A56DB"/>
          <w:sz w:val="28"/>
          <w:szCs w:val="28"/>
        </w:rPr>
        <w:t xml:space="preserve">3.6  Multi-Tenant Project Management</w:t>
      </w:r>
    </w:p>
    <w:p>
      <w:pPr>
        <w:spacing w:after="120"/>
      </w:pPr>
      <w:r>
        <w:rPr>
          <w:color w:val="111827"/>
          <w:sz w:val="22"/>
          <w:szCs w:val="22"/>
        </w:rPr>
        <w:t xml:space="preserve">The platform supports multiple isolated workspaces called Projects. Each project has its own incident store, taxonomy tree, and LLM settings — enabling different teams or environments to share a single deployment without data mixing.</w:t>
      </w:r>
    </w:p>
    <w:p>
      <w:pPr>
        <w:spacing w:after="120"/>
      </w:pPr>
    </w:p>
    <w:p>
      <w:pPr>
        <w:spacing w:after="120"/>
      </w:pPr>
      <w:r>
        <w:rPr>
          <w:color w:val="111827"/>
          <w:sz w:val="22"/>
          <w:szCs w:val="22"/>
        </w:rPr>
        <w:t xml:space="preserve">Project features:</w:t>
      </w:r>
    </w:p>
    <w:p>
      <w:pPr>
        <w:pStyle w:val="ListParagraph"/>
        <w:numPr>
          <w:ilvl w:val="0"/>
          <w:numId w:val="2"/>
        </w:numPr>
        <w:spacing w:after="80"/>
      </w:pPr>
      <w:r>
        <w:rPr>
          <w:color w:val="111827"/>
          <w:sz w:val="22"/>
          <w:szCs w:val="22"/>
        </w:rPr>
        <w:t xml:space="preserve">Full CRUD: create, read, update, and delete named project workspaces</w:t>
      </w:r>
    </w:p>
    <w:p>
      <w:pPr>
        <w:pStyle w:val="ListParagraph"/>
        <w:numPr>
          <w:ilvl w:val="0"/>
          <w:numId w:val="2"/>
        </w:numPr>
        <w:spacing w:after="80"/>
      </w:pPr>
      <w:r>
        <w:rPr>
          <w:color w:val="111827"/>
          <w:sz w:val="22"/>
          <w:szCs w:val="22"/>
        </w:rPr>
        <w:t xml:space="preserve">A default project is always present and cannot be deleted</w:t>
      </w:r>
    </w:p>
    <w:p>
      <w:pPr>
        <w:pStyle w:val="ListParagraph"/>
        <w:numPr>
          <w:ilvl w:val="0"/>
          <w:numId w:val="2"/>
        </w:numPr>
        <w:spacing w:after="80"/>
      </w:pPr>
      <w:r>
        <w:rPr>
          <w:color w:val="111827"/>
          <w:sz w:val="22"/>
          <w:szCs w:val="22"/>
        </w:rPr>
        <w:t xml:space="preserve">Per-project classification_hint provides extra context to the LLM for domain-specific incidents</w:t>
      </w:r>
    </w:p>
    <w:p>
      <w:pPr>
        <w:pStyle w:val="ListParagraph"/>
        <w:numPr>
          <w:ilvl w:val="0"/>
          <w:numId w:val="2"/>
        </w:numPr>
        <w:spacing w:after="80"/>
      </w:pPr>
      <w:r>
        <w:rPr>
          <w:color w:val="111827"/>
          <w:sz w:val="22"/>
          <w:szCs w:val="22"/>
        </w:rPr>
        <w:t xml:space="preserve">Per-project default_severity sets the fallback severity when not specified by the caller</w:t>
      </w:r>
    </w:p>
    <w:p>
      <w:pPr>
        <w:pStyle w:val="ListParagraph"/>
        <w:numPr>
          <w:ilvl w:val="0"/>
          <w:numId w:val="2"/>
        </w:numPr>
        <w:spacing w:after="80"/>
      </w:pPr>
      <w:r>
        <w:rPr>
          <w:color w:val="111827"/>
          <w:sz w:val="22"/>
          <w:szCs w:val="22"/>
        </w:rPr>
        <w:t xml:space="preserve">Per-project custom_taxonomy_seed pre-populates the taxonomy with domain knowledge at project creation</w:t>
      </w:r>
    </w:p>
    <w:p>
      <w:pPr>
        <w:pStyle w:val="ListParagraph"/>
        <w:numPr>
          <w:ilvl w:val="0"/>
          <w:numId w:val="2"/>
        </w:numPr>
        <w:spacing w:after="80"/>
      </w:pPr>
      <w:r>
        <w:rPr>
          <w:color w:val="111827"/>
          <w:sz w:val="22"/>
          <w:szCs w:val="22"/>
        </w:rPr>
        <w:t xml:space="preserve">The dashboard includes a project switcher dropdown with create / edit / delete modals</w:t>
      </w:r>
    </w:p>
    <w:p>
      <w:pPr>
        <w:spacing w:after="120"/>
      </w:pPr>
    </w:p>
    <w:p>
      <w:pPr>
        <w:pStyle w:val="Heading2"/>
        <w:spacing w:after="120" w:before="280"/>
      </w:pPr>
      <w:r>
        <w:rPr>
          <w:b/>
          <w:bCs/>
          <w:color w:val="1A56DB"/>
          <w:sz w:val="28"/>
          <w:szCs w:val="28"/>
        </w:rPr>
        <w:t xml:space="preserve">3.7  SRE Tool Suite</w:t>
      </w:r>
    </w:p>
    <w:p>
      <w:pPr>
        <w:spacing w:after="120"/>
      </w:pPr>
      <w:r>
        <w:rPr>
          <w:color w:val="111827"/>
          <w:sz w:val="22"/>
          <w:szCs w:val="22"/>
        </w:rPr>
        <w:t xml:space="preserve">Beyond classification, the platform ships a suite of SRE productivity tools that transform raw incident data into actionable outputs.</w:t>
      </w:r>
    </w:p>
    <w:p>
      <w:pPr>
        <w:spacing w:after="120"/>
      </w:pPr>
    </w:p>
    <w:p>
      <w:pPr>
        <w:pStyle w:val="Heading3"/>
        <w:spacing w:after="80" w:before="200"/>
      </w:pPr>
      <w:r>
        <w:rPr>
          <w:b/>
          <w:bCs/>
          <w:color w:val="111827"/>
          <w:sz w:val="24"/>
          <w:szCs w:val="24"/>
        </w:rPr>
        <w:t xml:space="preserve">3.7.1  Runbook Service</w:t>
      </w:r>
    </w:p>
    <w:p>
      <w:pPr>
        <w:spacing w:after="120"/>
      </w:pPr>
      <w:r>
        <w:rPr>
          <w:color w:val="111827"/>
          <w:sz w:val="22"/>
          <w:szCs w:val="22"/>
        </w:rPr>
        <w:t xml:space="preserve">An in-memory runbook database provides step-by-step remediation guidance for the five most common failure patterns encountered in production:</w:t>
      </w:r>
    </w:p>
    <w:p>
      <w:pPr>
        <w:pStyle w:val="ListParagraph"/>
        <w:numPr>
          <w:ilvl w:val="0"/>
          <w:numId w:val="2"/>
        </w:numPr>
        <w:spacing w:after="80"/>
      </w:pPr>
      <w:r>
        <w:rPr>
          <w:color w:val="111827"/>
          <w:sz w:val="22"/>
          <w:szCs w:val="22"/>
        </w:rPr>
        <w:t xml:space="preserve">Kubernetes OOMKilled — memory limit tuning and resource profiling steps</w:t>
      </w:r>
    </w:p>
    <w:p>
      <w:pPr>
        <w:pStyle w:val="ListParagraph"/>
        <w:numPr>
          <w:ilvl w:val="0"/>
          <w:numId w:val="2"/>
        </w:numPr>
        <w:spacing w:after="80"/>
      </w:pPr>
      <w:r>
        <w:rPr>
          <w:color w:val="111827"/>
          <w:sz w:val="22"/>
          <w:szCs w:val="22"/>
        </w:rPr>
        <w:t xml:space="preserve">PostgreSQL connection pool exhaustion — PgBouncer configuration and query optimization</w:t>
      </w:r>
    </w:p>
    <w:p>
      <w:pPr>
        <w:pStyle w:val="ListParagraph"/>
        <w:numPr>
          <w:ilvl w:val="0"/>
          <w:numId w:val="2"/>
        </w:numPr>
        <w:spacing w:after="80"/>
      </w:pPr>
      <w:r>
        <w:rPr>
          <w:color w:val="111827"/>
          <w:sz w:val="22"/>
          <w:szCs w:val="22"/>
        </w:rPr>
        <w:t xml:space="preserve">Kafka consumer group rebalance storms — partition reassignment and consumer lag remediation</w:t>
      </w:r>
    </w:p>
    <w:p>
      <w:pPr>
        <w:pStyle w:val="ListParagraph"/>
        <w:numPr>
          <w:ilvl w:val="0"/>
          <w:numId w:val="2"/>
        </w:numPr>
        <w:spacing w:after="80"/>
      </w:pPr>
      <w:r>
        <w:rPr>
          <w:color w:val="111827"/>
          <w:sz w:val="22"/>
          <w:szCs w:val="22"/>
        </w:rPr>
        <w:t xml:space="preserve">Envoy 504 Gateway Timeout — upstream health check and circuit breaker configuration</w:t>
      </w:r>
    </w:p>
    <w:p>
      <w:pPr>
        <w:pStyle w:val="ListParagraph"/>
        <w:numPr>
          <w:ilvl w:val="0"/>
          <w:numId w:val="2"/>
        </w:numPr>
        <w:spacing w:after="80"/>
      </w:pPr>
      <w:r>
        <w:rPr>
          <w:color w:val="111827"/>
          <w:sz w:val="22"/>
          <w:szCs w:val="22"/>
        </w:rPr>
        <w:t xml:space="preserve">Redis KEYS blocking scan — replacement with SCAN and keyspace analysis</w:t>
      </w:r>
    </w:p>
    <w:p>
      <w:pPr>
        <w:spacing w:after="120"/>
      </w:pPr>
      <w:r>
        <w:rPr>
          <w:color w:val="111827"/>
          <w:sz w:val="22"/>
          <w:szCs w:val="22"/>
        </w:rPr>
        <w:t xml:space="preserve">If no runbook matches the incident's technology and failure mechanism, the service returns a generic triage template covering the universal first-response checklist.</w:t>
      </w:r>
    </w:p>
    <w:p>
      <w:pPr>
        <w:spacing w:after="120"/>
      </w:pPr>
    </w:p>
    <w:p>
      <w:pPr>
        <w:pStyle w:val="Heading3"/>
        <w:spacing w:after="80" w:before="200"/>
      </w:pPr>
      <w:r>
        <w:rPr>
          <w:b/>
          <w:bCs/>
          <w:color w:val="111827"/>
          <w:sz w:val="24"/>
          <w:szCs w:val="24"/>
        </w:rPr>
        <w:t xml:space="preserve">3.7.2  Post-Mortem Report Generator</w:t>
      </w:r>
    </w:p>
    <w:p>
      <w:pPr>
        <w:spacing w:after="120"/>
      </w:pPr>
      <w:r>
        <w:rPr>
          <w:color w:val="111827"/>
          <w:sz w:val="22"/>
          <w:szCs w:val="22"/>
        </w:rPr>
        <w:t xml:space="preserve">Generates structured Markdown post-mortem RCA reports from a classified incident. Each report includes the following sections:</w:t>
      </w:r>
    </w:p>
    <w:p>
      <w:pPr>
        <w:pStyle w:val="ListParagraph"/>
        <w:numPr>
          <w:ilvl w:val="0"/>
          <w:numId w:val="2"/>
        </w:numPr>
        <w:spacing w:after="80"/>
      </w:pPr>
      <w:r>
        <w:rPr>
          <w:color w:val="111827"/>
          <w:sz w:val="22"/>
          <w:szCs w:val="22"/>
        </w:rPr>
        <w:t xml:space="preserve">Executive Summary — business impact and timeline at a glance</w:t>
      </w:r>
    </w:p>
    <w:p>
      <w:pPr>
        <w:pStyle w:val="ListParagraph"/>
        <w:numPr>
          <w:ilvl w:val="0"/>
          <w:numId w:val="2"/>
        </w:numPr>
        <w:spacing w:after="80"/>
      </w:pPr>
      <w:r>
        <w:rPr>
          <w:color w:val="111827"/>
          <w:sz w:val="22"/>
          <w:szCs w:val="22"/>
        </w:rPr>
        <w:t xml:space="preserve">Technical Description — detailed failure sequence and affected components</w:t>
      </w:r>
    </w:p>
    <w:p>
      <w:pPr>
        <w:pStyle w:val="ListParagraph"/>
        <w:numPr>
          <w:ilvl w:val="0"/>
          <w:numId w:val="2"/>
        </w:numPr>
        <w:spacing w:after="80"/>
      </w:pPr>
      <w:r>
        <w:rPr>
          <w:color w:val="111827"/>
          <w:sz w:val="22"/>
          <w:szCs w:val="22"/>
        </w:rPr>
        <w:t xml:space="preserve">Root Cause Analysis (RCA) — the underlying cause and contributing factors</w:t>
      </w:r>
    </w:p>
    <w:p>
      <w:pPr>
        <w:pStyle w:val="ListParagraph"/>
        <w:numPr>
          <w:ilvl w:val="0"/>
          <w:numId w:val="2"/>
        </w:numPr>
        <w:spacing w:after="80"/>
      </w:pPr>
      <w:r>
        <w:rPr>
          <w:color w:val="111827"/>
          <w:sz w:val="22"/>
          <w:szCs w:val="22"/>
        </w:rPr>
        <w:t xml:space="preserve">Remediation Actions — what was done to resolve the incident</w:t>
      </w:r>
    </w:p>
    <w:p>
      <w:pPr>
        <w:pStyle w:val="ListParagraph"/>
        <w:numPr>
          <w:ilvl w:val="0"/>
          <w:numId w:val="2"/>
        </w:numPr>
        <w:spacing w:after="80"/>
      </w:pPr>
      <w:r>
        <w:rPr>
          <w:color w:val="111827"/>
          <w:sz w:val="22"/>
          <w:szCs w:val="22"/>
        </w:rPr>
        <w:t xml:space="preserve">Preventative Actions — recommended follow-up work to prevent recurrence</w:t>
      </w:r>
    </w:p>
    <w:p>
      <w:pPr>
        <w:spacing w:after="120"/>
      </w:pPr>
      <w:r>
        <w:rPr>
          <w:color w:val="111827"/>
          <w:sz w:val="22"/>
          <w:szCs w:val="22"/>
        </w:rPr>
        <w:t xml:space="preserve">Reports are saved to the reports/ directory as postmortem_&lt;incident_id&gt;.md files.</w:t>
      </w:r>
    </w:p>
    <w:p>
      <w:pPr>
        <w:spacing w:after="120"/>
      </w:pPr>
    </w:p>
    <w:p>
      <w:pPr>
        <w:pStyle w:val="Heading3"/>
        <w:spacing w:after="80" w:before="200"/>
      </w:pPr>
      <w:r>
        <w:rPr>
          <w:b/>
          <w:bCs/>
          <w:color w:val="111827"/>
          <w:sz w:val="24"/>
          <w:szCs w:val="24"/>
        </w:rPr>
        <w:t xml:space="preserve">3.7.3  External Provider Status Checker</w:t>
      </w:r>
    </w:p>
    <w:p>
      <w:pPr>
        <w:spacing w:after="120"/>
      </w:pPr>
      <w:r>
        <w:rPr>
          <w:color w:val="111827"/>
          <w:sz w:val="22"/>
          <w:szCs w:val="22"/>
        </w:rPr>
        <w:t xml:space="preserve">Polls the GitHub public status API (githubstatus.com) in real time to detect upstream outages. When an incident's root cause may be an external dependency rather than an internal failure, this tool provides instant confirmation and reduces mean time to diagnosis.</w:t>
      </w:r>
    </w:p>
    <w:p>
      <w:pPr>
        <w:spacing w:after="120"/>
      </w:pPr>
    </w:p>
    <w:p>
      <w:pPr>
        <w:pStyle w:val="Heading2"/>
        <w:spacing w:after="120" w:before="280"/>
      </w:pPr>
      <w:r>
        <w:rPr>
          <w:b/>
          <w:bCs/>
          <w:color w:val="1A56DB"/>
          <w:sz w:val="28"/>
          <w:szCs w:val="28"/>
        </w:rPr>
        <w:t xml:space="preserve">3.8  Incident Diagnostic Video Generation</w:t>
      </w:r>
    </w:p>
    <w:p>
      <w:pPr>
        <w:spacing w:after="120"/>
      </w:pPr>
      <w:r>
        <w:rPr>
          <w:color w:val="111827"/>
          <w:sz w:val="22"/>
          <w:szCs w:val="22"/>
        </w:rPr>
        <w:t xml:space="preserve">Leveraging Google's gemini-omni-flash-preview model via Vertex AI, the platform can generate short animated diagnostic videos that visually explain the failure sequence of a classified incident.</w:t>
      </w:r>
    </w:p>
    <w:p>
      <w:pPr>
        <w:spacing w:after="120"/>
      </w:pPr>
    </w:p>
    <w:p>
      <w:pPr>
        <w:spacing w:after="120"/>
      </w:pPr>
      <w:r>
        <w:rPr>
          <w:color w:val="111827"/>
          <w:sz w:val="22"/>
          <w:szCs w:val="22"/>
        </w:rPr>
        <w:t xml:space="preserve">Workflow:</w:t>
      </w:r>
    </w:p>
    <w:p>
      <w:pPr>
        <w:pStyle w:val="ListParagraph"/>
        <w:numPr>
          <w:ilvl w:val="0"/>
          <w:numId w:val="2"/>
        </w:numPr>
        <w:spacing w:after="80"/>
      </w:pPr>
      <w:r>
        <w:rPr>
          <w:color w:val="111827"/>
          <w:sz w:val="22"/>
          <w:szCs w:val="22"/>
        </w:rPr>
        <w:t xml:space="preserve">The classified incident is passed as a prompt to the Omni model</w:t>
      </w:r>
    </w:p>
    <w:p>
      <w:pPr>
        <w:pStyle w:val="ListParagraph"/>
        <w:numPr>
          <w:ilvl w:val="0"/>
          <w:numId w:val="2"/>
        </w:numPr>
        <w:spacing w:after="80"/>
      </w:pPr>
      <w:r>
        <w:rPr>
          <w:color w:val="111827"/>
          <w:sz w:val="22"/>
          <w:szCs w:val="22"/>
        </w:rPr>
        <w:t xml:space="preserve">The generated video artifact is saved to the ADK Playground session</w:t>
      </w:r>
    </w:p>
    <w:p>
      <w:pPr>
        <w:pStyle w:val="ListParagraph"/>
        <w:numPr>
          <w:ilvl w:val="0"/>
          <w:numId w:val="2"/>
        </w:numPr>
        <w:spacing w:after="80"/>
      </w:pPr>
      <w:r>
        <w:rPr>
          <w:color w:val="111827"/>
          <w:sz w:val="22"/>
          <w:szCs w:val="22"/>
        </w:rPr>
        <w:t xml:space="preserve">The file is uploaded to Google Cloud Storage and a public URL is returned</w:t>
      </w:r>
    </w:p>
    <w:p>
      <w:pPr>
        <w:spacing w:after="120"/>
      </w:pPr>
      <w:r>
        <w:rPr>
          <w:color w:val="111827"/>
          <w:sz w:val="22"/>
          <w:szCs w:val="22"/>
        </w:rPr>
        <w:t xml:space="preserve">This functionality is particularly valuable for post-incident reviews, onboarding, and knowledge-sharing sessions where a visual walkthrough communicates more clearly than text.</w:t>
      </w:r>
    </w:p>
    <w:p>
      <w:pPr>
        <w:spacing w:after="120"/>
      </w:pPr>
    </w:p>
    <w:p>
      <w:pPr>
        <w:pStyle w:val="Heading2"/>
        <w:spacing w:after="120" w:before="280"/>
      </w:pPr>
      <w:r>
        <w:rPr>
          <w:b/>
          <w:bCs/>
          <w:color w:val="1A56DB"/>
          <w:sz w:val="28"/>
          <w:szCs w:val="28"/>
        </w:rPr>
        <w:t xml:space="preserve">3.9  Interactive Web Dashboard</w:t>
      </w:r>
    </w:p>
    <w:p>
      <w:pPr>
        <w:spacing w:after="120"/>
      </w:pPr>
      <w:r>
        <w:rPr>
          <w:color w:val="111827"/>
          <w:sz w:val="22"/>
          <w:szCs w:val="22"/>
        </w:rPr>
        <w:t xml:space="preserve">The web application serves a full single-page application (SPA) directly from the FastAPI server — no separate frontend build step or additional server required. The UI is built with Tailwind CSS and Chart.js loaded from CDN.</w:t>
      </w:r>
    </w:p>
    <w:p>
      <w:pPr>
        <w:spacing w:after="120"/>
      </w:pPr>
    </w:p>
    <w:p>
      <w:pPr>
        <w:spacing w:after="120"/>
      </w:pPr>
      <w:r>
        <w:rPr>
          <w:color w:val="111827"/>
          <w:sz w:val="22"/>
          <w:szCs w:val="22"/>
        </w:rPr>
        <w:t xml:space="preserve">Dashboard components:</w:t>
      </w:r>
    </w:p>
    <w:p>
      <w:pPr>
        <w:pStyle w:val="ListParagraph"/>
        <w:numPr>
          <w:ilvl w:val="0"/>
          <w:numId w:val="2"/>
        </w:numPr>
        <w:spacing w:after="80"/>
      </w:pPr>
      <w:r>
        <w:rPr>
          <w:color w:val="111827"/>
          <w:sz w:val="22"/>
          <w:szCs w:val="22"/>
        </w:rPr>
        <w:t xml:space="preserve">Project switcher — dropdown with create, edit, and delete modals for workspace management</w:t>
      </w:r>
    </w:p>
    <w:p>
      <w:pPr>
        <w:pStyle w:val="ListParagraph"/>
        <w:numPr>
          <w:ilvl w:val="0"/>
          <w:numId w:val="2"/>
        </w:numPr>
        <w:spacing w:after="80"/>
      </w:pPr>
      <w:r>
        <w:rPr>
          <w:color w:val="111827"/>
          <w:sz w:val="22"/>
          <w:szCs w:val="22"/>
        </w:rPr>
        <w:t xml:space="preserve">Stat cards — real-time counters for Total Incidents, Distinct Tech Stacks, Root Domains, and Taxonomy Nodes</w:t>
      </w:r>
    </w:p>
    <w:p>
      <w:pPr>
        <w:pStyle w:val="ListParagraph"/>
        <w:numPr>
          <w:ilvl w:val="0"/>
          <w:numId w:val="2"/>
        </w:numPr>
        <w:spacing w:after="80"/>
      </w:pPr>
      <w:r>
        <w:rPr>
          <w:color w:val="111827"/>
          <w:sz w:val="22"/>
          <w:szCs w:val="22"/>
        </w:rPr>
        <w:t xml:space="preserve">Technology Distribution chart — bar chart showing incident volume by technology</w:t>
      </w:r>
    </w:p>
    <w:p>
      <w:pPr>
        <w:pStyle w:val="ListParagraph"/>
        <w:numPr>
          <w:ilvl w:val="0"/>
          <w:numId w:val="2"/>
        </w:numPr>
        <w:spacing w:after="80"/>
      </w:pPr>
      <w:r>
        <w:rPr>
          <w:color w:val="111827"/>
          <w:sz w:val="22"/>
          <w:szCs w:val="22"/>
        </w:rPr>
        <w:t xml:space="preserve">Domain Breakdown chart — doughnut chart showing distribution across root cause domains</w:t>
      </w:r>
    </w:p>
    <w:p>
      <w:pPr>
        <w:pStyle w:val="ListParagraph"/>
        <w:numPr>
          <w:ilvl w:val="0"/>
          <w:numId w:val="2"/>
        </w:numPr>
        <w:spacing w:after="80"/>
      </w:pPr>
      <w:r>
        <w:rPr>
          <w:color w:val="111827"/>
          <w:sz w:val="22"/>
          <w:szCs w:val="22"/>
        </w:rPr>
        <w:t xml:space="preserve">Interactive taxonomy tree — color-coded node badges for each tier level</w:t>
      </w:r>
    </w:p>
    <w:p>
      <w:pPr>
        <w:pStyle w:val="ListParagraph"/>
        <w:numPr>
          <w:ilvl w:val="0"/>
          <w:numId w:val="2"/>
        </w:numPr>
        <w:spacing w:after="80"/>
      </w:pPr>
      <w:r>
        <w:rPr>
          <w:color w:val="111827"/>
          <w:sz w:val="22"/>
          <w:szCs w:val="22"/>
        </w:rPr>
        <w:t xml:space="preserve">Incident table — searchable list of the 200 most recent enriched incidents</w:t>
      </w:r>
    </w:p>
    <w:p>
      <w:pPr>
        <w:pStyle w:val="ListParagraph"/>
        <w:numPr>
          <w:ilvl w:val="0"/>
          <w:numId w:val="2"/>
        </w:numPr>
        <w:spacing w:after="80"/>
      </w:pPr>
      <w:r>
        <w:rPr>
          <w:color w:val="111827"/>
          <w:sz w:val="22"/>
          <w:szCs w:val="22"/>
        </w:rPr>
        <w:t xml:space="preserve">Ad-hoc classify modal — submit a single incident description and see the classification result instantly</w:t>
      </w:r>
    </w:p>
    <w:p>
      <w:pPr>
        <w:pStyle w:val="ListParagraph"/>
        <w:numPr>
          <w:ilvl w:val="0"/>
          <w:numId w:val="2"/>
        </w:numPr>
        <w:spacing w:after="80"/>
      </w:pPr>
      <w:r>
        <w:rPr>
          <w:color w:val="111827"/>
          <w:sz w:val="22"/>
          <w:szCs w:val="22"/>
        </w:rPr>
        <w:t xml:space="preserve">File upload panel — drag-and-drop or browse to upload CSV / Excel batch files</w:t>
      </w:r>
    </w:p>
    <w:p>
      <w:pPr>
        <w:pStyle w:val="ListParagraph"/>
        <w:numPr>
          <w:ilvl w:val="0"/>
          <w:numId w:val="2"/>
        </w:numPr>
        <w:spacing w:after="80"/>
      </w:pPr>
      <w:r>
        <w:rPr>
          <w:color w:val="111827"/>
          <w:sz w:val="22"/>
          <w:szCs w:val="22"/>
        </w:rPr>
        <w:t xml:space="preserve">Sample batch trigger — run a demonstration batch using the bundled sample dataset</w:t>
      </w:r>
    </w:p>
    <w:p>
      <w:pPr>
        <w:pStyle w:val="ListParagraph"/>
        <w:numPr>
          <w:ilvl w:val="0"/>
          <w:numId w:val="2"/>
        </w:numPr>
        <w:spacing w:after="80"/>
      </w:pPr>
      <w:r>
        <w:rPr>
          <w:color w:val="111827"/>
          <w:sz w:val="22"/>
          <w:szCs w:val="22"/>
        </w:rPr>
        <w:t xml:space="preserve">Custom ontology import — paste or upload a JSON ontology to seed the taxonomy</w:t>
      </w:r>
    </w:p>
    <w:p>
      <w:pPr>
        <w:spacing w:after="120"/>
      </w:pPr>
    </w:p>
    <w:p>
      <w:pPr>
        <w:pStyle w:val="Heading2"/>
        <w:spacing w:after="120" w:before="280"/>
      </w:pPr>
      <w:r>
        <w:rPr>
          <w:b/>
          <w:bCs/>
          <w:color w:val="1A56DB"/>
          <w:sz w:val="28"/>
          <w:szCs w:val="28"/>
        </w:rPr>
        <w:t xml:space="preserve">3.10  ADK Conversational Agent</w:t>
      </w:r>
    </w:p>
    <w:p>
      <w:pPr>
        <w:spacing w:after="120"/>
      </w:pPr>
      <w:r>
        <w:rPr>
          <w:color w:val="111827"/>
          <w:sz w:val="22"/>
          <w:szCs w:val="22"/>
        </w:rPr>
        <w:t xml:space="preserve">For teams that prefer natural-language interaction, the platform ships a Google ADK agent deployed to Vertex AI Reasoning Engines. Engineers can query, classify, and analyze incidents through a chat interface without memorizing API endpoints.</w:t>
      </w:r>
    </w:p>
    <w:p>
      <w:pPr>
        <w:spacing w:after="120"/>
      </w:pPr>
    </w:p>
    <w:p>
      <w:pPr>
        <w:spacing w:after="120"/>
      </w:pPr>
      <w:r>
        <w:rPr>
          <w:color w:val="111827"/>
          <w:sz w:val="22"/>
          <w:szCs w:val="22"/>
        </w:rPr>
        <w:t xml:space="preserve">The conversational agent exposes the following tool functions:</w:t>
      </w:r>
    </w:p>
    <w:p>
      <w:pPr>
        <w:pStyle w:val="ListParagraph"/>
        <w:numPr>
          <w:ilvl w:val="0"/>
          <w:numId w:val="2"/>
        </w:numPr>
        <w:spacing w:after="80"/>
      </w:pPr>
      <w:r>
        <w:rPr>
          <w:color w:val="111827"/>
          <w:sz w:val="22"/>
          <w:szCs w:val="22"/>
        </w:rPr>
        <w:t xml:space="preserve">classify_and_record_incident — classify and persist a new incident</w:t>
      </w:r>
    </w:p>
    <w:p>
      <w:pPr>
        <w:pStyle w:val="ListParagraph"/>
        <w:numPr>
          <w:ilvl w:val="0"/>
          <w:numId w:val="2"/>
        </w:numPr>
        <w:spacing w:after="80"/>
      </w:pPr>
      <w:r>
        <w:rPr>
          <w:color w:val="111827"/>
          <w:sz w:val="22"/>
          <w:szCs w:val="22"/>
        </w:rPr>
        <w:t xml:space="preserve">read_incident_from_firestore — retrieve a specific incident by ID</w:t>
      </w:r>
    </w:p>
    <w:p>
      <w:pPr>
        <w:pStyle w:val="ListParagraph"/>
        <w:numPr>
          <w:ilvl w:val="0"/>
          <w:numId w:val="2"/>
        </w:numPr>
        <w:spacing w:after="80"/>
      </w:pPr>
      <w:r>
        <w:rPr>
          <w:color w:val="111827"/>
          <w:sz w:val="22"/>
          <w:szCs w:val="22"/>
        </w:rPr>
        <w:t xml:space="preserve">query_firestore_incidents — search incidents by technology, domain, or failure mechanism</w:t>
      </w:r>
    </w:p>
    <w:p>
      <w:pPr>
        <w:pStyle w:val="ListParagraph"/>
        <w:numPr>
          <w:ilvl w:val="0"/>
          <w:numId w:val="2"/>
        </w:numPr>
        <w:spacing w:after="80"/>
      </w:pPr>
      <w:r>
        <w:rPr>
          <w:color w:val="111827"/>
          <w:sz w:val="22"/>
          <w:szCs w:val="22"/>
        </w:rPr>
        <w:t xml:space="preserve">search_remediation_runbooks — find the matching runbook for a failure pattern</w:t>
      </w:r>
    </w:p>
    <w:p>
      <w:pPr>
        <w:pStyle w:val="ListParagraph"/>
        <w:numPr>
          <w:ilvl w:val="0"/>
          <w:numId w:val="2"/>
        </w:numPr>
        <w:spacing w:after="80"/>
      </w:pPr>
      <w:r>
        <w:rPr>
          <w:color w:val="111827"/>
          <w:sz w:val="22"/>
          <w:szCs w:val="22"/>
        </w:rPr>
        <w:t xml:space="preserve">generate_postmortem_markdown_report — produce a full RCA report for an incident</w:t>
      </w:r>
    </w:p>
    <w:p>
      <w:pPr>
        <w:pStyle w:val="ListParagraph"/>
        <w:numPr>
          <w:ilvl w:val="0"/>
          <w:numId w:val="2"/>
        </w:numPr>
        <w:spacing w:after="80"/>
      </w:pPr>
      <w:r>
        <w:rPr>
          <w:color w:val="111827"/>
          <w:sz w:val="22"/>
          <w:szCs w:val="22"/>
        </w:rPr>
        <w:t xml:space="preserve">check_external_provider_status — check if a named external service has an active outage</w:t>
      </w:r>
    </w:p>
    <w:p>
      <w:pPr>
        <w:pStyle w:val="ListParagraph"/>
        <w:numPr>
          <w:ilvl w:val="0"/>
          <w:numId w:val="2"/>
        </w:numPr>
        <w:spacing w:after="80"/>
      </w:pPr>
      <w:r>
        <w:rPr>
          <w:color w:val="111827"/>
          <w:sz w:val="22"/>
          <w:szCs w:val="22"/>
        </w:rPr>
        <w:t xml:space="preserve">add_custom_ontology — inject a domain-specific ontology into the taxonomy</w:t>
      </w:r>
    </w:p>
    <w:p>
      <w:pPr>
        <w:pStyle w:val="ListParagraph"/>
        <w:numPr>
          <w:ilvl w:val="0"/>
          <w:numId w:val="2"/>
        </w:numPr>
        <w:spacing w:after="80"/>
      </w:pPr>
      <w:r>
        <w:rPr>
          <w:color w:val="111827"/>
          <w:sz w:val="22"/>
          <w:szCs w:val="22"/>
        </w:rPr>
        <w:t xml:space="preserve">view_taxonomy_tree — inspect the current taxonomy structure</w:t>
      </w:r>
    </w:p>
    <w:p>
      <w:pPr>
        <w:pStyle w:val="ListParagraph"/>
        <w:numPr>
          <w:ilvl w:val="0"/>
          <w:numId w:val="2"/>
        </w:numPr>
        <w:spacing w:after="80"/>
      </w:pPr>
      <w:r>
        <w:rPr>
          <w:color w:val="111827"/>
          <w:sz w:val="22"/>
          <w:szCs w:val="22"/>
        </w:rPr>
        <w:t xml:space="preserve">get_analytics_summary — retrieve aggregated incident analytics</w:t>
      </w:r>
    </w:p>
    <w:p>
      <w:pPr>
        <w:pStyle w:val="ListParagraph"/>
        <w:numPr>
          <w:ilvl w:val="0"/>
          <w:numId w:val="2"/>
        </w:numPr>
        <w:spacing w:after="80"/>
      </w:pPr>
      <w:r>
        <w:rPr>
          <w:color w:val="111827"/>
          <w:sz w:val="22"/>
          <w:szCs w:val="22"/>
        </w:rPr>
        <w:t xml:space="preserve">generate_incident_diagnostic_video — create an animated diagnostic video</w:t>
      </w:r>
    </w:p>
    <w:p>
      <w:pPr>
        <w:spacing w:after="120"/>
      </w:pPr>
      <w:r>
        <w:rPr>
          <w:color w:val="111827"/>
          <w:sz w:val="22"/>
          <w:szCs w:val="22"/>
        </w:rPr>
        <w:t xml:space="preserve">A FastAPI frontend proxy (frontend/main.py) acts as a same-origin JSON-RPC 2.0 bridge and also provides file upload endpoints for bulk incident files and ontology imports.</w:t>
      </w:r>
    </w:p>
    <w:p>
      <w:pPr>
        <w:spacing w:after="120"/>
      </w:pPr>
    </w:p>
    <w:p>
      <w:r>
        <w:br w:type="page"/>
      </w:r>
    </w:p>
    <w:p>
      <w:pPr>
        <w:pStyle w:val="Heading1"/>
        <w:spacing w:after="160" w:before="400"/>
      </w:pPr>
      <w:r>
        <w:rPr>
          <w:b/>
          <w:bCs/>
          <w:color w:val="1A56DB"/>
          <w:sz w:val="36"/>
          <w:szCs w:val="36"/>
        </w:rPr>
        <w:t xml:space="preserve">4. REST API Reference</w:t>
      </w:r>
    </w:p>
    <w:p>
      <w:pPr>
        <w:spacing w:after="120"/>
      </w:pPr>
      <w:r>
        <w:rPr>
          <w:color w:val="111827"/>
          <w:sz w:val="22"/>
          <w:szCs w:val="22"/>
        </w:rPr>
        <w:t xml:space="preserve">All endpoints are served from the main FastAPI application.</w:t>
      </w:r>
    </w:p>
    <w:p>
      <w:pPr>
        <w:spacing w:after="120"/>
      </w:pP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280"/>
      </w:tblGrid>
      <w:tr>
        <w:tc>
          <w:tcPr>
            <w:tcW w:type="dxa" w:w="1200"/>
            <w:shd w:fill="1A56DB" w:val="clear"/>
          </w:tcPr>
          <w:p>
            <w:pPr>
              <w:spacing w:after="60" w:before="60"/>
            </w:pPr>
            <w:r>
              <w:rPr>
                <w:b/>
                <w:bCs/>
                <w:color w:val="FFFFFF"/>
                <w:sz w:val="20"/>
                <w:szCs w:val="20"/>
              </w:rPr>
              <w:t xml:space="preserve">Method</w:t>
            </w:r>
          </w:p>
        </w:tc>
        <w:tc>
          <w:tcPr>
            <w:tcW w:type="dxa" w:w="3000"/>
            <w:shd w:fill="1A56DB" w:val="clear"/>
          </w:tcPr>
          <w:p>
            <w:pPr>
              <w:spacing w:after="60" w:before="60"/>
            </w:pPr>
            <w:r>
              <w:rPr>
                <w:b/>
                <w:bCs/>
                <w:color w:val="FFFFFF"/>
                <w:sz w:val="20"/>
                <w:szCs w:val="20"/>
              </w:rPr>
              <w:t xml:space="preserve">Path</w:t>
            </w:r>
          </w:p>
        </w:tc>
        <w:tc>
          <w:tcPr>
            <w:tcW w:type="dxa" w:w="5280"/>
            <w:shd w:fill="1A56DB" w:val="clear"/>
          </w:tcPr>
          <w:p>
            <w:pPr>
              <w:spacing w:after="60" w:before="60"/>
            </w:pPr>
            <w:r>
              <w:rPr>
                <w:b/>
                <w:bCs/>
                <w:color w:val="FFFFFF"/>
                <w:sz w:val="20"/>
                <w:szCs w:val="20"/>
              </w:rPr>
              <w:t xml:space="preserve">Description</w:t>
            </w:r>
          </w:p>
        </w:tc>
      </w:tr>
      <w:tr>
        <w:tc>
          <w:tcPr>
            <w:tcW w:type="dxa" w:w="1200"/>
            <w:shd w:fill="FFFFFF" w:val="clear"/>
            <w:vAlign w:val="top"/>
          </w:tcPr>
          <w:p>
            <w:pPr>
              <w:spacing w:after="60" w:before="60"/>
            </w:pPr>
            <w:r>
              <w:rPr>
                <w:b w:val="false"/>
                <w:bCs w:val="false"/>
                <w:color w:val="111827"/>
                <w:sz w:val="20"/>
                <w:szCs w:val="20"/>
              </w:rPr>
              <w:t xml:space="preserve">GET</w:t>
            </w:r>
          </w:p>
        </w:tc>
        <w:tc>
          <w:tcPr>
            <w:tcW w:type="dxa" w:w="3000"/>
            <w:shd w:fill="FFFFFF" w:val="clear"/>
            <w:vAlign w:val="top"/>
          </w:tcPr>
          <w:p>
            <w:pPr>
              <w:spacing w:after="60" w:before="60"/>
            </w:pPr>
            <w:r>
              <w:rPr>
                <w:b w:val="false"/>
                <w:bCs w:val="false"/>
                <w:color w:val="111827"/>
                <w:sz w:val="20"/>
                <w:szCs w:val="20"/>
              </w:rPr>
              <w:t xml:space="preserve">/</w:t>
            </w:r>
          </w:p>
        </w:tc>
        <w:tc>
          <w:tcPr>
            <w:tcW w:type="dxa" w:w="5280"/>
            <w:shd w:fill="FFFFFF" w:val="clear"/>
            <w:vAlign w:val="top"/>
          </w:tcPr>
          <w:p>
            <w:pPr>
              <w:spacing w:after="60" w:before="60"/>
            </w:pPr>
            <w:r>
              <w:rPr>
                <w:b w:val="false"/>
                <w:bCs w:val="false"/>
                <w:color w:val="111827"/>
                <w:sz w:val="20"/>
                <w:szCs w:val="20"/>
              </w:rPr>
              <w:t xml:space="preserve">Single-page web dashboard (HTML)</w:t>
            </w:r>
          </w:p>
        </w:tc>
      </w:tr>
      <w:tr>
        <w:tc>
          <w:tcPr>
            <w:tcW w:type="dxa" w:w="1200"/>
            <w:shd w:fill="EFF6FF" w:val="clear"/>
            <w:vAlign w:val="top"/>
          </w:tcPr>
          <w:p>
            <w:pPr>
              <w:spacing w:after="60" w:before="60"/>
            </w:pPr>
            <w:r>
              <w:rPr>
                <w:b w:val="false"/>
                <w:bCs w:val="false"/>
                <w:color w:val="111827"/>
                <w:sz w:val="20"/>
                <w:szCs w:val="20"/>
              </w:rPr>
              <w:t xml:space="preserve">GET</w:t>
            </w:r>
          </w:p>
        </w:tc>
        <w:tc>
          <w:tcPr>
            <w:tcW w:type="dxa" w:w="3000"/>
            <w:shd w:fill="EFF6FF" w:val="clear"/>
            <w:vAlign w:val="top"/>
          </w:tcPr>
          <w:p>
            <w:pPr>
              <w:spacing w:after="60" w:before="60"/>
            </w:pPr>
            <w:r>
              <w:rPr>
                <w:b w:val="false"/>
                <w:bCs w:val="false"/>
                <w:color w:val="111827"/>
                <w:sz w:val="20"/>
                <w:szCs w:val="20"/>
              </w:rPr>
              <w:t xml:space="preserve">/api/projects</w:t>
            </w:r>
          </w:p>
        </w:tc>
        <w:tc>
          <w:tcPr>
            <w:tcW w:type="dxa" w:w="5280"/>
            <w:shd w:fill="EFF6FF" w:val="clear"/>
            <w:vAlign w:val="top"/>
          </w:tcPr>
          <w:p>
            <w:pPr>
              <w:spacing w:after="60" w:before="60"/>
            </w:pPr>
            <w:r>
              <w:rPr>
                <w:b w:val="false"/>
                <w:bCs w:val="false"/>
                <w:color w:val="111827"/>
                <w:sz w:val="20"/>
                <w:szCs w:val="20"/>
              </w:rPr>
              <w:t xml:space="preserve">List all projects</w:t>
            </w:r>
          </w:p>
        </w:tc>
      </w:tr>
      <w:tr>
        <w:tc>
          <w:tcPr>
            <w:tcW w:type="dxa" w:w="1200"/>
            <w:shd w:fill="FFFFFF" w:val="clear"/>
            <w:vAlign w:val="top"/>
          </w:tcPr>
          <w:p>
            <w:pPr>
              <w:spacing w:after="60" w:before="60"/>
            </w:pPr>
            <w:r>
              <w:rPr>
                <w:b w:val="false"/>
                <w:bCs w:val="false"/>
                <w:color w:val="111827"/>
                <w:sz w:val="20"/>
                <w:szCs w:val="20"/>
              </w:rPr>
              <w:t xml:space="preserve">POST</w:t>
            </w:r>
          </w:p>
        </w:tc>
        <w:tc>
          <w:tcPr>
            <w:tcW w:type="dxa" w:w="3000"/>
            <w:shd w:fill="FFFFFF" w:val="clear"/>
            <w:vAlign w:val="top"/>
          </w:tcPr>
          <w:p>
            <w:pPr>
              <w:spacing w:after="60" w:before="60"/>
            </w:pPr>
            <w:r>
              <w:rPr>
                <w:b w:val="false"/>
                <w:bCs w:val="false"/>
                <w:color w:val="111827"/>
                <w:sz w:val="20"/>
                <w:szCs w:val="20"/>
              </w:rPr>
              <w:t xml:space="preserve">/api/projects</w:t>
            </w:r>
          </w:p>
        </w:tc>
        <w:tc>
          <w:tcPr>
            <w:tcW w:type="dxa" w:w="5280"/>
            <w:shd w:fill="FFFFFF" w:val="clear"/>
            <w:vAlign w:val="top"/>
          </w:tcPr>
          <w:p>
            <w:pPr>
              <w:spacing w:after="60" w:before="60"/>
            </w:pPr>
            <w:r>
              <w:rPr>
                <w:b w:val="false"/>
                <w:bCs w:val="false"/>
                <w:color w:val="111827"/>
                <w:sz w:val="20"/>
                <w:szCs w:val="20"/>
              </w:rPr>
              <w:t xml:space="preserve">Create a new project workspace</w:t>
            </w:r>
          </w:p>
        </w:tc>
      </w:tr>
      <w:tr>
        <w:tc>
          <w:tcPr>
            <w:tcW w:type="dxa" w:w="1200"/>
            <w:shd w:fill="EFF6FF" w:val="clear"/>
            <w:vAlign w:val="top"/>
          </w:tcPr>
          <w:p>
            <w:pPr>
              <w:spacing w:after="60" w:before="60"/>
            </w:pPr>
            <w:r>
              <w:rPr>
                <w:b w:val="false"/>
                <w:bCs w:val="false"/>
                <w:color w:val="111827"/>
                <w:sz w:val="20"/>
                <w:szCs w:val="20"/>
              </w:rPr>
              <w:t xml:space="preserve">GET</w:t>
            </w:r>
          </w:p>
        </w:tc>
        <w:tc>
          <w:tcPr>
            <w:tcW w:type="dxa" w:w="3000"/>
            <w:shd w:fill="EFF6FF" w:val="clear"/>
            <w:vAlign w:val="top"/>
          </w:tcPr>
          <w:p>
            <w:pPr>
              <w:spacing w:after="60" w:before="60"/>
            </w:pPr>
            <w:r>
              <w:rPr>
                <w:b w:val="false"/>
                <w:bCs w:val="false"/>
                <w:color w:val="111827"/>
                <w:sz w:val="20"/>
                <w:szCs w:val="20"/>
              </w:rPr>
              <w:t xml:space="preserve">/api/projects/{id}</w:t>
            </w:r>
          </w:p>
        </w:tc>
        <w:tc>
          <w:tcPr>
            <w:tcW w:type="dxa" w:w="5280"/>
            <w:shd w:fill="EFF6FF" w:val="clear"/>
            <w:vAlign w:val="top"/>
          </w:tcPr>
          <w:p>
            <w:pPr>
              <w:spacing w:after="60" w:before="60"/>
            </w:pPr>
            <w:r>
              <w:rPr>
                <w:b w:val="false"/>
                <w:bCs w:val="false"/>
                <w:color w:val="111827"/>
                <w:sz w:val="20"/>
                <w:szCs w:val="20"/>
              </w:rPr>
              <w:t xml:space="preserve">Get project metadata</w:t>
            </w:r>
          </w:p>
        </w:tc>
      </w:tr>
      <w:tr>
        <w:tc>
          <w:tcPr>
            <w:tcW w:type="dxa" w:w="1200"/>
            <w:shd w:fill="FFFFFF" w:val="clear"/>
            <w:vAlign w:val="top"/>
          </w:tcPr>
          <w:p>
            <w:pPr>
              <w:spacing w:after="60" w:before="60"/>
            </w:pPr>
            <w:r>
              <w:rPr>
                <w:b w:val="false"/>
                <w:bCs w:val="false"/>
                <w:color w:val="111827"/>
                <w:sz w:val="20"/>
                <w:szCs w:val="20"/>
              </w:rPr>
              <w:t xml:space="preserve">PATCH</w:t>
            </w:r>
          </w:p>
        </w:tc>
        <w:tc>
          <w:tcPr>
            <w:tcW w:type="dxa" w:w="3000"/>
            <w:shd w:fill="FFFFFF" w:val="clear"/>
            <w:vAlign w:val="top"/>
          </w:tcPr>
          <w:p>
            <w:pPr>
              <w:spacing w:after="60" w:before="60"/>
            </w:pPr>
            <w:r>
              <w:rPr>
                <w:b w:val="false"/>
                <w:bCs w:val="false"/>
                <w:color w:val="111827"/>
                <w:sz w:val="20"/>
                <w:szCs w:val="20"/>
              </w:rPr>
              <w:t xml:space="preserve">/api/projects/{id}</w:t>
            </w:r>
          </w:p>
        </w:tc>
        <w:tc>
          <w:tcPr>
            <w:tcW w:type="dxa" w:w="5280"/>
            <w:shd w:fill="FFFFFF" w:val="clear"/>
            <w:vAlign w:val="top"/>
          </w:tcPr>
          <w:p>
            <w:pPr>
              <w:spacing w:after="60" w:before="60"/>
            </w:pPr>
            <w:r>
              <w:rPr>
                <w:b w:val="false"/>
                <w:bCs w:val="false"/>
                <w:color w:val="111827"/>
                <w:sz w:val="20"/>
                <w:szCs w:val="20"/>
              </w:rPr>
              <w:t xml:space="preserve">Update project name, description, or settings</w:t>
            </w:r>
          </w:p>
        </w:tc>
      </w:tr>
      <w:tr>
        <w:tc>
          <w:tcPr>
            <w:tcW w:type="dxa" w:w="1200"/>
            <w:shd w:fill="EFF6FF" w:val="clear"/>
            <w:vAlign w:val="top"/>
          </w:tcPr>
          <w:p>
            <w:pPr>
              <w:spacing w:after="60" w:before="60"/>
            </w:pPr>
            <w:r>
              <w:rPr>
                <w:b w:val="false"/>
                <w:bCs w:val="false"/>
                <w:color w:val="111827"/>
                <w:sz w:val="20"/>
                <w:szCs w:val="20"/>
              </w:rPr>
              <w:t xml:space="preserve">DELETE</w:t>
            </w:r>
          </w:p>
        </w:tc>
        <w:tc>
          <w:tcPr>
            <w:tcW w:type="dxa" w:w="3000"/>
            <w:shd w:fill="EFF6FF" w:val="clear"/>
            <w:vAlign w:val="top"/>
          </w:tcPr>
          <w:p>
            <w:pPr>
              <w:spacing w:after="60" w:before="60"/>
            </w:pPr>
            <w:r>
              <w:rPr>
                <w:b w:val="false"/>
                <w:bCs w:val="false"/>
                <w:color w:val="111827"/>
                <w:sz w:val="20"/>
                <w:szCs w:val="20"/>
              </w:rPr>
              <w:t xml:space="preserve">/api/projects/{id}</w:t>
            </w:r>
          </w:p>
        </w:tc>
        <w:tc>
          <w:tcPr>
            <w:tcW w:type="dxa" w:w="5280"/>
            <w:shd w:fill="EFF6FF" w:val="clear"/>
            <w:vAlign w:val="top"/>
          </w:tcPr>
          <w:p>
            <w:pPr>
              <w:spacing w:after="60" w:before="60"/>
            </w:pPr>
            <w:r>
              <w:rPr>
                <w:b w:val="false"/>
                <w:bCs w:val="false"/>
                <w:color w:val="111827"/>
                <w:sz w:val="20"/>
                <w:szCs w:val="20"/>
              </w:rPr>
              <w:t xml:space="preserve">Delete a project (not "default")</w:t>
            </w:r>
          </w:p>
        </w:tc>
      </w:tr>
      <w:tr>
        <w:tc>
          <w:tcPr>
            <w:tcW w:type="dxa" w:w="1200"/>
            <w:shd w:fill="FFFFFF" w:val="clear"/>
            <w:vAlign w:val="top"/>
          </w:tcPr>
          <w:p>
            <w:pPr>
              <w:spacing w:after="60" w:before="60"/>
            </w:pPr>
            <w:r>
              <w:rPr>
                <w:b w:val="false"/>
                <w:bCs w:val="false"/>
                <w:color w:val="111827"/>
                <w:sz w:val="20"/>
                <w:szCs w:val="20"/>
              </w:rPr>
              <w:t xml:space="preserve">GET</w:t>
            </w:r>
          </w:p>
        </w:tc>
        <w:tc>
          <w:tcPr>
            <w:tcW w:type="dxa" w:w="3000"/>
            <w:shd w:fill="FFFFFF" w:val="clear"/>
            <w:vAlign w:val="top"/>
          </w:tcPr>
          <w:p>
            <w:pPr>
              <w:spacing w:after="60" w:before="60"/>
            </w:pPr>
            <w:r>
              <w:rPr>
                <w:b w:val="false"/>
                <w:bCs w:val="false"/>
                <w:color w:val="111827"/>
                <w:sz w:val="20"/>
                <w:szCs w:val="20"/>
              </w:rPr>
              <w:t xml:space="preserve">/api/taxonomy</w:t>
            </w:r>
          </w:p>
        </w:tc>
        <w:tc>
          <w:tcPr>
            <w:tcW w:type="dxa" w:w="5280"/>
            <w:shd w:fill="FFFFFF" w:val="clear"/>
            <w:vAlign w:val="top"/>
          </w:tcPr>
          <w:p>
            <w:pPr>
              <w:spacing w:after="60" w:before="60"/>
            </w:pPr>
            <w:r>
              <w:rPr>
                <w:b w:val="false"/>
                <w:bCs w:val="false"/>
                <w:color w:val="111827"/>
                <w:sz w:val="20"/>
                <w:szCs w:val="20"/>
              </w:rPr>
              <w:t xml:space="preserve">Get full taxonomy tree for a project</w:t>
            </w:r>
          </w:p>
        </w:tc>
      </w:tr>
      <w:tr>
        <w:tc>
          <w:tcPr>
            <w:tcW w:type="dxa" w:w="1200"/>
            <w:shd w:fill="EFF6FF" w:val="clear"/>
            <w:vAlign w:val="top"/>
          </w:tcPr>
          <w:p>
            <w:pPr>
              <w:spacing w:after="60" w:before="60"/>
            </w:pPr>
            <w:r>
              <w:rPr>
                <w:b w:val="false"/>
                <w:bCs w:val="false"/>
                <w:color w:val="111827"/>
                <w:sz w:val="20"/>
                <w:szCs w:val="20"/>
              </w:rPr>
              <w:t xml:space="preserve">POST</w:t>
            </w:r>
          </w:p>
        </w:tc>
        <w:tc>
          <w:tcPr>
            <w:tcW w:type="dxa" w:w="3000"/>
            <w:shd w:fill="EFF6FF" w:val="clear"/>
            <w:vAlign w:val="top"/>
          </w:tcPr>
          <w:p>
            <w:pPr>
              <w:spacing w:after="60" w:before="60"/>
            </w:pPr>
            <w:r>
              <w:rPr>
                <w:b w:val="false"/>
                <w:bCs w:val="false"/>
                <w:color w:val="111827"/>
                <w:sz w:val="20"/>
                <w:szCs w:val="20"/>
              </w:rPr>
              <w:t xml:space="preserve">/api/taxonomy/custom</w:t>
            </w:r>
          </w:p>
        </w:tc>
        <w:tc>
          <w:tcPr>
            <w:tcW w:type="dxa" w:w="5280"/>
            <w:shd w:fill="EFF6FF" w:val="clear"/>
            <w:vAlign w:val="top"/>
          </w:tcPr>
          <w:p>
            <w:pPr>
              <w:spacing w:after="60" w:before="60"/>
            </w:pPr>
            <w:r>
              <w:rPr>
                <w:b w:val="false"/>
                <w:bCs w:val="false"/>
                <w:color w:val="111827"/>
                <w:sz w:val="20"/>
                <w:szCs w:val="20"/>
              </w:rPr>
              <w:t xml:space="preserve">Import a custom ontology JSON into the taxonomy</w:t>
            </w:r>
          </w:p>
        </w:tc>
      </w:tr>
      <w:tr>
        <w:tc>
          <w:tcPr>
            <w:tcW w:type="dxa" w:w="1200"/>
            <w:shd w:fill="FFFFFF" w:val="clear"/>
            <w:vAlign w:val="top"/>
          </w:tcPr>
          <w:p>
            <w:pPr>
              <w:spacing w:after="60" w:before="60"/>
            </w:pPr>
            <w:r>
              <w:rPr>
                <w:b w:val="false"/>
                <w:bCs w:val="false"/>
                <w:color w:val="111827"/>
                <w:sz w:val="20"/>
                <w:szCs w:val="20"/>
              </w:rPr>
              <w:t xml:space="preserve">GET</w:t>
            </w:r>
          </w:p>
        </w:tc>
        <w:tc>
          <w:tcPr>
            <w:tcW w:type="dxa" w:w="3000"/>
            <w:shd w:fill="FFFFFF" w:val="clear"/>
            <w:vAlign w:val="top"/>
          </w:tcPr>
          <w:p>
            <w:pPr>
              <w:spacing w:after="60" w:before="60"/>
            </w:pPr>
            <w:r>
              <w:rPr>
                <w:b w:val="false"/>
                <w:bCs w:val="false"/>
                <w:color w:val="111827"/>
                <w:sz w:val="20"/>
                <w:szCs w:val="20"/>
              </w:rPr>
              <w:t xml:space="preserve">/api/incidents</w:t>
            </w:r>
          </w:p>
        </w:tc>
        <w:tc>
          <w:tcPr>
            <w:tcW w:type="dxa" w:w="5280"/>
            <w:shd w:fill="FFFFFF" w:val="clear"/>
            <w:vAlign w:val="top"/>
          </w:tcPr>
          <w:p>
            <w:pPr>
              <w:spacing w:after="60" w:before="60"/>
            </w:pPr>
            <w:r>
              <w:rPr>
                <w:b w:val="false"/>
                <w:bCs w:val="false"/>
                <w:color w:val="111827"/>
                <w:sz w:val="20"/>
                <w:szCs w:val="20"/>
              </w:rPr>
              <w:t xml:space="preserve">Get all enriched incidents for a project</w:t>
            </w:r>
          </w:p>
        </w:tc>
      </w:tr>
      <w:tr>
        <w:tc>
          <w:tcPr>
            <w:tcW w:type="dxa" w:w="1200"/>
            <w:shd w:fill="EFF6FF" w:val="clear"/>
            <w:vAlign w:val="top"/>
          </w:tcPr>
          <w:p>
            <w:pPr>
              <w:spacing w:after="60" w:before="60"/>
            </w:pPr>
            <w:r>
              <w:rPr>
                <w:b w:val="false"/>
                <w:bCs w:val="false"/>
                <w:color w:val="111827"/>
                <w:sz w:val="20"/>
                <w:szCs w:val="20"/>
              </w:rPr>
              <w:t xml:space="preserve">GET</w:t>
            </w:r>
          </w:p>
        </w:tc>
        <w:tc>
          <w:tcPr>
            <w:tcW w:type="dxa" w:w="3000"/>
            <w:shd w:fill="EFF6FF" w:val="clear"/>
            <w:vAlign w:val="top"/>
          </w:tcPr>
          <w:p>
            <w:pPr>
              <w:spacing w:after="60" w:before="60"/>
            </w:pPr>
            <w:r>
              <w:rPr>
                <w:b w:val="false"/>
                <w:bCs w:val="false"/>
                <w:color w:val="111827"/>
                <w:sz w:val="20"/>
                <w:szCs w:val="20"/>
              </w:rPr>
              <w:t xml:space="preserve">/api/analytics</w:t>
            </w:r>
          </w:p>
        </w:tc>
        <w:tc>
          <w:tcPr>
            <w:tcW w:type="dxa" w:w="5280"/>
            <w:shd w:fill="EFF6FF" w:val="clear"/>
            <w:vAlign w:val="top"/>
          </w:tcPr>
          <w:p>
            <w:pPr>
              <w:spacing w:after="60" w:before="60"/>
            </w:pPr>
            <w:r>
              <w:rPr>
                <w:b w:val="false"/>
                <w:bCs w:val="false"/>
                <w:color w:val="111827"/>
                <w:sz w:val="20"/>
                <w:szCs w:val="20"/>
              </w:rPr>
              <w:t xml:space="preserve">Aggregated analytics (by tech, domain, failure, resolution)</w:t>
            </w:r>
          </w:p>
        </w:tc>
      </w:tr>
      <w:tr>
        <w:tc>
          <w:tcPr>
            <w:tcW w:type="dxa" w:w="1200"/>
            <w:shd w:fill="FFFFFF" w:val="clear"/>
            <w:vAlign w:val="top"/>
          </w:tcPr>
          <w:p>
            <w:pPr>
              <w:spacing w:after="60" w:before="60"/>
            </w:pPr>
            <w:r>
              <w:rPr>
                <w:b w:val="false"/>
                <w:bCs w:val="false"/>
                <w:color w:val="111827"/>
                <w:sz w:val="20"/>
                <w:szCs w:val="20"/>
              </w:rPr>
              <w:t xml:space="preserve">POST</w:t>
            </w:r>
          </w:p>
        </w:tc>
        <w:tc>
          <w:tcPr>
            <w:tcW w:type="dxa" w:w="3000"/>
            <w:shd w:fill="FFFFFF" w:val="clear"/>
            <w:vAlign w:val="top"/>
          </w:tcPr>
          <w:p>
            <w:pPr>
              <w:spacing w:after="60" w:before="60"/>
            </w:pPr>
            <w:r>
              <w:rPr>
                <w:b w:val="false"/>
                <w:bCs w:val="false"/>
                <w:color w:val="111827"/>
                <w:sz w:val="20"/>
                <w:szCs w:val="20"/>
              </w:rPr>
              <w:t xml:space="preserve">/api/classify_single</w:t>
            </w:r>
          </w:p>
        </w:tc>
        <w:tc>
          <w:tcPr>
            <w:tcW w:type="dxa" w:w="5280"/>
            <w:shd w:fill="FFFFFF" w:val="clear"/>
            <w:vAlign w:val="top"/>
          </w:tcPr>
          <w:p>
            <w:pPr>
              <w:spacing w:after="60" w:before="60"/>
            </w:pPr>
            <w:r>
              <w:rPr>
                <w:b w:val="false"/>
                <w:bCs w:val="false"/>
                <w:color w:val="111827"/>
                <w:sz w:val="20"/>
                <w:szCs w:val="20"/>
              </w:rPr>
              <w:t xml:space="preserve">Classify a single incident (title, description, resolution, severity)</w:t>
            </w:r>
          </w:p>
        </w:tc>
      </w:tr>
      <w:tr>
        <w:tc>
          <w:tcPr>
            <w:tcW w:type="dxa" w:w="1200"/>
            <w:shd w:fill="EFF6FF" w:val="clear"/>
            <w:vAlign w:val="top"/>
          </w:tcPr>
          <w:p>
            <w:pPr>
              <w:spacing w:after="60" w:before="60"/>
            </w:pPr>
            <w:r>
              <w:rPr>
                <w:b w:val="false"/>
                <w:bCs w:val="false"/>
                <w:color w:val="111827"/>
                <w:sz w:val="20"/>
                <w:szCs w:val="20"/>
              </w:rPr>
              <w:t xml:space="preserve">POST</w:t>
            </w:r>
          </w:p>
        </w:tc>
        <w:tc>
          <w:tcPr>
            <w:tcW w:type="dxa" w:w="3000"/>
            <w:shd w:fill="EFF6FF" w:val="clear"/>
            <w:vAlign w:val="top"/>
          </w:tcPr>
          <w:p>
            <w:pPr>
              <w:spacing w:after="60" w:before="60"/>
            </w:pPr>
            <w:r>
              <w:rPr>
                <w:b w:val="false"/>
                <w:bCs w:val="false"/>
                <w:color w:val="111827"/>
                <w:sz w:val="20"/>
                <w:szCs w:val="20"/>
              </w:rPr>
              <w:t xml:space="preserve">/api/upload_file</w:t>
            </w:r>
          </w:p>
        </w:tc>
        <w:tc>
          <w:tcPr>
            <w:tcW w:type="dxa" w:w="5280"/>
            <w:shd w:fill="EFF6FF" w:val="clear"/>
            <w:vAlign w:val="top"/>
          </w:tcPr>
          <w:p>
            <w:pPr>
              <w:spacing w:after="60" w:before="60"/>
            </w:pPr>
            <w:r>
              <w:rPr>
                <w:b w:val="false"/>
                <w:bCs w:val="false"/>
                <w:color w:val="111827"/>
                <w:sz w:val="20"/>
                <w:szCs w:val="20"/>
              </w:rPr>
              <w:t xml:space="preserve">Upload and batch-process a CSV or Excel file</w:t>
            </w:r>
          </w:p>
        </w:tc>
      </w:tr>
      <w:tr>
        <w:tc>
          <w:tcPr>
            <w:tcW w:type="dxa" w:w="1200"/>
            <w:shd w:fill="FFFFFF" w:val="clear"/>
            <w:vAlign w:val="top"/>
          </w:tcPr>
          <w:p>
            <w:pPr>
              <w:spacing w:after="60" w:before="60"/>
            </w:pPr>
            <w:r>
              <w:rPr>
                <w:b w:val="false"/>
                <w:bCs w:val="false"/>
                <w:color w:val="111827"/>
                <w:sz w:val="20"/>
                <w:szCs w:val="20"/>
              </w:rPr>
              <w:t xml:space="preserve">POST</w:t>
            </w:r>
          </w:p>
        </w:tc>
        <w:tc>
          <w:tcPr>
            <w:tcW w:type="dxa" w:w="3000"/>
            <w:shd w:fill="FFFFFF" w:val="clear"/>
            <w:vAlign w:val="top"/>
          </w:tcPr>
          <w:p>
            <w:pPr>
              <w:spacing w:after="60" w:before="60"/>
            </w:pPr>
            <w:r>
              <w:rPr>
                <w:b w:val="false"/>
                <w:bCs w:val="false"/>
                <w:color w:val="111827"/>
                <w:sz w:val="20"/>
                <w:szCs w:val="20"/>
              </w:rPr>
              <w:t xml:space="preserve">/api/run_batch</w:t>
            </w:r>
          </w:p>
        </w:tc>
        <w:tc>
          <w:tcPr>
            <w:tcW w:type="dxa" w:w="5280"/>
            <w:shd w:fill="FFFFFF" w:val="clear"/>
            <w:vAlign w:val="top"/>
          </w:tcPr>
          <w:p>
            <w:pPr>
              <w:spacing w:after="60" w:before="60"/>
            </w:pPr>
            <w:r>
              <w:rPr>
                <w:b w:val="false"/>
                <w:bCs w:val="false"/>
                <w:color w:val="111827"/>
                <w:sz w:val="20"/>
                <w:szCs w:val="20"/>
              </w:rPr>
              <w:t xml:space="preserve">Run batch on the bundled sample_incidents.csv</w:t>
            </w:r>
          </w:p>
        </w:tc>
      </w:tr>
    </w:tbl>
    <w:p>
      <w:pPr>
        <w:spacing w:after="160"/>
        <w:jc w:val="center"/>
      </w:pPr>
      <w:r>
        <w:rPr>
          <w:i/>
          <w:iCs/>
          <w:color w:val="6B7280"/>
          <w:sz w:val="18"/>
          <w:szCs w:val="18"/>
        </w:rPr>
        <w:t xml:space="preserve">Table 4 — REST API endpoints</w:t>
      </w:r>
    </w:p>
    <w:p>
      <w:pPr>
        <w:spacing w:after="120"/>
      </w:pPr>
    </w:p>
    <w:p>
      <w:r>
        <w:br w:type="page"/>
      </w:r>
    </w:p>
    <w:p>
      <w:pPr>
        <w:pStyle w:val="Heading1"/>
        <w:spacing w:after="160" w:before="400"/>
      </w:pPr>
      <w:r>
        <w:rPr>
          <w:b/>
          <w:bCs/>
          <w:color w:val="1A56DB"/>
          <w:sz w:val="36"/>
          <w:szCs w:val="36"/>
        </w:rPr>
        <w:t xml:space="preserve">5. Technology Stack</w:t>
      </w:r>
    </w:p>
    <w:p>
      <w:pPr>
        <w:spacing w:after="120"/>
      </w:pPr>
    </w:p>
    <w:p>
      <w:pPr>
        <w:pStyle w:val="Heading2"/>
        <w:spacing w:after="120" w:before="280"/>
      </w:pPr>
      <w:r>
        <w:rPr>
          <w:b/>
          <w:bCs/>
          <w:color w:val="1A56DB"/>
          <w:sz w:val="28"/>
          <w:szCs w:val="28"/>
        </w:rPr>
        <w:t xml:space="preserve">5.1  Backend (Python)</w:t>
      </w:r>
    </w:p>
    <w:p>
      <w:pPr>
        <w:pStyle w:val="ListParagraph"/>
        <w:numPr>
          <w:ilvl w:val="0"/>
          <w:numId w:val="2"/>
        </w:numPr>
        <w:spacing w:after="80"/>
      </w:pPr>
      <w:r>
        <w:rPr>
          <w:color w:val="111827"/>
          <w:sz w:val="22"/>
          <w:szCs w:val="22"/>
        </w:rPr>
        <w:t xml:space="preserve">FastAPI + Uvicorn — web framework and ASGI server</w:t>
      </w:r>
    </w:p>
    <w:p>
      <w:pPr>
        <w:pStyle w:val="ListParagraph"/>
        <w:numPr>
          <w:ilvl w:val="0"/>
          <w:numId w:val="2"/>
        </w:numPr>
        <w:spacing w:after="80"/>
      </w:pPr>
      <w:r>
        <w:rPr>
          <w:color w:val="111827"/>
          <w:sz w:val="22"/>
          <w:szCs w:val="22"/>
        </w:rPr>
        <w:t xml:space="preserve">Pydantic — data models and validation throughout the entire data pipeline</w:t>
      </w:r>
    </w:p>
    <w:p>
      <w:pPr>
        <w:pStyle w:val="ListParagraph"/>
        <w:numPr>
          <w:ilvl w:val="0"/>
          <w:numId w:val="2"/>
        </w:numPr>
        <w:spacing w:after="80"/>
      </w:pPr>
      <w:r>
        <w:rPr>
          <w:color w:val="111827"/>
          <w:sz w:val="22"/>
          <w:szCs w:val="22"/>
        </w:rPr>
        <w:t xml:space="preserve">google-genai — official Gemini API SDK</w:t>
      </w:r>
    </w:p>
    <w:p>
      <w:pPr>
        <w:pStyle w:val="ListParagraph"/>
        <w:numPr>
          <w:ilvl w:val="0"/>
          <w:numId w:val="2"/>
        </w:numPr>
        <w:spacing w:after="80"/>
      </w:pPr>
      <w:r>
        <w:rPr>
          <w:color w:val="111827"/>
          <w:sz w:val="22"/>
          <w:szCs w:val="22"/>
        </w:rPr>
        <w:t xml:space="preserve">google-adk — Google Agent Development Kit for the conversational agent</w:t>
      </w:r>
    </w:p>
    <w:p>
      <w:pPr>
        <w:pStyle w:val="ListParagraph"/>
        <w:numPr>
          <w:ilvl w:val="0"/>
          <w:numId w:val="2"/>
        </w:numPr>
        <w:spacing w:after="80"/>
      </w:pPr>
      <w:r>
        <w:rPr>
          <w:color w:val="111827"/>
          <w:sz w:val="22"/>
          <w:szCs w:val="22"/>
        </w:rPr>
        <w:t xml:space="preserve">google-cloud-firestore — Firestore storage backend</w:t>
      </w:r>
    </w:p>
    <w:p>
      <w:pPr>
        <w:pStyle w:val="ListParagraph"/>
        <w:numPr>
          <w:ilvl w:val="0"/>
          <w:numId w:val="2"/>
        </w:numPr>
        <w:spacing w:after="80"/>
      </w:pPr>
      <w:r>
        <w:rPr>
          <w:color w:val="111827"/>
          <w:sz w:val="22"/>
          <w:szCs w:val="22"/>
        </w:rPr>
        <w:t xml:space="preserve">google-cloud-storage — GCS artifact upload for generated videos</w:t>
      </w:r>
    </w:p>
    <w:p>
      <w:pPr>
        <w:pStyle w:val="ListParagraph"/>
        <w:numPr>
          <w:ilvl w:val="0"/>
          <w:numId w:val="2"/>
        </w:numPr>
        <w:spacing w:after="80"/>
      </w:pPr>
      <w:r>
        <w:rPr>
          <w:color w:val="111827"/>
          <w:sz w:val="22"/>
          <w:szCs w:val="22"/>
        </w:rPr>
        <w:t xml:space="preserve">pandas — CSV parsing in the batch ingestion pipeline</w:t>
      </w:r>
    </w:p>
    <w:p>
      <w:pPr>
        <w:pStyle w:val="ListParagraph"/>
        <w:numPr>
          <w:ilvl w:val="0"/>
          <w:numId w:val="2"/>
        </w:numPr>
        <w:spacing w:after="80"/>
      </w:pPr>
      <w:r>
        <w:rPr>
          <w:color w:val="111827"/>
          <w:sz w:val="22"/>
          <w:szCs w:val="22"/>
        </w:rPr>
        <w:t xml:space="preserve">openpyxl — Excel streaming reader for .xlsx / .xls files</w:t>
      </w:r>
    </w:p>
    <w:p>
      <w:pPr>
        <w:pStyle w:val="ListParagraph"/>
        <w:numPr>
          <w:ilvl w:val="0"/>
          <w:numId w:val="2"/>
        </w:numPr>
        <w:spacing w:after="80"/>
      </w:pPr>
      <w:r>
        <w:rPr>
          <w:color w:val="111827"/>
          <w:sz w:val="22"/>
          <w:szCs w:val="22"/>
        </w:rPr>
        <w:t xml:space="preserve">httpx — async HTTP client used in the frontend proxy</w:t>
      </w:r>
    </w:p>
    <w:p>
      <w:pPr>
        <w:spacing w:after="120"/>
      </w:pPr>
    </w:p>
    <w:p>
      <w:pPr>
        <w:pStyle w:val="Heading2"/>
        <w:spacing w:after="120" w:before="280"/>
      </w:pPr>
      <w:r>
        <w:rPr>
          <w:b/>
          <w:bCs/>
          <w:color w:val="1A56DB"/>
          <w:sz w:val="28"/>
          <w:szCs w:val="28"/>
        </w:rPr>
        <w:t xml:space="preserve">5.2  Optional Provider Libraries</w:t>
      </w:r>
    </w:p>
    <w:p>
      <w:pPr>
        <w:spacing w:after="120"/>
      </w:pPr>
      <w:r>
        <w:rPr>
          <w:color w:val="111827"/>
          <w:sz w:val="22"/>
          <w:szCs w:val="22"/>
        </w:rPr>
        <w:t xml:space="preserve">Install separately based on the selected provider or backend:</w:t>
      </w:r>
    </w:p>
    <w:p>
      <w:pPr>
        <w:pStyle w:val="ListParagraph"/>
        <w:numPr>
          <w:ilvl w:val="0"/>
          <w:numId w:val="2"/>
        </w:numPr>
        <w:spacing w:after="80"/>
      </w:pPr>
      <w:r>
        <w:rPr>
          <w:color w:val="111827"/>
          <w:sz w:val="22"/>
          <w:szCs w:val="22"/>
        </w:rPr>
        <w:t xml:space="preserve">anthropic — required for LLM_PROVIDER=anthropic</w:t>
      </w:r>
    </w:p>
    <w:p>
      <w:pPr>
        <w:pStyle w:val="ListParagraph"/>
        <w:numPr>
          <w:ilvl w:val="0"/>
          <w:numId w:val="2"/>
        </w:numPr>
        <w:spacing w:after="80"/>
      </w:pPr>
      <w:r>
        <w:rPr>
          <w:color w:val="111827"/>
          <w:sz w:val="22"/>
          <w:szCs w:val="22"/>
        </w:rPr>
        <w:t xml:space="preserve">openai — required for LLM_PROVIDER=openai</w:t>
      </w:r>
    </w:p>
    <w:p>
      <w:pPr>
        <w:pStyle w:val="ListParagraph"/>
        <w:numPr>
          <w:ilvl w:val="0"/>
          <w:numId w:val="2"/>
        </w:numPr>
        <w:spacing w:after="80"/>
      </w:pPr>
      <w:r>
        <w:rPr>
          <w:color w:val="111827"/>
          <w:sz w:val="22"/>
          <w:szCs w:val="22"/>
        </w:rPr>
        <w:t xml:space="preserve">boto3 — required for STORAGE_BACKEND=dynamodb</w:t>
      </w:r>
    </w:p>
    <w:p>
      <w:pPr>
        <w:pStyle w:val="ListParagraph"/>
        <w:numPr>
          <w:ilvl w:val="0"/>
          <w:numId w:val="2"/>
        </w:numPr>
        <w:spacing w:after="80"/>
      </w:pPr>
      <w:r>
        <w:rPr>
          <w:color w:val="111827"/>
          <w:sz w:val="22"/>
          <w:szCs w:val="22"/>
        </w:rPr>
        <w:t xml:space="preserve">azure-cosmos — required for STORAGE_BACKEND=cosmosdb</w:t>
      </w:r>
    </w:p>
    <w:p>
      <w:pPr>
        <w:pStyle w:val="ListParagraph"/>
        <w:numPr>
          <w:ilvl w:val="0"/>
          <w:numId w:val="2"/>
        </w:numPr>
        <w:spacing w:after="80"/>
      </w:pPr>
      <w:r>
        <w:rPr>
          <w:color w:val="111827"/>
          <w:sz w:val="22"/>
          <w:szCs w:val="22"/>
        </w:rPr>
        <w:t xml:space="preserve">pymongo — required for STORAGE_BACKEND=mongodb</w:t>
      </w:r>
    </w:p>
    <w:p>
      <w:pPr>
        <w:spacing w:after="120"/>
      </w:pPr>
    </w:p>
    <w:p>
      <w:pPr>
        <w:pStyle w:val="Heading2"/>
        <w:spacing w:after="120" w:before="280"/>
      </w:pPr>
      <w:r>
        <w:rPr>
          <w:b/>
          <w:bCs/>
          <w:color w:val="1A56DB"/>
          <w:sz w:val="28"/>
          <w:szCs w:val="28"/>
        </w:rPr>
        <w:t xml:space="preserve">5.3  Frontend</w:t>
      </w:r>
    </w:p>
    <w:p>
      <w:pPr>
        <w:pStyle w:val="ListParagraph"/>
        <w:numPr>
          <w:ilvl w:val="0"/>
          <w:numId w:val="2"/>
        </w:numPr>
        <w:spacing w:after="80"/>
      </w:pPr>
      <w:r>
        <w:rPr>
          <w:color w:val="111827"/>
          <w:sz w:val="22"/>
          <w:szCs w:val="22"/>
        </w:rPr>
        <w:t xml:space="preserve">Tailwind CSS — loaded from CDN; no build step required</w:t>
      </w:r>
    </w:p>
    <w:p>
      <w:pPr>
        <w:pStyle w:val="ListParagraph"/>
        <w:numPr>
          <w:ilvl w:val="0"/>
          <w:numId w:val="2"/>
        </w:numPr>
        <w:spacing w:after="80"/>
      </w:pPr>
      <w:r>
        <w:rPr>
          <w:color w:val="111827"/>
          <w:sz w:val="22"/>
          <w:szCs w:val="22"/>
        </w:rPr>
        <w:t xml:space="preserve">Chart.js — bar and doughnut charts for analytics visualization</w:t>
      </w:r>
    </w:p>
    <w:p>
      <w:pPr>
        <w:pStyle w:val="ListParagraph"/>
        <w:numPr>
          <w:ilvl w:val="0"/>
          <w:numId w:val="2"/>
        </w:numPr>
        <w:spacing w:after="80"/>
      </w:pPr>
      <w:r>
        <w:rPr>
          <w:color w:val="111827"/>
          <w:sz w:val="22"/>
          <w:szCs w:val="22"/>
        </w:rPr>
        <w:t xml:space="preserve">Playwright — browser automation for end-to-end testing (Node.js)</w:t>
      </w:r>
    </w:p>
    <w:p>
      <w:pPr>
        <w:spacing w:after="120"/>
      </w:pPr>
    </w:p>
    <w:p>
      <w:pPr>
        <w:pStyle w:val="Heading2"/>
        <w:spacing w:after="120" w:before="280"/>
      </w:pPr>
      <w:r>
        <w:rPr>
          <w:b/>
          <w:bCs/>
          <w:color w:val="1A56DB"/>
          <w:sz w:val="28"/>
          <w:szCs w:val="28"/>
        </w:rPr>
        <w:t xml:space="preserve">5.4  Infrastructure</w:t>
      </w:r>
    </w:p>
    <w:p>
      <w:pPr>
        <w:pStyle w:val="ListParagraph"/>
        <w:numPr>
          <w:ilvl w:val="0"/>
          <w:numId w:val="2"/>
        </w:numPr>
        <w:spacing w:after="80"/>
      </w:pPr>
      <w:r>
        <w:rPr>
          <w:color w:val="111827"/>
          <w:sz w:val="22"/>
          <w:szCs w:val="22"/>
        </w:rPr>
        <w:t xml:space="preserve">Docker — two-stage build using python:3.11-slim, exposes port 8080</w:t>
      </w:r>
    </w:p>
    <w:p>
      <w:pPr>
        <w:pStyle w:val="ListParagraph"/>
        <w:numPr>
          <w:ilvl w:val="0"/>
          <w:numId w:val="2"/>
        </w:numPr>
        <w:spacing w:after="80"/>
      </w:pPr>
      <w:r>
        <w:rPr>
          <w:color w:val="111827"/>
          <w:sz w:val="22"/>
          <w:szCs w:val="22"/>
        </w:rPr>
        <w:t xml:space="preserve">Vertex AI Reasoning Engines — hosts the deployed ADK conversational agent</w:t>
      </w:r>
    </w:p>
    <w:p>
      <w:pPr>
        <w:pStyle w:val="ListParagraph"/>
        <w:numPr>
          <w:ilvl w:val="0"/>
          <w:numId w:val="2"/>
        </w:numPr>
        <w:spacing w:after="80"/>
      </w:pPr>
      <w:r>
        <w:rPr>
          <w:color w:val="111827"/>
          <w:sz w:val="22"/>
          <w:szCs w:val="22"/>
        </w:rPr>
        <w:t xml:space="preserve">Google Cloud Storage — video artifact storage</w:t>
      </w:r>
    </w:p>
    <w:p>
      <w:pPr>
        <w:spacing w:after="120"/>
      </w:pPr>
    </w:p>
    <w:p>
      <w:r>
        <w:br w:type="page"/>
      </w:r>
    </w:p>
    <w:p>
      <w:pPr>
        <w:pStyle w:val="Heading1"/>
        <w:spacing w:after="160" w:before="400"/>
      </w:pPr>
      <w:r>
        <w:rPr>
          <w:b/>
          <w:bCs/>
          <w:color w:val="1A56DB"/>
          <w:sz w:val="36"/>
          <w:szCs w:val="36"/>
        </w:rPr>
        <w:t xml:space="preserve">6. Configuration &amp; Deployment</w:t>
      </w:r>
    </w:p>
    <w:p>
      <w:pPr>
        <w:spacing w:after="120"/>
      </w:pPr>
    </w:p>
    <w:p>
      <w:pPr>
        <w:pStyle w:val="Heading2"/>
        <w:spacing w:after="120" w:before="280"/>
      </w:pPr>
      <w:r>
        <w:rPr>
          <w:b/>
          <w:bCs/>
          <w:color w:val="1A56DB"/>
          <w:sz w:val="28"/>
          <w:szCs w:val="28"/>
        </w:rPr>
        <w:t xml:space="preserve">6.1  Environment Variables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480"/>
      </w:tblGrid>
      <w:tr>
        <w:tc>
          <w:tcPr>
            <w:tcW w:type="dxa" w:w="3200"/>
            <w:shd w:fill="1A56DB" w:val="clear"/>
          </w:tcPr>
          <w:p>
            <w:pPr>
              <w:spacing w:after="60" w:before="60"/>
            </w:pPr>
            <w:r>
              <w:rPr>
                <w:b/>
                <w:bCs/>
                <w:color w:val="FFFFFF"/>
                <w:sz w:val="20"/>
                <w:szCs w:val="20"/>
              </w:rPr>
              <w:t xml:space="preserve">Variable</w:t>
            </w:r>
          </w:p>
        </w:tc>
        <w:tc>
          <w:tcPr>
            <w:tcW w:type="dxa" w:w="1800"/>
            <w:shd w:fill="1A56DB" w:val="clear"/>
          </w:tcPr>
          <w:p>
            <w:pPr>
              <w:spacing w:after="60" w:before="60"/>
            </w:pPr>
            <w:r>
              <w:rPr>
                <w:b/>
                <w:bCs/>
                <w:color w:val="FFFFFF"/>
                <w:sz w:val="20"/>
                <w:szCs w:val="20"/>
              </w:rPr>
              <w:t xml:space="preserve">Default</w:t>
            </w:r>
          </w:p>
        </w:tc>
        <w:tc>
          <w:tcPr>
            <w:tcW w:type="dxa" w:w="4480"/>
            <w:shd w:fill="1A56DB" w:val="clear"/>
          </w:tcPr>
          <w:p>
            <w:pPr>
              <w:spacing w:after="60" w:before="60"/>
            </w:pPr>
            <w:r>
              <w:rPr>
                <w:b/>
                <w:bCs/>
                <w:color w:val="FFFFFF"/>
                <w:sz w:val="20"/>
                <w:szCs w:val="20"/>
              </w:rPr>
              <w:t xml:space="preserve">Purpose</w:t>
            </w:r>
          </w:p>
        </w:tc>
      </w:tr>
      <w:tr>
        <w:tc>
          <w:tcPr>
            <w:tcW w:type="dxa" w:w="3200"/>
            <w:shd w:fill="FFFFFF" w:val="clear"/>
            <w:vAlign w:val="top"/>
          </w:tcPr>
          <w:p>
            <w:pPr>
              <w:spacing w:after="60" w:before="60"/>
            </w:pPr>
            <w:r>
              <w:rPr>
                <w:b w:val="false"/>
                <w:bCs w:val="false"/>
                <w:color w:val="111827"/>
                <w:sz w:val="20"/>
                <w:szCs w:val="20"/>
              </w:rPr>
              <w:t xml:space="preserve">LLM_PROVIDER</w:t>
            </w:r>
          </w:p>
        </w:tc>
        <w:tc>
          <w:tcPr>
            <w:tcW w:type="dxa" w:w="1800"/>
            <w:shd w:fill="FFFFFF" w:val="clear"/>
            <w:vAlign w:val="top"/>
          </w:tcPr>
          <w:p>
            <w:pPr>
              <w:spacing w:after="60" w:before="60"/>
            </w:pPr>
            <w:r>
              <w:rPr>
                <w:b w:val="false"/>
                <w:bCs w:val="false"/>
                <w:color w:val="111827"/>
                <w:sz w:val="20"/>
                <w:szCs w:val="20"/>
              </w:rPr>
              <w:t xml:space="preserve">gemini</w:t>
            </w:r>
          </w:p>
        </w:tc>
        <w:tc>
          <w:tcPr>
            <w:tcW w:type="dxa" w:w="4480"/>
            <w:shd w:fill="FFFFFF" w:val="clear"/>
            <w:vAlign w:val="top"/>
          </w:tcPr>
          <w:p>
            <w:pPr>
              <w:spacing w:after="60" w:before="60"/>
            </w:pPr>
            <w:r>
              <w:rPr>
                <w:b w:val="false"/>
                <w:bCs w:val="false"/>
                <w:color w:val="111827"/>
                <w:sz w:val="20"/>
                <w:szCs w:val="20"/>
              </w:rPr>
              <w:t xml:space="preserve">LLM provider: gemini | anthropic | openai</w:t>
            </w:r>
          </w:p>
        </w:tc>
      </w:tr>
      <w:tr>
        <w:tc>
          <w:tcPr>
            <w:tcW w:type="dxa" w:w="3200"/>
            <w:shd w:fill="EFF6FF" w:val="clear"/>
            <w:vAlign w:val="top"/>
          </w:tcPr>
          <w:p>
            <w:pPr>
              <w:spacing w:after="60" w:before="60"/>
            </w:pPr>
            <w:r>
              <w:rPr>
                <w:b w:val="false"/>
                <w:bCs w:val="false"/>
                <w:color w:val="111827"/>
                <w:sz w:val="20"/>
                <w:szCs w:val="20"/>
              </w:rPr>
              <w:t xml:space="preserve">LLM_MODEL</w:t>
            </w:r>
          </w:p>
        </w:tc>
        <w:tc>
          <w:tcPr>
            <w:tcW w:type="dxa" w:w="1800"/>
            <w:shd w:fill="EFF6FF" w:val="clear"/>
            <w:vAlign w:val="top"/>
          </w:tcPr>
          <w:p>
            <w:pPr>
              <w:spacing w:after="60" w:before="60"/>
            </w:pPr>
            <w:r>
              <w:rPr>
                <w:b w:val="false"/>
                <w:bCs w:val="false"/>
                <w:color w:val="111827"/>
                <w:sz w:val="20"/>
                <w:szCs w:val="20"/>
              </w:rPr>
              <w:t xml:space="preserve">(per provider)</w:t>
            </w:r>
          </w:p>
        </w:tc>
        <w:tc>
          <w:tcPr>
            <w:tcW w:type="dxa" w:w="4480"/>
            <w:shd w:fill="EFF6FF" w:val="clear"/>
            <w:vAlign w:val="top"/>
          </w:tcPr>
          <w:p>
            <w:pPr>
              <w:spacing w:after="60" w:before="60"/>
            </w:pPr>
            <w:r>
              <w:rPr>
                <w:b w:val="false"/>
                <w:bCs w:val="false"/>
                <w:color w:val="111827"/>
                <w:sz w:val="20"/>
                <w:szCs w:val="20"/>
              </w:rPr>
              <w:t xml:space="preserve">Override the LLM model (e.g., gemini-2.5-flash)</w:t>
            </w:r>
          </w:p>
        </w:tc>
      </w:tr>
      <w:tr>
        <w:tc>
          <w:tcPr>
            <w:tcW w:type="dxa" w:w="3200"/>
            <w:shd w:fill="FFFFFF" w:val="clear"/>
            <w:vAlign w:val="top"/>
          </w:tcPr>
          <w:p>
            <w:pPr>
              <w:spacing w:after="60" w:before="60"/>
            </w:pPr>
            <w:r>
              <w:rPr>
                <w:b w:val="false"/>
                <w:bCs w:val="false"/>
                <w:color w:val="111827"/>
                <w:sz w:val="20"/>
                <w:szCs w:val="20"/>
              </w:rPr>
              <w:t xml:space="preserve">GEMINI_API_KEY / GOOGLE_API_KEY</w:t>
            </w:r>
          </w:p>
        </w:tc>
        <w:tc>
          <w:tcPr>
            <w:tcW w:type="dxa" w:w="1800"/>
            <w:shd w:fill="FFFFFF" w:val="clear"/>
            <w:vAlign w:val="top"/>
          </w:tcPr>
          <w:p>
            <w:pPr>
              <w:spacing w:after="60" w:before="60"/>
            </w:pPr>
            <w:r>
              <w:rPr>
                <w:b w:val="false"/>
                <w:bCs w:val="false"/>
                <w:color w:val="111827"/>
                <w:sz w:val="20"/>
                <w:szCs w:val="20"/>
              </w:rPr>
              <w:t xml:space="preserve">—</w:t>
            </w:r>
          </w:p>
        </w:tc>
        <w:tc>
          <w:tcPr>
            <w:tcW w:type="dxa" w:w="4480"/>
            <w:shd w:fill="FFFFFF" w:val="clear"/>
            <w:vAlign w:val="top"/>
          </w:tcPr>
          <w:p>
            <w:pPr>
              <w:spacing w:after="60" w:before="60"/>
            </w:pPr>
            <w:r>
              <w:rPr>
                <w:b w:val="false"/>
                <w:bCs w:val="false"/>
                <w:color w:val="111827"/>
                <w:sz w:val="20"/>
                <w:szCs w:val="20"/>
              </w:rPr>
              <w:t xml:space="preserve">API key for Gemini</w:t>
            </w:r>
          </w:p>
        </w:tc>
      </w:tr>
      <w:tr>
        <w:tc>
          <w:tcPr>
            <w:tcW w:type="dxa" w:w="3200"/>
            <w:shd w:fill="EFF6FF" w:val="clear"/>
            <w:vAlign w:val="top"/>
          </w:tcPr>
          <w:p>
            <w:pPr>
              <w:spacing w:after="60" w:before="60"/>
            </w:pPr>
            <w:r>
              <w:rPr>
                <w:b w:val="false"/>
                <w:bCs w:val="false"/>
                <w:color w:val="111827"/>
                <w:sz w:val="20"/>
                <w:szCs w:val="20"/>
              </w:rPr>
              <w:t xml:space="preserve">ANTHROPIC_API_KEY</w:t>
            </w:r>
          </w:p>
        </w:tc>
        <w:tc>
          <w:tcPr>
            <w:tcW w:type="dxa" w:w="1800"/>
            <w:shd w:fill="EFF6FF" w:val="clear"/>
            <w:vAlign w:val="top"/>
          </w:tcPr>
          <w:p>
            <w:pPr>
              <w:spacing w:after="60" w:before="60"/>
            </w:pPr>
            <w:r>
              <w:rPr>
                <w:b w:val="false"/>
                <w:bCs w:val="false"/>
                <w:color w:val="111827"/>
                <w:sz w:val="20"/>
                <w:szCs w:val="20"/>
              </w:rPr>
              <w:t xml:space="preserve">—</w:t>
            </w:r>
          </w:p>
        </w:tc>
        <w:tc>
          <w:tcPr>
            <w:tcW w:type="dxa" w:w="4480"/>
            <w:shd w:fill="EFF6FF" w:val="clear"/>
            <w:vAlign w:val="top"/>
          </w:tcPr>
          <w:p>
            <w:pPr>
              <w:spacing w:after="60" w:before="60"/>
            </w:pPr>
            <w:r>
              <w:rPr>
                <w:b w:val="false"/>
                <w:bCs w:val="false"/>
                <w:color w:val="111827"/>
                <w:sz w:val="20"/>
                <w:szCs w:val="20"/>
              </w:rPr>
              <w:t xml:space="preserve">API key for Claude (Anthropic)</w:t>
            </w:r>
          </w:p>
        </w:tc>
      </w:tr>
      <w:tr>
        <w:tc>
          <w:tcPr>
            <w:tcW w:type="dxa" w:w="3200"/>
            <w:shd w:fill="FFFFFF" w:val="clear"/>
            <w:vAlign w:val="top"/>
          </w:tcPr>
          <w:p>
            <w:pPr>
              <w:spacing w:after="60" w:before="60"/>
            </w:pPr>
            <w:r>
              <w:rPr>
                <w:b w:val="false"/>
                <w:bCs w:val="false"/>
                <w:color w:val="111827"/>
                <w:sz w:val="20"/>
                <w:szCs w:val="20"/>
              </w:rPr>
              <w:t xml:space="preserve">OPENAI_API_KEY</w:t>
            </w:r>
          </w:p>
        </w:tc>
        <w:tc>
          <w:tcPr>
            <w:tcW w:type="dxa" w:w="1800"/>
            <w:shd w:fill="FFFFFF" w:val="clear"/>
            <w:vAlign w:val="top"/>
          </w:tcPr>
          <w:p>
            <w:pPr>
              <w:spacing w:after="60" w:before="60"/>
            </w:pPr>
            <w:r>
              <w:rPr>
                <w:b w:val="false"/>
                <w:bCs w:val="false"/>
                <w:color w:val="111827"/>
                <w:sz w:val="20"/>
                <w:szCs w:val="20"/>
              </w:rPr>
              <w:t xml:space="preserve">—</w:t>
            </w:r>
          </w:p>
        </w:tc>
        <w:tc>
          <w:tcPr>
            <w:tcW w:type="dxa" w:w="4480"/>
            <w:shd w:fill="FFFFFF" w:val="clear"/>
            <w:vAlign w:val="top"/>
          </w:tcPr>
          <w:p>
            <w:pPr>
              <w:spacing w:after="60" w:before="60"/>
            </w:pPr>
            <w:r>
              <w:rPr>
                <w:b w:val="false"/>
                <w:bCs w:val="false"/>
                <w:color w:val="111827"/>
                <w:sz w:val="20"/>
                <w:szCs w:val="20"/>
              </w:rPr>
              <w:t xml:space="preserve">API key for OpenAI / Azure OpenAI</w:t>
            </w:r>
          </w:p>
        </w:tc>
      </w:tr>
      <w:tr>
        <w:tc>
          <w:tcPr>
            <w:tcW w:type="dxa" w:w="3200"/>
            <w:shd w:fill="EFF6FF" w:val="clear"/>
            <w:vAlign w:val="top"/>
          </w:tcPr>
          <w:p>
            <w:pPr>
              <w:spacing w:after="60" w:before="60"/>
            </w:pPr>
            <w:r>
              <w:rPr>
                <w:b w:val="false"/>
                <w:bCs w:val="false"/>
                <w:color w:val="111827"/>
                <w:sz w:val="20"/>
                <w:szCs w:val="20"/>
              </w:rPr>
              <w:t xml:space="preserve">OPENAI_API_BASE</w:t>
            </w:r>
          </w:p>
        </w:tc>
        <w:tc>
          <w:tcPr>
            <w:tcW w:type="dxa" w:w="1800"/>
            <w:shd w:fill="EFF6FF" w:val="clear"/>
            <w:vAlign w:val="top"/>
          </w:tcPr>
          <w:p>
            <w:pPr>
              <w:spacing w:after="60" w:before="60"/>
            </w:pPr>
            <w:r>
              <w:rPr>
                <w:b w:val="false"/>
                <w:bCs w:val="false"/>
                <w:color w:val="111827"/>
                <w:sz w:val="20"/>
                <w:szCs w:val="20"/>
              </w:rPr>
              <w:t xml:space="preserve">—</w:t>
            </w:r>
          </w:p>
        </w:tc>
        <w:tc>
          <w:tcPr>
            <w:tcW w:type="dxa" w:w="4480"/>
            <w:shd w:fill="EFF6FF" w:val="clear"/>
            <w:vAlign w:val="top"/>
          </w:tcPr>
          <w:p>
            <w:pPr>
              <w:spacing w:after="60" w:before="60"/>
            </w:pPr>
            <w:r>
              <w:rPr>
                <w:b w:val="false"/>
                <w:bCs w:val="false"/>
                <w:color w:val="111827"/>
                <w:sz w:val="20"/>
                <w:szCs w:val="20"/>
              </w:rPr>
              <w:t xml:space="preserve">Azure OpenAI endpoint base URL</w:t>
            </w:r>
          </w:p>
        </w:tc>
      </w:tr>
      <w:tr>
        <w:tc>
          <w:tcPr>
            <w:tcW w:type="dxa" w:w="3200"/>
            <w:shd w:fill="FFFFFF" w:val="clear"/>
            <w:vAlign w:val="top"/>
          </w:tcPr>
          <w:p>
            <w:pPr>
              <w:spacing w:after="60" w:before="60"/>
            </w:pPr>
            <w:r>
              <w:rPr>
                <w:b w:val="false"/>
                <w:bCs w:val="false"/>
                <w:color w:val="111827"/>
                <w:sz w:val="20"/>
                <w:szCs w:val="20"/>
              </w:rPr>
              <w:t xml:space="preserve">STORAGE_BACKEND</w:t>
            </w:r>
          </w:p>
        </w:tc>
        <w:tc>
          <w:tcPr>
            <w:tcW w:type="dxa" w:w="1800"/>
            <w:shd w:fill="FFFFFF" w:val="clear"/>
            <w:vAlign w:val="top"/>
          </w:tcPr>
          <w:p>
            <w:pPr>
              <w:spacing w:after="60" w:before="60"/>
            </w:pPr>
            <w:r>
              <w:rPr>
                <w:b w:val="false"/>
                <w:bCs w:val="false"/>
                <w:color w:val="111827"/>
                <w:sz w:val="20"/>
                <w:szCs w:val="20"/>
              </w:rPr>
              <w:t xml:space="preserve">local</w:t>
            </w:r>
          </w:p>
        </w:tc>
        <w:tc>
          <w:tcPr>
            <w:tcW w:type="dxa" w:w="4480"/>
            <w:shd w:fill="FFFFFF" w:val="clear"/>
            <w:vAlign w:val="top"/>
          </w:tcPr>
          <w:p>
            <w:pPr>
              <w:spacing w:after="60" w:before="60"/>
            </w:pPr>
            <w:r>
              <w:rPr>
                <w:b w:val="false"/>
                <w:bCs w:val="false"/>
                <w:color w:val="111827"/>
                <w:sz w:val="20"/>
                <w:szCs w:val="20"/>
              </w:rPr>
              <w:t xml:space="preserve">Storage provider: local | firestore | dynamodb | cosmosdb | mongodb</w:t>
            </w:r>
          </w:p>
        </w:tc>
      </w:tr>
      <w:tr>
        <w:tc>
          <w:tcPr>
            <w:tcW w:type="dxa" w:w="3200"/>
            <w:shd w:fill="EFF6FF" w:val="clear"/>
            <w:vAlign w:val="top"/>
          </w:tcPr>
          <w:p>
            <w:pPr>
              <w:spacing w:after="60" w:before="60"/>
            </w:pPr>
            <w:r>
              <w:rPr>
                <w:b w:val="false"/>
                <w:bCs w:val="false"/>
                <w:color w:val="111827"/>
                <w:sz w:val="20"/>
                <w:szCs w:val="20"/>
              </w:rPr>
              <w:t xml:space="preserve">LOCAL_STORAGE_DIR</w:t>
            </w:r>
          </w:p>
        </w:tc>
        <w:tc>
          <w:tcPr>
            <w:tcW w:type="dxa" w:w="1800"/>
            <w:shd w:fill="EFF6FF" w:val="clear"/>
            <w:vAlign w:val="top"/>
          </w:tcPr>
          <w:p>
            <w:pPr>
              <w:spacing w:after="60" w:before="60"/>
            </w:pPr>
            <w:r>
              <w:rPr>
                <w:b w:val="false"/>
                <w:bCs w:val="false"/>
                <w:color w:val="111827"/>
                <w:sz w:val="20"/>
                <w:szCs w:val="20"/>
              </w:rPr>
              <w:t xml:space="preserve">data</w:t>
            </w:r>
          </w:p>
        </w:tc>
        <w:tc>
          <w:tcPr>
            <w:tcW w:type="dxa" w:w="4480"/>
            <w:shd w:fill="EFF6FF" w:val="clear"/>
            <w:vAlign w:val="top"/>
          </w:tcPr>
          <w:p>
            <w:pPr>
              <w:spacing w:after="60" w:before="60"/>
            </w:pPr>
            <w:r>
              <w:rPr>
                <w:b w:val="false"/>
                <w:bCs w:val="false"/>
                <w:color w:val="111827"/>
                <w:sz w:val="20"/>
                <w:szCs w:val="20"/>
              </w:rPr>
              <w:t xml:space="preserve">Root directory for local JSON storage</w:t>
            </w:r>
          </w:p>
        </w:tc>
      </w:tr>
      <w:tr>
        <w:tc>
          <w:tcPr>
            <w:tcW w:type="dxa" w:w="3200"/>
            <w:shd w:fill="FFFFFF" w:val="clear"/>
            <w:vAlign w:val="top"/>
          </w:tcPr>
          <w:p>
            <w:pPr>
              <w:spacing w:after="60" w:before="60"/>
            </w:pPr>
            <w:r>
              <w:rPr>
                <w:b w:val="false"/>
                <w:bCs w:val="false"/>
                <w:color w:val="111827"/>
                <w:sz w:val="20"/>
                <w:szCs w:val="20"/>
              </w:rPr>
              <w:t xml:space="preserve">FIRESTORE_PROJECT_ID</w:t>
            </w:r>
          </w:p>
        </w:tc>
        <w:tc>
          <w:tcPr>
            <w:tcW w:type="dxa" w:w="1800"/>
            <w:shd w:fill="FFFFFF" w:val="clear"/>
            <w:vAlign w:val="top"/>
          </w:tcPr>
          <w:p>
            <w:pPr>
              <w:spacing w:after="60" w:before="60"/>
            </w:pPr>
            <w:r>
              <w:rPr>
                <w:b w:val="false"/>
                <w:bCs w:val="false"/>
                <w:color w:val="111827"/>
                <w:sz w:val="20"/>
                <w:szCs w:val="20"/>
              </w:rPr>
              <w:t xml:space="preserve">(GCP project)</w:t>
            </w:r>
          </w:p>
        </w:tc>
        <w:tc>
          <w:tcPr>
            <w:tcW w:type="dxa" w:w="4480"/>
            <w:shd w:fill="FFFFFF" w:val="clear"/>
            <w:vAlign w:val="top"/>
          </w:tcPr>
          <w:p>
            <w:pPr>
              <w:spacing w:after="60" w:before="60"/>
            </w:pPr>
            <w:r>
              <w:rPr>
                <w:b w:val="false"/>
                <w:bCs w:val="false"/>
                <w:color w:val="111827"/>
                <w:sz w:val="20"/>
                <w:szCs w:val="20"/>
              </w:rPr>
              <w:t xml:space="preserve">GCP project ID for Firestore backend</w:t>
            </w:r>
          </w:p>
        </w:tc>
      </w:tr>
      <w:tr>
        <w:tc>
          <w:tcPr>
            <w:tcW w:type="dxa" w:w="3200"/>
            <w:shd w:fill="EFF6FF" w:val="clear"/>
            <w:vAlign w:val="top"/>
          </w:tcPr>
          <w:p>
            <w:pPr>
              <w:spacing w:after="60" w:before="60"/>
            </w:pPr>
            <w:r>
              <w:rPr>
                <w:b w:val="false"/>
                <w:bCs w:val="false"/>
                <w:color w:val="111827"/>
                <w:sz w:val="20"/>
                <w:szCs w:val="20"/>
              </w:rPr>
              <w:t xml:space="preserve">PORT</w:t>
            </w:r>
          </w:p>
        </w:tc>
        <w:tc>
          <w:tcPr>
            <w:tcW w:type="dxa" w:w="1800"/>
            <w:shd w:fill="EFF6FF" w:val="clear"/>
            <w:vAlign w:val="top"/>
          </w:tcPr>
          <w:p>
            <w:pPr>
              <w:spacing w:after="60" w:before="60"/>
            </w:pPr>
            <w:r>
              <w:rPr>
                <w:b w:val="false"/>
                <w:bCs w:val="false"/>
                <w:color w:val="111827"/>
                <w:sz w:val="20"/>
                <w:szCs w:val="20"/>
              </w:rPr>
              <w:t xml:space="preserve">8080</w:t>
            </w:r>
          </w:p>
        </w:tc>
        <w:tc>
          <w:tcPr>
            <w:tcW w:type="dxa" w:w="4480"/>
            <w:shd w:fill="EFF6FF" w:val="clear"/>
            <w:vAlign w:val="top"/>
          </w:tcPr>
          <w:p>
            <w:pPr>
              <w:spacing w:after="60" w:before="60"/>
            </w:pPr>
            <w:r>
              <w:rPr>
                <w:b w:val="false"/>
                <w:bCs w:val="false"/>
                <w:color w:val="111827"/>
                <w:sz w:val="20"/>
                <w:szCs w:val="20"/>
              </w:rPr>
              <w:t xml:space="preserve">Server port when running in Docker</w:t>
            </w:r>
          </w:p>
        </w:tc>
      </w:tr>
    </w:tbl>
    <w:p>
      <w:pPr>
        <w:spacing w:after="160"/>
        <w:jc w:val="center"/>
      </w:pPr>
      <w:r>
        <w:rPr>
          <w:i/>
          <w:iCs/>
          <w:color w:val="6B7280"/>
          <w:sz w:val="18"/>
          <w:szCs w:val="18"/>
        </w:rPr>
        <w:t xml:space="preserve">Table 5 — Environment variable reference</w:t>
      </w:r>
    </w:p>
    <w:p>
      <w:pPr>
        <w:spacing w:after="120"/>
      </w:pPr>
    </w:p>
    <w:p>
      <w:pPr>
        <w:pStyle w:val="Heading2"/>
        <w:spacing w:after="120" w:before="280"/>
      </w:pPr>
      <w:r>
        <w:rPr>
          <w:b/>
          <w:bCs/>
          <w:color w:val="1A56DB"/>
          <w:sz w:val="28"/>
          <w:szCs w:val="28"/>
        </w:rPr>
        <w:t xml:space="preserve">6.2  Quick Start Commands</w:t>
      </w:r>
    </w:p>
    <w:p>
      <w:pPr>
        <w:spacing w:after="120"/>
      </w:pPr>
      <w:r>
        <w:rPr>
          <w:color w:val="111827"/>
          <w:sz w:val="22"/>
          <w:szCs w:val="22"/>
        </w:rPr>
        <w:t xml:space="preserve">Run the web dashboard locally:</w:t>
      </w:r>
    </w:p>
    <w:p>
      <w:pPr>
        <w:shd w:fill="F3F4F6" w:val="clear"/>
        <w:spacing w:after="40" w:before="40"/>
        <w:ind w:left="360"/>
      </w:pPr>
      <w:r>
        <w:rPr>
          <w:rFonts w:ascii="Courier New" w:cs="Courier New" w:eastAsia="Courier New" w:hAnsi="Courier New"/>
          <w:color w:val="374151"/>
          <w:sz w:val="18"/>
          <w:szCs w:val="18"/>
        </w:rPr>
        <w:t xml:space="preserve">uvicorn src.web.app:app --host 0.0.0.0 --port 8000 --reload</w:t>
      </w:r>
    </w:p>
    <w:p>
      <w:pPr>
        <w:spacing w:after="120"/>
      </w:pPr>
    </w:p>
    <w:p>
      <w:pPr>
        <w:spacing w:after="120"/>
      </w:pPr>
      <w:r>
        <w:rPr>
          <w:color w:val="111827"/>
          <w:sz w:val="22"/>
          <w:szCs w:val="22"/>
        </w:rPr>
        <w:t xml:space="preserve">Run the test suite:</w:t>
      </w:r>
    </w:p>
    <w:p>
      <w:pPr>
        <w:shd w:fill="F3F4F6" w:val="clear"/>
        <w:spacing w:after="40" w:before="40"/>
        <w:ind w:left="360"/>
      </w:pPr>
      <w:r>
        <w:rPr>
          <w:rFonts w:ascii="Courier New" w:cs="Courier New" w:eastAsia="Courier New" w:hAnsi="Courier New"/>
          <w:color w:val="374151"/>
          <w:sz w:val="18"/>
          <w:szCs w:val="18"/>
        </w:rPr>
        <w:t xml:space="preserve">python -m unittest tests/test_pipeline.py</w:t>
      </w:r>
    </w:p>
    <w:p>
      <w:pPr>
        <w:spacing w:after="120"/>
      </w:pPr>
    </w:p>
    <w:p>
      <w:pPr>
        <w:spacing w:after="120"/>
      </w:pPr>
      <w:r>
        <w:rPr>
          <w:color w:val="111827"/>
          <w:sz w:val="22"/>
          <w:szCs w:val="22"/>
        </w:rPr>
        <w:t xml:space="preserve">Build and run with Docker (Gemini provider):</w:t>
      </w:r>
    </w:p>
    <w:p>
      <w:pPr>
        <w:shd w:fill="F3F4F6" w:val="clear"/>
        <w:spacing w:after="40" w:before="40"/>
        <w:ind w:left="360"/>
      </w:pPr>
      <w:r>
        <w:rPr>
          <w:rFonts w:ascii="Courier New" w:cs="Courier New" w:eastAsia="Courier New" w:hAnsi="Courier New"/>
          <w:color w:val="374151"/>
          <w:sz w:val="18"/>
          <w:szCs w:val="18"/>
        </w:rPr>
        <w:t xml:space="preserve">docker build -t incident-analysis .</w:t>
      </w:r>
    </w:p>
    <w:p>
      <w:pPr>
        <w:shd w:fill="F3F4F6" w:val="clear"/>
        <w:spacing w:after="40" w:before="40"/>
        <w:ind w:left="360"/>
      </w:pPr>
      <w:r>
        <w:rPr>
          <w:rFonts w:ascii="Courier New" w:cs="Courier New" w:eastAsia="Courier New" w:hAnsi="Courier New"/>
          <w:color w:val="374151"/>
          <w:sz w:val="18"/>
          <w:szCs w:val="18"/>
        </w:rPr>
        <w:t xml:space="preserve">docker run -p 8080:8080 -e GEMINI_API_KEY=&lt;key&gt; -v $(pwd)/data:/app/data incident-analysis</w:t>
      </w:r>
    </w:p>
    <w:p>
      <w:pPr>
        <w:spacing w:after="120"/>
      </w:pPr>
    </w:p>
    <w:p>
      <w:pPr>
        <w:spacing w:after="120"/>
      </w:pPr>
      <w:r>
        <w:rPr>
          <w:color w:val="111827"/>
          <w:sz w:val="22"/>
          <w:szCs w:val="22"/>
        </w:rPr>
        <w:t xml:space="preserve">Run with Anthropic Claude:</w:t>
      </w:r>
    </w:p>
    <w:p>
      <w:pPr>
        <w:shd w:fill="F3F4F6" w:val="clear"/>
        <w:spacing w:after="40" w:before="40"/>
        <w:ind w:left="360"/>
      </w:pPr>
      <w:r>
        <w:rPr>
          <w:rFonts w:ascii="Courier New" w:cs="Courier New" w:eastAsia="Courier New" w:hAnsi="Courier New"/>
          <w:color w:val="374151"/>
          <w:sz w:val="18"/>
          <w:szCs w:val="18"/>
        </w:rPr>
        <w:t xml:space="preserve">docker run -p 8080:8080 -e LLM_PROVIDER=anthropic -e ANTHROPIC_API_KEY=&lt;key&gt; incident-analysis</w:t>
      </w:r>
    </w:p>
    <w:p>
      <w:pPr>
        <w:spacing w:after="120"/>
      </w:pPr>
    </w:p>
    <w:p>
      <w:r>
        <w:br w:type="page"/>
      </w:r>
    </w:p>
    <w:p>
      <w:pPr>
        <w:pStyle w:val="Heading1"/>
        <w:spacing w:after="160" w:before="400"/>
      </w:pPr>
      <w:r>
        <w:rPr>
          <w:b/>
          <w:bCs/>
          <w:color w:val="1A56DB"/>
          <w:sz w:val="36"/>
          <w:szCs w:val="36"/>
        </w:rPr>
        <w:t xml:space="preserve">7. End-to-End Data Flow</w:t>
      </w:r>
    </w:p>
    <w:p>
      <w:pPr>
        <w:spacing w:after="120"/>
      </w:pPr>
      <w:r>
        <w:rPr>
          <w:color w:val="111827"/>
          <w:sz w:val="22"/>
          <w:szCs w:val="22"/>
        </w:rPr>
        <w:t xml:space="preserve">The following describes the journey of a single incident through the system:</w:t>
      </w:r>
    </w:p>
    <w:p>
      <w:pPr>
        <w:spacing w:after="120"/>
      </w:pPr>
    </w:p>
    <w:p>
      <w:pPr>
        <w:spacing w:after="40"/>
      </w:pPr>
      <w:r>
        <w:rPr>
          <w:b/>
          <w:bCs/>
          <w:color w:val="1A56DB"/>
          <w:sz w:val="22"/>
          <w:szCs w:val="22"/>
        </w:rPr>
        <w:t xml:space="preserve">Step 1 — Ingestion</w:t>
      </w:r>
    </w:p>
    <w:p>
      <w:pPr>
        <w:spacing w:after="120"/>
      </w:pPr>
      <w:r>
        <w:rPr>
          <w:color w:val="111827"/>
          <w:sz w:val="22"/>
          <w:szCs w:val="22"/>
        </w:rPr>
        <w:t xml:space="preserve">Incident arrives via REST API (single classify), file upload (batch), or conversational agent.</w:t>
      </w:r>
    </w:p>
    <w:p>
      <w:pPr>
        <w:spacing w:after="0"/>
      </w:pPr>
    </w:p>
    <w:p>
      <w:pPr>
        <w:spacing w:after="40"/>
      </w:pPr>
      <w:r>
        <w:rPr>
          <w:b/>
          <w:bCs/>
          <w:color w:val="1A56DB"/>
          <w:sz w:val="22"/>
          <w:szCs w:val="22"/>
        </w:rPr>
        <w:t xml:space="preserve">Step 2 — Classification</w:t>
      </w:r>
    </w:p>
    <w:p>
      <w:pPr>
        <w:spacing w:after="120"/>
      </w:pPr>
      <w:r>
        <w:rPr>
          <w:color w:val="111827"/>
          <w:sz w:val="22"/>
          <w:szCs w:val="22"/>
        </w:rPr>
        <w:t xml:space="preserve">MultiTechClassifierAgent sends the incident text to the configured LLM provider and receives a TechStackSignature.</w:t>
      </w:r>
    </w:p>
    <w:p>
      <w:pPr>
        <w:spacing w:after="0"/>
      </w:pPr>
    </w:p>
    <w:p>
      <w:pPr>
        <w:spacing w:after="40"/>
      </w:pPr>
      <w:r>
        <w:rPr>
          <w:b/>
          <w:bCs/>
          <w:color w:val="1A56DB"/>
          <w:sz w:val="22"/>
          <w:szCs w:val="22"/>
        </w:rPr>
        <w:t xml:space="preserve">Step 3 — Taxonomy Update</w:t>
      </w:r>
    </w:p>
    <w:p>
      <w:pPr>
        <w:spacing w:after="120"/>
      </w:pPr>
      <w:r>
        <w:rPr>
          <w:color w:val="111827"/>
          <w:sz w:val="22"/>
          <w:szCs w:val="22"/>
        </w:rPr>
        <w:t xml:space="preserve">DynamicTaxonomyAgent integrates the classified failure mode into the project's taxonomy tree, creating new nodes if needed.</w:t>
      </w:r>
    </w:p>
    <w:p>
      <w:pPr>
        <w:spacing w:after="0"/>
      </w:pPr>
    </w:p>
    <w:p>
      <w:pPr>
        <w:spacing w:after="40"/>
      </w:pPr>
      <w:r>
        <w:rPr>
          <w:b/>
          <w:bCs/>
          <w:color w:val="1A56DB"/>
          <w:sz w:val="22"/>
          <w:szCs w:val="22"/>
        </w:rPr>
        <w:t xml:space="preserve">Step 4 — Enrichment &amp; Persistence</w:t>
      </w:r>
    </w:p>
    <w:p>
      <w:pPr>
        <w:spacing w:after="120"/>
      </w:pPr>
      <w:r>
        <w:rPr>
          <w:color w:val="111827"/>
          <w:sz w:val="22"/>
          <w:szCs w:val="22"/>
        </w:rPr>
        <w:t xml:space="preserve">The raw incident is combined with the TechStackSignature to form an EnrichedIncident, then saved via the storage backend.</w:t>
      </w:r>
    </w:p>
    <w:p>
      <w:pPr>
        <w:spacing w:after="0"/>
      </w:pPr>
    </w:p>
    <w:p>
      <w:pPr>
        <w:spacing w:after="40"/>
      </w:pPr>
      <w:r>
        <w:rPr>
          <w:b/>
          <w:bCs/>
          <w:color w:val="1A56DB"/>
          <w:sz w:val="22"/>
          <w:szCs w:val="22"/>
        </w:rPr>
        <w:t xml:space="preserve">Step 5 — Tooling (optional)</w:t>
      </w:r>
    </w:p>
    <w:p>
      <w:pPr>
        <w:spacing w:after="120"/>
      </w:pPr>
      <w:r>
        <w:rPr>
          <w:color w:val="111827"/>
          <w:sz w:val="22"/>
          <w:szCs w:val="22"/>
        </w:rPr>
        <w:t xml:space="preserve">On demand, the runbook service, post-mortem generator, or external status checker is invoked to produce actionable outputs.</w:t>
      </w:r>
    </w:p>
    <w:p>
      <w:pPr>
        <w:spacing w:after="0"/>
      </w:pPr>
    </w:p>
    <w:p>
      <w:pPr>
        <w:spacing w:after="40"/>
      </w:pPr>
      <w:r>
        <w:rPr>
          <w:b/>
          <w:bCs/>
          <w:color w:val="1A56DB"/>
          <w:sz w:val="22"/>
          <w:szCs w:val="22"/>
        </w:rPr>
        <w:t xml:space="preserve">Step 6 — Analytics &amp; Visualization</w:t>
      </w:r>
    </w:p>
    <w:p>
      <w:pPr>
        <w:spacing w:after="120"/>
      </w:pPr>
      <w:r>
        <w:rPr>
          <w:color w:val="111827"/>
          <w:sz w:val="22"/>
          <w:szCs w:val="22"/>
        </w:rPr>
        <w:t xml:space="preserve">Aggregated analytics are computed over all stored incidents and surfaced in the dashboard or returned via the /api/analytics endpoint.</w:t>
      </w:r>
    </w:p>
    <w:p>
      <w:pPr>
        <w:spacing w:after="120"/>
      </w:pPr>
    </w:p>
    <w:p>
      <w:r>
        <w:br w:type="page"/>
      </w:r>
    </w:p>
    <w:p>
      <w:pPr>
        <w:pStyle w:val="Heading1"/>
        <w:spacing w:after="160" w:before="400"/>
      </w:pPr>
      <w:r>
        <w:rPr>
          <w:b/>
          <w:bCs/>
          <w:color w:val="1A56DB"/>
          <w:sz w:val="36"/>
          <w:szCs w:val="36"/>
        </w:rPr>
        <w:t xml:space="preserve">8. Summary</w:t>
      </w:r>
    </w:p>
    <w:p>
      <w:pPr>
        <w:spacing w:after="120"/>
      </w:pPr>
      <w:r>
        <w:rPr>
          <w:color w:val="111827"/>
          <w:sz w:val="22"/>
          <w:szCs w:val="22"/>
        </w:rPr>
        <w:t xml:space="preserve">The Autonomous Incident Classifier &amp; Dynamic Taxonomy Miner delivers a comprehensive, production-ready SRE platform that removes manual effort from incident classification, builds institutional knowledge automatically, and provides immediate remediation guidance.</w:t>
      </w:r>
    </w:p>
    <w:p>
      <w:pPr>
        <w:spacing w:after="120"/>
      </w:pPr>
      <w:r>
        <w:rPr>
          <w:color w:val="111827"/>
          <w:sz w:val="22"/>
          <w:szCs w:val="22"/>
        </w:rPr>
        <w:t xml:space="preserve">Its pluggable architecture — supporting three LLM providers, five storage backends, and two deployment surfaces — ensures that engineering teams can adopt it in their existing environment with minimal configuration. The offline heuristic fallback means even air-gapped or evaluation environments benefit from the classification pipeline without any external dependencies.</w:t>
      </w:r>
    </w:p>
    <w:p>
      <w:pPr>
        <w:spacing w:after="120"/>
      </w:pPr>
      <w:r>
        <w:rPr>
          <w:color w:val="111827"/>
          <w:sz w:val="22"/>
          <w:szCs w:val="22"/>
        </w:rPr>
        <w:t xml:space="preserve">By combining AI-powered classification, evolving ontology management, SRE tool integration, and a zero-build-step web dashboard, the platform represents a complete incident intelligence system that grows smarter with every incident it processes.</w:t>
      </w:r>
    </w:p>
    <w:p>
      <w:pPr>
        <w:spacing w:after="240"/>
      </w:pPr>
    </w:p>
    <w:p>
      <w:pPr>
        <w:pBdr>
          <w:bottom w:val="single" w:color="CBD5E1" w:sz="6"/>
        </w:pBdr>
        <w:spacing w:after="200"/>
      </w:pPr>
    </w:p>
    <w:p>
      <w:pPr>
        <w:spacing w:after="120" w:before="200"/>
        <w:jc w:val="center"/>
      </w:pPr>
      <w:r>
        <w:rPr>
          <w:i/>
          <w:iCs/>
          <w:color w:val="6B7280"/>
          <w:sz w:val="20"/>
          <w:szCs w:val="20"/>
        </w:rPr>
        <w:t xml:space="preserve">End of Document</w:t>
      </w:r>
    </w:p>
    <w:sectPr>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2026-10-06T13:19:10.634Z</dcterms:created>
  <dcterms:modified xsi:type="dcterms:W3CDTF">2026-10-06T13:19:10.637Z</dcterms:modified>
</cp:coreProperties>
</file>

<file path=docProps/custom.xml><?xml version="1.0" encoding="utf-8"?>
<Properties xmlns="http://schemas.openxmlformats.org/officeDocument/2006/custom-properties" xmlns:vt="http://schemas.openxmlformats.org/officeDocument/2006/docPropsVTypes"/>
</file>