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color w:val="000000"/>
          <w:sz w:val="23"/>
          <w:szCs w:val="23"/>
        </w:rPr>
      </w:pPr>
      <w:r w:rsidDel="00000000" w:rsidR="00000000" w:rsidRPr="00000000">
        <w:rPr>
          <w:i w:val="0"/>
          <w:smallCaps w:val="0"/>
          <w:strike w:val="0"/>
          <w:color w:val="0000ff"/>
          <w:sz w:val="32"/>
          <w:szCs w:val="32"/>
          <w:u w:val="single"/>
          <w:shd w:fill="auto" w:val="clear"/>
          <w:vertAlign w:val="baseline"/>
          <w:rtl w:val="0"/>
        </w:rPr>
        <w:t xml:space="preserve">Data Mining Assignment 3</w:t>
      </w:r>
      <w:r w:rsidDel="00000000" w:rsidR="00000000" w:rsidRPr="00000000">
        <w:rPr>
          <w:rtl w:val="0"/>
        </w:rPr>
      </w:r>
    </w:p>
    <w:p w:rsidR="00000000" w:rsidDel="00000000" w:rsidP="00000000" w:rsidRDefault="00000000" w:rsidRPr="00000000" w14:paraId="00000002">
      <w:pPr>
        <w:rPr>
          <w:color w:val="000000"/>
          <w:sz w:val="23"/>
          <w:szCs w:val="23"/>
        </w:rPr>
      </w:pPr>
      <w:r w:rsidDel="00000000" w:rsidR="00000000" w:rsidRPr="00000000">
        <w:rPr>
          <w:color w:val="000000"/>
          <w:sz w:val="23"/>
          <w:szCs w:val="23"/>
          <w:rtl w:val="0"/>
        </w:rPr>
        <w:t xml:space="preserve">1) Read Chapter 6 (only sections 6.1 and 6.7).</w:t>
        <w:br w:type="textWrapping"/>
        <w:br w:type="textWrapping"/>
        <w:t xml:space="preserve">2) Do Chapter 6 textbook problem #2 (parts a,b,c,d only) on page 404.</w:t>
      </w:r>
    </w:p>
    <w:p w:rsidR="00000000" w:rsidDel="00000000" w:rsidP="00000000" w:rsidRDefault="00000000" w:rsidRPr="00000000" w14:paraId="00000003">
      <w:pPr>
        <w:rPr>
          <w:color w:val="000000"/>
          <w:sz w:val="23"/>
          <w:szCs w:val="23"/>
        </w:rPr>
      </w:pPr>
      <w:r w:rsidDel="00000000" w:rsidR="00000000" w:rsidRPr="00000000">
        <w:rPr>
          <w:color w:val="000000"/>
          <w:sz w:val="23"/>
          <w:szCs w:val="23"/>
        </w:rPr>
        <w:drawing>
          <wp:inline distB="114300" distT="114300" distL="114300" distR="114300">
            <wp:extent cx="5405438" cy="676854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05438" cy="6768548"/>
                    </a:xfrm>
                    <a:prstGeom prst="rect"/>
                    <a:ln/>
                  </pic:spPr>
                </pic:pic>
              </a:graphicData>
            </a:graphic>
          </wp:inline>
        </w:drawing>
      </w:r>
      <w:r w:rsidDel="00000000" w:rsidR="00000000" w:rsidRPr="00000000">
        <w:rPr>
          <w:color w:val="000000"/>
          <w:sz w:val="23"/>
          <w:szCs w:val="23"/>
          <w:rtl w:val="0"/>
        </w:rPr>
        <w:br w:type="textWrapping"/>
      </w:r>
    </w:p>
    <w:p w:rsidR="00000000" w:rsidDel="00000000" w:rsidP="00000000" w:rsidRDefault="00000000" w:rsidRPr="00000000" w14:paraId="00000004">
      <w:pPr>
        <w:rPr>
          <w:color w:val="000000"/>
          <w:sz w:val="23"/>
          <w:szCs w:val="23"/>
        </w:rPr>
      </w:pPr>
      <w:r w:rsidDel="00000000" w:rsidR="00000000" w:rsidRPr="00000000">
        <w:rPr>
          <w:color w:val="000000"/>
          <w:sz w:val="23"/>
          <w:szCs w:val="23"/>
          <w:rtl w:val="0"/>
        </w:rPr>
        <w:t xml:space="preserve">3) Do Chapter 6 textbook problem #6 (parts d,e only) on page 406.</w:t>
      </w:r>
    </w:p>
    <w:p w:rsidR="00000000" w:rsidDel="00000000" w:rsidP="00000000" w:rsidRDefault="00000000" w:rsidRPr="00000000" w14:paraId="00000005">
      <w:pPr>
        <w:rPr>
          <w:sz w:val="18"/>
          <w:szCs w:val="18"/>
        </w:rPr>
      </w:pPr>
      <w:r w:rsidDel="00000000" w:rsidR="00000000" w:rsidRPr="00000000">
        <w:rPr>
          <w:color w:val="000000"/>
          <w:sz w:val="23"/>
          <w:szCs w:val="23"/>
        </w:rPr>
        <w:drawing>
          <wp:inline distB="114300" distT="114300" distL="114300" distR="114300">
            <wp:extent cx="5510213" cy="4318099"/>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10213" cy="4318099"/>
                    </a:xfrm>
                    <a:prstGeom prst="rect"/>
                    <a:ln/>
                  </pic:spPr>
                </pic:pic>
              </a:graphicData>
            </a:graphic>
          </wp:inline>
        </w:drawing>
      </w:r>
      <w:r w:rsidDel="00000000" w:rsidR="00000000" w:rsidRPr="00000000">
        <w:rPr>
          <w:color w:val="000000"/>
          <w:sz w:val="23"/>
          <w:szCs w:val="23"/>
          <w:rtl w:val="0"/>
        </w:rPr>
        <w:br w:type="textWrapping"/>
        <w:br w:type="textWrapping"/>
        <w:t xml:space="preserve">4) Using the data at </w:t>
      </w:r>
      <w:hyperlink r:id="rId9">
        <w:r w:rsidDel="00000000" w:rsidR="00000000" w:rsidRPr="00000000">
          <w:rPr>
            <w:color w:val="0000ff"/>
            <w:sz w:val="23"/>
            <w:szCs w:val="23"/>
            <w:u w:val="single"/>
            <w:rtl w:val="0"/>
          </w:rPr>
          <w:t xml:space="preserve">www.stats202.com/more_stats202_logs.txt</w:t>
        </w:r>
      </w:hyperlink>
      <w:r w:rsidDel="00000000" w:rsidR="00000000" w:rsidRPr="00000000">
        <w:rPr>
          <w:color w:val="000000"/>
          <w:sz w:val="23"/>
          <w:szCs w:val="23"/>
          <w:rtl w:val="0"/>
        </w:rPr>
        <w:t xml:space="preserve"> and treating each row as a "market basket" compute the support and confidence for the rule ip=65.57.245.11 → "Mozilla/5.0 (X11; U; Linux i686 (x86_64); en-US; rv:1.8.1.3) Gecko/20070309 Firefox/2.0.0.3".</w:t>
      </w:r>
      <w:r w:rsidDel="00000000" w:rsidR="00000000" w:rsidRPr="00000000">
        <w:rPr>
          <w:rtl w:val="0"/>
        </w:rPr>
      </w:r>
    </w:p>
    <w:p w:rsidR="00000000" w:rsidDel="00000000" w:rsidP="00000000" w:rsidRDefault="00000000" w:rsidRPr="00000000" w14:paraId="00000006">
      <w:pPr>
        <w:spacing w:after="200" w:before="0" w:lineRule="auto"/>
        <w:rPr>
          <w:color w:val="000000"/>
          <w:sz w:val="23"/>
          <w:szCs w:val="23"/>
        </w:rPr>
      </w:pPr>
      <w:r w:rsidDel="00000000" w:rsidR="00000000" w:rsidRPr="00000000">
        <w:rPr>
          <w:color w:val="000000"/>
          <w:sz w:val="23"/>
          <w:szCs w:val="23"/>
          <w:rtl w:val="0"/>
        </w:rPr>
        <w:t xml:space="preserve">State what the support and confidence values mean in plain English in this context. </w:t>
      </w:r>
    </w:p>
    <w:p w:rsidR="00000000" w:rsidDel="00000000" w:rsidP="00000000" w:rsidRDefault="00000000" w:rsidRPr="00000000" w14:paraId="00000007">
      <w:pPr>
        <w:spacing w:after="200" w:before="0" w:lineRule="auto"/>
        <w:rPr>
          <w:color w:val="000000"/>
          <w:sz w:val="23"/>
          <w:szCs w:val="23"/>
        </w:rPr>
      </w:pPr>
      <w:r w:rsidDel="00000000" w:rsidR="00000000" w:rsidRPr="00000000">
        <w:rPr>
          <w:color w:val="000000"/>
          <w:sz w:val="23"/>
          <w:szCs w:val="23"/>
          <w:rtl w:val="0"/>
        </w:rPr>
        <w:t xml:space="preserve">Answer:</w:t>
      </w:r>
    </w:p>
    <w:p w:rsidR="00000000" w:rsidDel="00000000" w:rsidP="00000000" w:rsidRDefault="00000000" w:rsidRPr="00000000" w14:paraId="00000008">
      <w:pPr>
        <w:numPr>
          <w:ilvl w:val="0"/>
          <w:numId w:val="1"/>
        </w:numPr>
        <w:shd w:fill="ffffff" w:val="clear"/>
        <w:spacing w:after="0" w:afterAutospacing="0" w:before="240" w:lineRule="auto"/>
        <w:ind w:left="720" w:hanging="360"/>
        <w:rPr>
          <w:color w:val="000000"/>
          <w:sz w:val="23"/>
          <w:szCs w:val="23"/>
          <w:u w:val="none"/>
        </w:rPr>
      </w:pPr>
      <w:r w:rsidDel="00000000" w:rsidR="00000000" w:rsidRPr="00000000">
        <w:rPr>
          <w:color w:val="000000"/>
          <w:sz w:val="23"/>
          <w:szCs w:val="23"/>
          <w:rtl w:val="0"/>
        </w:rPr>
        <w:t xml:space="preserve">Support represents the popularity of that product of all the product transactions. Support of the product is calculated as the ratio of the number of transactions includes that product and the total number of transactions.</w:t>
      </w:r>
    </w:p>
    <w:p w:rsidR="00000000" w:rsidDel="00000000" w:rsidP="00000000" w:rsidRDefault="00000000" w:rsidRPr="00000000" w14:paraId="00000009">
      <w:pPr>
        <w:numPr>
          <w:ilvl w:val="0"/>
          <w:numId w:val="1"/>
        </w:numPr>
        <w:shd w:fill="ffffff" w:val="clear"/>
        <w:spacing w:after="0" w:afterAutospacing="0" w:before="0" w:beforeAutospacing="0" w:lineRule="auto"/>
        <w:ind w:left="720" w:hanging="360"/>
        <w:rPr>
          <w:color w:val="000000"/>
          <w:sz w:val="23"/>
          <w:szCs w:val="23"/>
          <w:u w:val="none"/>
        </w:rPr>
      </w:pPr>
      <w:r w:rsidDel="00000000" w:rsidR="00000000" w:rsidRPr="00000000">
        <w:rPr>
          <w:color w:val="000000"/>
          <w:sz w:val="23"/>
          <w:szCs w:val="23"/>
          <w:rtl w:val="0"/>
        </w:rPr>
        <w:t xml:space="preserve">Support of the product = (Number of transactions includes that product)/ (Total number of transactions)</w:t>
      </w:r>
    </w:p>
    <w:p w:rsidR="00000000" w:rsidDel="00000000" w:rsidP="00000000" w:rsidRDefault="00000000" w:rsidRPr="00000000" w14:paraId="0000000A">
      <w:pPr>
        <w:numPr>
          <w:ilvl w:val="0"/>
          <w:numId w:val="1"/>
        </w:numPr>
        <w:shd w:fill="ffffff" w:val="clear"/>
        <w:spacing w:after="0" w:afterAutospacing="0" w:before="0" w:beforeAutospacing="0" w:lineRule="auto"/>
        <w:ind w:left="720" w:hanging="360"/>
        <w:rPr>
          <w:color w:val="000000"/>
          <w:sz w:val="23"/>
          <w:szCs w:val="23"/>
          <w:u w:val="none"/>
        </w:rPr>
      </w:pPr>
      <w:r w:rsidDel="00000000" w:rsidR="00000000" w:rsidRPr="00000000">
        <w:rPr>
          <w:color w:val="000000"/>
          <w:sz w:val="23"/>
          <w:szCs w:val="23"/>
          <w:rtl w:val="0"/>
        </w:rPr>
        <w:t xml:space="preserve">Confidence can be interpreted as the likelihood of purchasing both the products A and B. Confidence is calculated as the number of transactions that include both A and B divided by the number of transactions includes only product A.</w:t>
      </w:r>
    </w:p>
    <w:p w:rsidR="00000000" w:rsidDel="00000000" w:rsidP="00000000" w:rsidRDefault="00000000" w:rsidRPr="00000000" w14:paraId="0000000B">
      <w:pPr>
        <w:numPr>
          <w:ilvl w:val="0"/>
          <w:numId w:val="1"/>
        </w:numPr>
        <w:shd w:fill="ffffff" w:val="clear"/>
        <w:spacing w:after="240" w:before="0" w:beforeAutospacing="0" w:lineRule="auto"/>
        <w:ind w:left="720" w:hanging="360"/>
        <w:rPr>
          <w:color w:val="000000"/>
          <w:sz w:val="23"/>
          <w:szCs w:val="23"/>
          <w:u w:val="none"/>
        </w:rPr>
      </w:pPr>
      <w:r w:rsidDel="00000000" w:rsidR="00000000" w:rsidRPr="00000000">
        <w:rPr>
          <w:color w:val="000000"/>
          <w:sz w:val="23"/>
          <w:szCs w:val="23"/>
          <w:rtl w:val="0"/>
        </w:rPr>
        <w:t xml:space="preserve"> Confidence (A=&gt;B) = (Number of transactions includes both A and B)/ (Number of transactions includes only product A)</w:t>
      </w:r>
    </w:p>
    <w:p w:rsidR="00000000" w:rsidDel="00000000" w:rsidP="00000000" w:rsidRDefault="00000000" w:rsidRPr="00000000" w14:paraId="0000000C">
      <w:pPr>
        <w:spacing w:after="200" w:before="0" w:lineRule="auto"/>
        <w:rPr>
          <w:color w:val="000000"/>
          <w:sz w:val="23"/>
          <w:szCs w:val="23"/>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76CA2"/>
    <w:pPr>
      <w:widowControl w:val="1"/>
      <w:bidi w:val="0"/>
      <w:spacing w:after="200" w:before="0" w:line="276" w:lineRule="auto"/>
      <w:jc w:val="left"/>
    </w:pPr>
    <w:rPr>
      <w:rFonts w:ascii="Calibri" w:cs="" w:eastAsia="Calibri" w:hAnsi="Calibri" w:asciiTheme="minorHAnsi" w:cstheme="minorBidi" w:eastAsiaTheme="minorHAnsi" w:hAnsiTheme="minorHAnsi"/>
      <w:color w:val="00000a"/>
      <w:sz w:val="22"/>
      <w:szCs w:val="22"/>
      <w:lang w:bidi="ar-SA" w:eastAsia="en-US" w:val="en-US"/>
    </w:rPr>
  </w:style>
  <w:style w:type="character" w:styleId="DefaultParagraphFont" w:default="1">
    <w:name w:val="Default Paragraph Font"/>
    <w:uiPriority w:val="1"/>
    <w:semiHidden w:val="1"/>
    <w:unhideWhenUsed w:val="1"/>
    <w:qFormat w:val="1"/>
    <w:rPr/>
  </w:style>
  <w:style w:type="character" w:styleId="InternetLink">
    <w:name w:val="Internet Link"/>
    <w:basedOn w:val="DefaultParagraphFont"/>
    <w:uiPriority w:val="99"/>
    <w:semiHidden w:val="1"/>
    <w:unhideWhenUsed w:val="1"/>
    <w:rsid w:val="00F47ED7"/>
    <w:rPr>
      <w:color w:val="0000ff"/>
      <w:u w:val="single"/>
    </w:rPr>
  </w:style>
  <w:style w:type="paragraph" w:styleId="Heading">
    <w:name w:val="Heading"/>
    <w:basedOn w:val="Normal"/>
    <w:next w:val="TextBody"/>
    <w:qFormat w:val="1"/>
    <w:pPr>
      <w:keepNext w:val="1"/>
      <w:spacing w:after="120" w:before="240"/>
    </w:pPr>
    <w:rPr>
      <w:rFonts w:ascii="Liberation Sans" w:cs="FreeSans" w:eastAsia="Noto Sans CJK SC Regular" w:hAnsi="Liberation Sans"/>
      <w:sz w:val="28"/>
      <w:szCs w:val="28"/>
    </w:rPr>
  </w:style>
  <w:style w:type="paragraph" w:styleId="TextBody">
    <w:name w:val="Body Text"/>
    <w:basedOn w:val="Normal"/>
    <w:pPr>
      <w:spacing w:after="140" w:before="0" w:line="288" w:lineRule="auto"/>
    </w:pPr>
    <w:rPr/>
  </w:style>
  <w:style w:type="paragraph" w:styleId="List">
    <w:name w:val="List"/>
    <w:basedOn w:val="TextBody"/>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rPr>
  </w:style>
  <w:style w:type="paragraph" w:styleId="NormalWeb">
    <w:name w:val="Normal (Web)"/>
    <w:basedOn w:val="Normal"/>
    <w:qFormat w:val="1"/>
    <w:pPr>
      <w:spacing w:afterAutospacing="1" w:beforeAutospacing="1" w:line="240" w:lineRule="auto"/>
    </w:pPr>
    <w:rPr>
      <w:rFonts w:ascii="Times New Roman" w:cs="Times New Roman" w:eastAsia="Times New Roman" w:hAnsi="Times New Roman"/>
      <w:sz w:val="24"/>
      <w:szCs w:val="24"/>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tats202.com/more_stats202_logs.tx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gVGtmE5JbMN0wuXyagG721lcdg==">AMUW2mW4FP0WZymE/bKlvB3o2mlZUP8iKNGUyy6elRZNkYecKcq06oFGqMov2vtS+dqwZtQ5z5aoKoAVoMvJOrdqVKQKJcK6g3pklLSIbIU2frZspwz/84M=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2012-10-02T10:32:00Z</dcterms:created>
  <dc:creator>Arun Kumar Parayatham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MSIT-IIIT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