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Vidyarthi</w:t>
      </w:r>
    </w:p>
    <w:p>
      <w:pPr>
        <w:pStyle w:val="Heading2"/>
      </w:pPr>
      <w:r>
        <w:t>A White Paper for a Peer-to-Peer, AI-Driven Micro-Learning University</w:t>
      </w:r>
    </w:p>
    <w:p>
      <w:pPr>
        <w:spacing w:after="40"/>
      </w:pPr>
      <w:r>
        <w:rPr>
          <w:b/>
          <w:sz w:val="20"/>
        </w:rPr>
        <w:t>Document type:</w:t>
      </w:r>
      <w:r>
        <w:rPr>
          <w:sz w:val="20"/>
        </w:rPr>
        <w:t xml:space="preserve"> Technical White Paper and Preliminary Architecture Specification </w:t>
      </w:r>
      <w:r>
        <w:rPr>
          <w:b/>
          <w:sz w:val="20"/>
        </w:rPr>
        <w:t>Version:</w:t>
      </w:r>
      <w:r>
        <w:rPr>
          <w:sz w:val="20"/>
        </w:rPr>
        <w:t xml:space="preserve"> 0.1 — Initial Proposal </w:t>
      </w:r>
      <w:r>
        <w:rPr>
          <w:b/>
          <w:sz w:val="20"/>
        </w:rPr>
        <w:t>Date:</w:t>
      </w:r>
      <w:r>
        <w:rPr>
          <w:sz w:val="20"/>
        </w:rPr>
        <w:t xml:space="preserve"> 11 October 2026 </w:t>
      </w:r>
      <w:r>
        <w:rPr>
          <w:b/>
          <w:sz w:val="20"/>
        </w:rPr>
        <w:t>Status:</w:t>
      </w:r>
      <w:r>
        <w:rPr>
          <w:sz w:val="20"/>
        </w:rPr>
        <w:t xml:space="preserve"> Proposed architecture </w:t>
      </w:r>
      <w:r>
        <w:rPr>
          <w:b/>
          <w:sz w:val="20"/>
        </w:rPr>
        <w:t>Project:</w:t>
      </w:r>
      <w:r>
        <w:rPr>
          <w:sz w:val="20"/>
        </w:rPr>
        <w:t xml:space="preserve"> Vidyarthi — Digital Distributed University</w:t>
      </w:r>
    </w:p>
    <w:p>
      <w:pPr>
        <w:pStyle w:val="Heading2"/>
      </w:pPr>
      <w:r>
        <w:t>Abstract</w:t>
      </w:r>
    </w:p>
    <w:p>
      <w:r>
        <w:t>Vidyarthi proposes a decentralized, AI-assisted micro-learning university designed to make learning resources, practical assessment, peer collaboration, and portable academic achievements accessible through a lightweight, offline-capable computing environment.</w:t>
      </w:r>
    </w:p>
    <w:p>
      <w:r>
        <w:t>The platform combines version-controlled course repositories, a minimal web frontend, a lightweight application backend, automated assessment pipelines, user-controlled AI providers, peer-to-peer networking, gamification, and cryptographically verifiable credentials.</w:t>
      </w:r>
    </w:p>
    <w:p>
      <w:r>
        <w:t>The proposed architecture uses Fossil SCM for course versioning and distribution, a single HTML5 application built with vanilla JavaScript and CSS for the learner interface, WebAssembly for portable execution, PocketBase for application coordination, Pipelight for continuous integration and assessment workflows, and a Bring Your Own Key (BYOK) model for AI services. Rust-based components provide supporting execution, verification, and peer-networking capabilities.</w:t>
      </w:r>
    </w:p>
    <w:p>
      <w:r>
        <w:t>Unlike conventional learning management systems, Vidyarthi treats courses as versioned, inspectable, forkable academic artifacts. Learning activities produce structured evidence of competency. Assessment results can be independently verified, while academic credits and credentials are issued by authorized entities according to published requirements.</w:t>
      </w:r>
    </w:p>
    <w:p>
      <w:r>
        <w:t>The proposed system is local-first rather than unconditionally decentralized: learners should be able to study and complete supported activities without continuous connectivity, while peer networks provide replication, collaboration, and synchronization when available. A blockchain is not required for the initial release. Signed records and an append-only credential history provide a smaller starting point, with distributed consensus introduced only if a demonstrated governance requirement justifies it.</w:t>
      </w:r>
    </w:p>
    <w:p>
      <w:r>
        <w:t>This paper defines the system's objectives, architecture, content model, AI workflows, assessment model, incentive mechanisms, credential framework, security boundaries, governance principles, and implementation roadmap.</w:t>
      </w:r>
    </w:p>
    <w:p>
      <w:r>
        <w:rPr>
          <w:b/>
        </w:rPr>
        <w:t>Keywords:</w:t>
      </w:r>
      <w:r>
        <w:t xml:space="preserve"> decentralized education, micro-learning, peer-to-peer computing, AI-assisted education, open educational resources, automated assessment, Fossil SCM, Pipelight, WebAssembly, portable credentials, gamification.</w:t>
      </w:r>
    </w:p>
    <w:p>
      <w:pPr>
        <w:pStyle w:val="Heading1"/>
      </w:pPr>
      <w:r>
        <w:t>1. Introduction</w:t>
      </w:r>
    </w:p>
    <w:p>
      <w:pPr>
        <w:pStyle w:val="Heading2"/>
      </w:pPr>
      <w:r>
        <w:t>1.1 Problem statement</w:t>
      </w:r>
    </w:p>
    <w:p>
      <w:r>
        <w:t>Digital education platforms have expanded access to learning materials, but many remain dependent on centralized services, proprietary formats, recurring subscriptions, or institution-controlled records.</w:t>
      </w:r>
    </w:p>
    <w:p>
      <w:r>
        <w:t>Several problems remain:</w:t>
      </w:r>
    </w:p>
    <w:p>
      <w:pPr>
        <w:pStyle w:val="ListNumber"/>
      </w:pPr>
      <w:r>
        <w:t>Learning resources are fragmented across repositories, learning management systems, videos, documents, and online courses.</w:t>
      </w:r>
    </w:p>
    <w:p>
      <w:pPr>
        <w:pStyle w:val="ListNumber"/>
      </w:pPr>
      <w:r>
        <w:t>Educational content is often difficult to fork, improve, independently verify, or preserve over long periods.</w:t>
      </w:r>
    </w:p>
    <w:p>
      <w:pPr>
        <w:pStyle w:val="ListNumber"/>
      </w:pPr>
      <w:r>
        <w:t>AI-assisted course production can generate material quickly, but consistency, correctness, provenance, and assessment quality remain challenges.</w:t>
      </w:r>
    </w:p>
    <w:p>
      <w:pPr>
        <w:pStyle w:val="ListNumber"/>
      </w:pPr>
      <w:r>
        <w:t>Practical assessment is difficult to scale when every submission requires manual evaluation.</w:t>
      </w:r>
    </w:p>
    <w:p>
      <w:pPr>
        <w:pStyle w:val="ListNumber"/>
      </w:pPr>
      <w:r>
        <w:t>Academic achievements are frequently stored in systems controlled by a single organization.</w:t>
      </w:r>
    </w:p>
    <w:p>
      <w:pPr>
        <w:pStyle w:val="ListNumber"/>
      </w:pPr>
      <w:r>
        <w:t>Peer learning, research collaboration, and assessment are often separated from the course itself.</w:t>
      </w:r>
    </w:p>
    <w:p>
      <w:pPr>
        <w:pStyle w:val="ListNumber"/>
      </w:pPr>
      <w:r>
        <w:t>Connectivity, infrastructure costs, and vendor dependence can restrict participation.</w:t>
      </w:r>
    </w:p>
    <w:p>
      <w:r>
        <w:t>Vidyarthi addresses these problems by treating education as a distributed process involving learners, educators, course maintainers, assessment providers, and credential issuers.</w:t>
      </w:r>
    </w:p>
    <w:p>
      <w:pPr>
        <w:pStyle w:val="Heading2"/>
      </w:pPr>
      <w:r>
        <w:t>1.2 Vision</w:t>
      </w:r>
    </w:p>
    <w:p>
      <w:r>
        <w:t>Vidyarthi aims to enable a learner to discover a course, study its materials offline, receive AI-assisted guidance, complete verifiable practical exercises, collaborate with peers, contribute to research, and accumulate portable evidence of competency.</w:t>
      </w:r>
    </w:p>
    <w:p>
      <w:r>
        <w:t>The platform should be deployable on ordinary personal computers and, where resource requirements permit, small single-board computers or removable storage. Its core learning experience should not require a permanently available central server.</w:t>
      </w:r>
    </w:p>
    <w:p>
      <w:r>
        <w:t>The long-term objective is a distributed academic ecosystem in which communities can create, maintain, teach, assess, and recognize learning through interoperable tools and transparent rules.</w:t>
      </w:r>
    </w:p>
    <w:p>
      <w:pPr>
        <w:pStyle w:val="Heading2"/>
      </w:pPr>
      <w:r>
        <w:t>1.3 Design principles</w:t>
      </w:r>
    </w:p>
    <w:p>
      <w:r>
        <w:t>The architecture follows these principles:</w:t>
      </w:r>
    </w:p>
    <w:p>
      <w:pPr>
        <w:pStyle w:val="ListBullet"/>
      </w:pPr>
      <w:r>
        <w:rPr>
          <w:b/>
        </w:rPr>
        <w:t>Local-first:</w:t>
      </w:r>
      <w:r>
        <w:t xml:space="preserve"> essential learning functionality remains available offline.</w:t>
      </w:r>
    </w:p>
    <w:p>
      <w:pPr>
        <w:pStyle w:val="ListBullet"/>
      </w:pPr>
      <w:r>
        <w:rPr>
          <w:b/>
        </w:rPr>
        <w:t>Repository-native:</w:t>
      </w:r>
      <w:r>
        <w:t xml:space="preserve"> course materials and their histories are versioned artifacts.</w:t>
      </w:r>
    </w:p>
    <w:p>
      <w:pPr>
        <w:pStyle w:val="ListBullet"/>
      </w:pPr>
      <w:r>
        <w:rPr>
          <w:b/>
        </w:rPr>
        <w:t>AI-assisted, human-accountable:</w:t>
      </w:r>
      <w:r>
        <w:t xml:space="preserve"> AI supports education but does not independently confer academic authority.</w:t>
      </w:r>
    </w:p>
    <w:p>
      <w:pPr>
        <w:pStyle w:val="ListBullet"/>
      </w:pPr>
      <w:r>
        <w:rPr>
          <w:b/>
        </w:rPr>
        <w:t>Provider-independent:</w:t>
      </w:r>
      <w:r>
        <w:t xml:space="preserve"> learners choose AI providers and may use local models.</w:t>
      </w:r>
    </w:p>
    <w:p>
      <w:pPr>
        <w:pStyle w:val="ListBullet"/>
      </w:pPr>
      <w:r>
        <w:rPr>
          <w:b/>
        </w:rPr>
        <w:t>Composable:</w:t>
      </w:r>
      <w:r>
        <w:t xml:space="preserve"> each subsystem has a defined interface and can be replaced independently.</w:t>
      </w:r>
    </w:p>
    <w:p>
      <w:pPr>
        <w:pStyle w:val="ListBullet"/>
      </w:pPr>
      <w:r>
        <w:rPr>
          <w:b/>
        </w:rPr>
        <w:t>Open and inspectable:</w:t>
      </w:r>
      <w:r>
        <w:t xml:space="preserve"> course definitions, assessment rubrics, and credential policies should be readable and auditable.</w:t>
      </w:r>
    </w:p>
    <w:p>
      <w:pPr>
        <w:pStyle w:val="ListBullet"/>
      </w:pPr>
      <w:r>
        <w:rPr>
          <w:b/>
        </w:rPr>
        <w:t>Evidence-based:</w:t>
      </w:r>
      <w:r>
        <w:t xml:space="preserve"> academic progression depends on demonstrated learning outcomes rather than engagement alone.</w:t>
      </w:r>
    </w:p>
    <w:p>
      <w:pPr>
        <w:pStyle w:val="ListBullet"/>
      </w:pPr>
      <w:r>
        <w:rPr>
          <w:b/>
        </w:rPr>
        <w:t>Portable:</w:t>
      </w:r>
      <w:r>
        <w:t xml:space="preserve"> learners can export their content, work, and credentials.</w:t>
      </w:r>
    </w:p>
    <w:p>
      <w:pPr>
        <w:pStyle w:val="ListBullet"/>
      </w:pPr>
      <w:r>
        <w:rPr>
          <w:b/>
        </w:rPr>
        <w:t>Resource-efficient:</w:t>
      </w:r>
      <w:r>
        <w:t xml:space="preserve"> avoid unnecessary frameworks, services, and infrastructure.</w:t>
      </w:r>
    </w:p>
    <w:p>
      <w:pPr>
        <w:pStyle w:val="ListBullet"/>
      </w:pPr>
      <w:r>
        <w:rPr>
          <w:b/>
        </w:rPr>
        <w:t>Security by design:</w:t>
      </w:r>
      <w:r>
        <w:t xml:space="preserve"> untrusted content, student submissions, AI-generated material, and peer-supplied records are validated at appropriate boundaries.</w:t>
      </w:r>
    </w:p>
    <w:p>
      <w:pPr>
        <w:pStyle w:val="Heading1"/>
      </w:pPr>
      <w:r>
        <w:t>2. System Overview</w:t>
      </w:r>
    </w:p>
    <w:p>
      <w:r>
        <w:t>Vidyarthi is organized into six logical layers.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D9E6F2"/>
          </w:tcPr>
          <w:p>
            <w:pPr>
              <w:spacing w:after="40"/>
            </w:pPr>
            <w:r/>
            <w:r>
              <w:rPr>
                <w:b/>
                <w:sz w:val="17"/>
              </w:rPr>
              <w:t>Layer</w:t>
            </w:r>
          </w:p>
        </w:tc>
        <w:tc>
          <w:tcPr>
            <w:tcW w:type="dxa" w:w="3293"/>
            <w:vAlign w:val="center"/>
            <w:shd w:fill="D9E6F2"/>
          </w:tcPr>
          <w:p>
            <w:pPr>
              <w:spacing w:after="40"/>
            </w:pPr>
            <w:r/>
            <w:r>
              <w:rPr>
                <w:b/>
                <w:sz w:val="17"/>
              </w:rPr>
              <w:t>Primary responsibility</w:t>
            </w:r>
          </w:p>
        </w:tc>
        <w:tc>
          <w:tcPr>
            <w:tcW w:type="dxa" w:w="3293"/>
            <w:vAlign w:val="center"/>
            <w:shd w:fill="D9E6F2"/>
          </w:tcPr>
          <w:p>
            <w:pPr>
              <w:spacing w:after="40"/>
            </w:pPr>
            <w:r/>
            <w:r>
              <w:rPr>
                <w:b/>
                <w:sz w:val="17"/>
              </w:rPr>
              <w:t>Proposed technology</w:t>
            </w:r>
          </w:p>
        </w:tc>
      </w:tr>
      <w:tr>
        <w:tc>
          <w:tcPr>
            <w:tcW w:type="dxa" w:w="3293"/>
            <w:vAlign w:val="center"/>
          </w:tcPr>
          <w:p>
            <w:pPr>
              <w:spacing w:after="40"/>
            </w:pPr>
            <w:r/>
            <w:r>
              <w:rPr>
                <w:b w:val="0"/>
                <w:sz w:val="17"/>
              </w:rPr>
              <w:t>Learning interface</w:t>
            </w:r>
          </w:p>
        </w:tc>
        <w:tc>
          <w:tcPr>
            <w:tcW w:type="dxa" w:w="3293"/>
            <w:vAlign w:val="center"/>
          </w:tcPr>
          <w:p>
            <w:pPr>
              <w:spacing w:after="40"/>
            </w:pPr>
            <w:r/>
            <w:r>
              <w:rPr>
                <w:b w:val="0"/>
                <w:sz w:val="17"/>
              </w:rPr>
              <w:t>Lessons, quizzes, dashboards, offline interaction</w:t>
            </w:r>
          </w:p>
        </w:tc>
        <w:tc>
          <w:tcPr>
            <w:tcW w:type="dxa" w:w="3293"/>
            <w:vAlign w:val="center"/>
          </w:tcPr>
          <w:p>
            <w:pPr>
              <w:spacing w:after="40"/>
            </w:pPr>
            <w:r/>
            <w:r>
              <w:rPr>
                <w:b w:val="0"/>
                <w:sz w:val="17"/>
              </w:rPr>
              <w:t>HTML5, vanilla JavaScript, CSS</w:t>
            </w:r>
          </w:p>
        </w:tc>
      </w:tr>
      <w:tr>
        <w:tc>
          <w:tcPr>
            <w:tcW w:type="dxa" w:w="3293"/>
            <w:vAlign w:val="center"/>
          </w:tcPr>
          <w:p>
            <w:pPr>
              <w:spacing w:after="40"/>
            </w:pPr>
            <w:r/>
            <w:r>
              <w:rPr>
                <w:b w:val="0"/>
                <w:sz w:val="17"/>
              </w:rPr>
              <w:t>Academic content</w:t>
            </w:r>
          </w:p>
        </w:tc>
        <w:tc>
          <w:tcPr>
            <w:tcW w:type="dxa" w:w="3293"/>
            <w:vAlign w:val="center"/>
          </w:tcPr>
          <w:p>
            <w:pPr>
              <w:spacing w:after="40"/>
            </w:pPr>
            <w:r/>
            <w:r>
              <w:rPr>
                <w:b w:val="0"/>
                <w:sz w:val="17"/>
              </w:rPr>
              <w:t>Course packages, version history, projects, references</w:t>
            </w:r>
          </w:p>
        </w:tc>
        <w:tc>
          <w:tcPr>
            <w:tcW w:type="dxa" w:w="3293"/>
            <w:vAlign w:val="center"/>
          </w:tcPr>
          <w:p>
            <w:pPr>
              <w:spacing w:after="40"/>
            </w:pPr>
            <w:r/>
            <w:r>
              <w:rPr>
                <w:b w:val="0"/>
                <w:sz w:val="17"/>
              </w:rPr>
              <w:t>Fossil SCM, Markdown, JSON</w:t>
            </w:r>
          </w:p>
        </w:tc>
      </w:tr>
      <w:tr>
        <w:tc>
          <w:tcPr>
            <w:tcW w:type="dxa" w:w="3293"/>
            <w:vAlign w:val="center"/>
          </w:tcPr>
          <w:p>
            <w:pPr>
              <w:spacing w:after="40"/>
            </w:pPr>
            <w:r/>
            <w:r>
              <w:rPr>
                <w:b w:val="0"/>
                <w:sz w:val="17"/>
              </w:rPr>
              <w:t>Application coordination</w:t>
            </w:r>
          </w:p>
        </w:tc>
        <w:tc>
          <w:tcPr>
            <w:tcW w:type="dxa" w:w="3293"/>
            <w:vAlign w:val="center"/>
          </w:tcPr>
          <w:p>
            <w:pPr>
              <w:spacing w:after="40"/>
            </w:pPr>
            <w:r/>
            <w:r>
              <w:rPr>
                <w:b w:val="0"/>
                <w:sz w:val="17"/>
              </w:rPr>
              <w:t>Accounts, profiles, discovery, synchronization metadata</w:t>
            </w:r>
          </w:p>
        </w:tc>
        <w:tc>
          <w:tcPr>
            <w:tcW w:type="dxa" w:w="3293"/>
            <w:vAlign w:val="center"/>
          </w:tcPr>
          <w:p>
            <w:pPr>
              <w:spacing w:after="40"/>
            </w:pPr>
            <w:r/>
            <w:r>
              <w:rPr>
                <w:b w:val="0"/>
                <w:sz w:val="17"/>
              </w:rPr>
              <w:t>PocketBase</w:t>
            </w:r>
          </w:p>
        </w:tc>
      </w:tr>
      <w:tr>
        <w:tc>
          <w:tcPr>
            <w:tcW w:type="dxa" w:w="3293"/>
            <w:vAlign w:val="center"/>
          </w:tcPr>
          <w:p>
            <w:pPr>
              <w:spacing w:after="40"/>
            </w:pPr>
            <w:r/>
            <w:r>
              <w:rPr>
                <w:b w:val="0"/>
                <w:sz w:val="17"/>
              </w:rPr>
              <w:t>AI assistance</w:t>
            </w:r>
          </w:p>
        </w:tc>
        <w:tc>
          <w:tcPr>
            <w:tcW w:type="dxa" w:w="3293"/>
            <w:vAlign w:val="center"/>
          </w:tcPr>
          <w:p>
            <w:pPr>
              <w:spacing w:after="40"/>
            </w:pPr>
            <w:r/>
            <w:r>
              <w:rPr>
                <w:b w:val="0"/>
                <w:sz w:val="17"/>
              </w:rPr>
              <w:t>Tutoring, content generation, feedback, assessment support</w:t>
            </w:r>
          </w:p>
        </w:tc>
        <w:tc>
          <w:tcPr>
            <w:tcW w:type="dxa" w:w="3293"/>
            <w:vAlign w:val="center"/>
          </w:tcPr>
          <w:p>
            <w:pPr>
              <w:spacing w:after="40"/>
            </w:pPr>
            <w:r/>
            <w:r>
              <w:rPr>
                <w:b w:val="0"/>
                <w:sz w:val="17"/>
              </w:rPr>
              <w:t>BYOK adapters and local model endpoints</w:t>
            </w:r>
          </w:p>
        </w:tc>
      </w:tr>
      <w:tr>
        <w:tc>
          <w:tcPr>
            <w:tcW w:type="dxa" w:w="3293"/>
            <w:vAlign w:val="center"/>
          </w:tcPr>
          <w:p>
            <w:pPr>
              <w:spacing w:after="40"/>
            </w:pPr>
            <w:r/>
            <w:r>
              <w:rPr>
                <w:b w:val="0"/>
                <w:sz w:val="17"/>
              </w:rPr>
              <w:t>Execution and assessment</w:t>
            </w:r>
          </w:p>
        </w:tc>
        <w:tc>
          <w:tcPr>
            <w:tcW w:type="dxa" w:w="3293"/>
            <w:vAlign w:val="center"/>
          </w:tcPr>
          <w:p>
            <w:pPr>
              <w:spacing w:after="40"/>
            </w:pPr>
            <w:r/>
            <w:r>
              <w:rPr>
                <w:b w:val="0"/>
                <w:sz w:val="17"/>
              </w:rPr>
              <w:t>Validation, test execution, scoring, result generation</w:t>
            </w:r>
          </w:p>
        </w:tc>
        <w:tc>
          <w:tcPr>
            <w:tcW w:type="dxa" w:w="3293"/>
            <w:vAlign w:val="center"/>
          </w:tcPr>
          <w:p>
            <w:pPr>
              <w:spacing w:after="40"/>
            </w:pPr>
            <w:r/>
            <w:r>
              <w:rPr>
                <w:b w:val="0"/>
                <w:sz w:val="17"/>
              </w:rPr>
              <w:t>Pipelight, Rust, WASM</w:t>
            </w:r>
          </w:p>
        </w:tc>
      </w:tr>
      <w:tr>
        <w:tc>
          <w:tcPr>
            <w:tcW w:type="dxa" w:w="3293"/>
            <w:vAlign w:val="center"/>
          </w:tcPr>
          <w:p>
            <w:pPr>
              <w:spacing w:after="40"/>
            </w:pPr>
            <w:r/>
            <w:r>
              <w:rPr>
                <w:b w:val="0"/>
                <w:sz w:val="17"/>
              </w:rPr>
              <w:t>Distribution and trust</w:t>
            </w:r>
          </w:p>
        </w:tc>
        <w:tc>
          <w:tcPr>
            <w:tcW w:type="dxa" w:w="3293"/>
            <w:vAlign w:val="center"/>
          </w:tcPr>
          <w:p>
            <w:pPr>
              <w:spacing w:after="40"/>
            </w:pPr>
            <w:r/>
            <w:r>
              <w:rPr>
                <w:b w:val="0"/>
                <w:sz w:val="17"/>
              </w:rPr>
              <w:t>Peer synchronization, signed results, credentials</w:t>
            </w:r>
          </w:p>
        </w:tc>
        <w:tc>
          <w:tcPr>
            <w:tcW w:type="dxa" w:w="3293"/>
            <w:vAlign w:val="center"/>
          </w:tcPr>
          <w:p>
            <w:pPr>
              <w:spacing w:after="40"/>
            </w:pPr>
            <w:r/>
            <w:r>
              <w:rPr>
                <w:b w:val="0"/>
                <w:sz w:val="17"/>
              </w:rPr>
              <w:t>Fossil synchronization, optional libp2p, public-key cryptography</w:t>
            </w:r>
          </w:p>
        </w:tc>
      </w:tr>
    </w:tbl>
    <w:p/>
    <w:p>
      <w:r>
        <w:t>These layers are logically independent. They do not need to run as separate servers in every deployment.</w:t>
      </w:r>
    </w:p>
    <w:p>
      <w:r>
        <w:t>A small deployment may initially consist of a browser, a local Fossil repository, a local assessment process, and a PocketBase instance. Peer networking and distributed credential replication can be added later.</w:t>
      </w:r>
    </w:p>
    <w:p>
      <w:pPr>
        <w:pStyle w:val="Heading2"/>
      </w:pPr>
      <w:r>
        <w:t>2.1 Architecture diagram</w:t>
      </w:r>
    </w:p>
    <w:p>
      <w:pPr>
        <w:pStyle w:val="CodeBlock"/>
        <w:keepLines/>
        <w:shd w:fill="F3F5F7"/>
      </w:pPr>
      <w:r>
        <w:rPr>
          <w:rFonts w:ascii="Consolas" w:hAnsi="Consolas"/>
          <w:sz w:val="15"/>
        </w:rPr>
        <w:t>flowchart TB</w:t>
        <w:br/>
        <w:t xml:space="preserve">    U[Learner / Educator / Reviewer]</w:t>
        <w:br/>
        <w:t xml:space="preserve">    UI[Single HTML5 Learning Client]</w:t>
        <w:br/>
        <w:br/>
        <w:t xml:space="preserve">    U &lt;--&gt; UI</w:t>
        <w:br/>
        <w:br/>
        <w:t xml:space="preserve">    UI &lt;--&gt; FC[Fossil Course Repositories]</w:t>
        <w:br/>
        <w:t xml:space="preserve">    UI &lt;--&gt; PB[PocketBase Coordination]</w:t>
        <w:br/>
        <w:t xml:space="preserve">    UI &lt;--&gt; AI[BYOK AI Provider Adapter]</w:t>
        <w:br/>
        <w:t xml:space="preserve">    UI &lt;--&gt; PEER[Peer Network]</w:t>
        <w:br/>
        <w:br/>
        <w:t xml:space="preserve">    FC --&gt; CI[Pipelight CI Pipelines]</w:t>
        <w:br/>
        <w:t xml:space="preserve">    CI --&gt; RUN[Restricted Rust / WASM Runner]</w:t>
        <w:br/>
        <w:t xml:space="preserve">    RUN --&gt; RESULT[Assessment Evidence]</w:t>
        <w:br/>
        <w:t xml:space="preserve">    RESULT --&gt; SIGN[Authorized Result Signing]</w:t>
        <w:br/>
        <w:br/>
        <w:t xml:space="preserve">    PEER &lt;--&gt; FC</w:t>
        <w:br/>
        <w:t xml:space="preserve">    PEER &lt;--&gt; DISC[Peer Discussions and Reviews]</w:t>
        <w:br/>
        <w:t xml:space="preserve">    SIGN --&gt; CRED[Credential Records]</w:t>
        <w:br/>
        <w:t xml:space="preserve">    CRED &lt;--&gt; PEER</w:t>
        <w:br/>
        <w:br/>
        <w:t xml:space="preserve">    AI --&gt; DRAFT[Generated Learning Artifacts]</w:t>
        <w:br/>
        <w:t xml:space="preserve">    DRAFT --&gt; VALID[Validation and Review]</w:t>
        <w:br/>
        <w:t xml:space="preserve">    VALID --&gt; FC</w:t>
      </w:r>
    </w:p>
    <w:p>
      <w:r>
        <w:t>The diagram represents logical relationships, not mandatory deployment topology. For example, a learner may use local AI, local course repositories, and local assessment without contacting PocketBase.</w:t>
      </w:r>
    </w:p>
    <w:p>
      <w:pPr>
        <w:pStyle w:val="Heading1"/>
      </w:pPr>
      <w:r>
        <w:t>3. Course Repositories and Academic Content</w:t>
      </w:r>
    </w:p>
    <w:p>
      <w:pPr>
        <w:pStyle w:val="Heading2"/>
      </w:pPr>
      <w:r>
        <w:t>3.1 Courses as versioned artifacts</w:t>
      </w:r>
    </w:p>
    <w:p>
      <w:r>
        <w:t>Each course is a version-controlled academic package rather than a database record containing an entire course.</w:t>
      </w:r>
    </w:p>
    <w:p>
      <w:r>
        <w:t>A course repository contains its syllabus, learning outcomes, notes, slides, assessments, practical exercises, references, project specifications, and associated media.</w:t>
      </w:r>
    </w:p>
    <w:p>
      <w:r>
        <w:t>Fossil SCM provides the version-history foundation. Its repository history makes it possible to inspect changes, maintain branches, synchronize copies, and associate assessment evidence with particular course revisions.</w:t>
      </w:r>
    </w:p>
    <w:p>
      <w:r>
        <w:t>The course package should remain understandable without proprietary tooling. Markdown and JSON provide human-readable and machine-readable representations.</w:t>
      </w:r>
    </w:p>
    <w:p>
      <w:pPr>
        <w:pStyle w:val="Heading2"/>
      </w:pPr>
      <w:r>
        <w:t>3.2 Reference course structure</w:t>
      </w:r>
    </w:p>
    <w:p>
      <w:pPr>
        <w:pStyle w:val="CodeBlock"/>
        <w:keepLines/>
        <w:shd w:fill="F3F5F7"/>
      </w:pPr>
      <w:r>
        <w:rPr>
          <w:rFonts w:ascii="Consolas" w:hAnsi="Consolas"/>
          <w:sz w:val="15"/>
        </w:rPr>
        <w:t>course/</w:t>
        <w:br/>
        <w:t>├── course.json</w:t>
        <w:br/>
        <w:t>├── syllabus.md</w:t>
        <w:br/>
        <w:t>├── prerequisites.md</w:t>
        <w:br/>
        <w:t>├── manifest.json</w:t>
        <w:br/>
        <w:t>├── lessons/</w:t>
        <w:br/>
        <w:t>│   ├── 01-foundations/</w:t>
        <w:br/>
        <w:t>│   │   ├── lesson.md</w:t>
        <w:br/>
        <w:t>│   │   ├── slides.md</w:t>
        <w:br/>
        <w:t>│   │   ├── quiz.json</w:t>
        <w:br/>
        <w:t>│   │   ├── exercises/</w:t>
        <w:br/>
        <w:t>│   │   └── assets/</w:t>
        <w:br/>
        <w:t>│   └── 02-advanced/</w:t>
        <w:br/>
        <w:t>├── assessments/</w:t>
        <w:br/>
        <w:t>│   ├── rubric.json</w:t>
        <w:br/>
        <w:t>│   ├── tests/</w:t>
        <w:br/>
        <w:t>│   └── project.md</w:t>
        <w:br/>
        <w:t>├── projects/</w:t>
        <w:br/>
        <w:t>├── papers/</w:t>
        <w:br/>
        <w:t>├── discussions/</w:t>
        <w:br/>
        <w:t>├── references/</w:t>
        <w:br/>
        <w:t>└── media/</w:t>
      </w:r>
    </w:p>
    <w:p>
      <w:r>
        <w:t>The exact layout is a proposed convention. A versioned course specification should eventually define mandatory fields, optional directories, validation rules, and compatibility requirements.</w:t>
      </w:r>
    </w:p>
    <w:p>
      <w:pPr>
        <w:pStyle w:val="Heading2"/>
      </w:pPr>
      <w:r>
        <w:t>3.3 Structured course metadata</w:t>
      </w:r>
    </w:p>
    <w:p>
      <w:r>
        <w:t>A course manifest should describe:</w:t>
      </w:r>
    </w:p>
    <w:p>
      <w:pPr>
        <w:pStyle w:val="ListBullet"/>
      </w:pPr>
      <w:r>
        <w:t>A globally unique course identifier.</w:t>
      </w:r>
    </w:p>
    <w:p>
      <w:pPr>
        <w:pStyle w:val="ListBullet"/>
      </w:pPr>
      <w:r>
        <w:t>Title, language, authors, and maintainers.</w:t>
      </w:r>
    </w:p>
    <w:p>
      <w:pPr>
        <w:pStyle w:val="ListBullet"/>
      </w:pPr>
      <w:r>
        <w:t>Version and schema version.</w:t>
      </w:r>
    </w:p>
    <w:p>
      <w:pPr>
        <w:pStyle w:val="ListBullet"/>
      </w:pPr>
      <w:r>
        <w:t>Prerequisites and expected learning effort.</w:t>
      </w:r>
    </w:p>
    <w:p>
      <w:pPr>
        <w:pStyle w:val="ListBullet"/>
      </w:pPr>
      <w:r>
        <w:t>Learning outcomes and module relationships.</w:t>
      </w:r>
    </w:p>
    <w:p>
      <w:pPr>
        <w:pStyle w:val="ListBullet"/>
      </w:pPr>
      <w:r>
        <w:t>Assessment methods and passing criteria.</w:t>
      </w:r>
    </w:p>
    <w:p>
      <w:pPr>
        <w:pStyle w:val="ListBullet"/>
      </w:pPr>
      <w:r>
        <w:t>Dependencies and supported execution environments.</w:t>
      </w:r>
    </w:p>
    <w:p>
      <w:pPr>
        <w:pStyle w:val="ListBullet"/>
      </w:pPr>
      <w:r>
        <w:t>License and attribution requirements.</w:t>
      </w:r>
    </w:p>
    <w:p>
      <w:pPr>
        <w:pStyle w:val="ListBullet"/>
      </w:pPr>
      <w:r>
        <w:t>Content hashes and relevant provenance metadata.</w:t>
      </w:r>
    </w:p>
    <w:p>
      <w:pPr>
        <w:pStyle w:val="ListBullet"/>
      </w:pPr>
      <w:r>
        <w:t>Credential mappings, where applicable.</w:t>
      </w:r>
    </w:p>
    <w:p>
      <w:r>
        <w:t>Example:</w:t>
      </w:r>
    </w:p>
    <w:p>
      <w:pPr>
        <w:pStyle w:val="CodeBlock"/>
        <w:keepLines/>
        <w:shd w:fill="F3F5F7"/>
      </w:pPr>
      <w:r>
        <w:rPr>
          <w:rFonts w:ascii="Consolas" w:hAnsi="Consolas"/>
          <w:sz w:val="15"/>
        </w:rPr>
        <w:t>{</w:t>
        <w:br/>
        <w:t xml:space="preserve">  "schema_version": "1.0",</w:t>
        <w:br/>
        <w:t xml:space="preserve">  "id": "vidyarthi:cybersecurity:101",</w:t>
        <w:br/>
        <w:t xml:space="preserve">  "title": "Foundations of Cybersecurity",</w:t>
        <w:br/>
        <w:t xml:space="preserve">  "version": "1.0.0",</w:t>
        <w:br/>
        <w:t xml:space="preserve">  "language": "en",</w:t>
        <w:br/>
        <w:t xml:space="preserve">  "level": "beginner",</w:t>
        <w:br/>
        <w:t xml:space="preserve">  "credits": {</w:t>
        <w:br/>
        <w:t xml:space="preserve">    "value": 2,</w:t>
        <w:br/>
        <w:t xml:space="preserve">    "system": "vidyarthi-proposed"</w:t>
        <w:br/>
        <w:t xml:space="preserve">  },</w:t>
        <w:br/>
        <w:t xml:space="preserve">  "outcomes": [</w:t>
        <w:br/>
        <w:t xml:space="preserve">    "Explain fundamental security principles",</w:t>
        <w:br/>
        <w:t xml:space="preserve">    "Identify common attack surfaces"</w:t>
        <w:br/>
        <w:t xml:space="preserve">  ],</w:t>
        <w:br/>
        <w:t xml:space="preserve">  "modules": [</w:t>
        <w:br/>
        <w:t xml:space="preserve">    {</w:t>
        <w:br/>
        <w:t xml:space="preserve">      "id": "security-fundamentals",</w:t>
        <w:br/>
        <w:t xml:space="preserve">      "path": "lessons/01-foundations"</w:t>
        <w:br/>
        <w:t xml:space="preserve">    }</w:t>
        <w:br/>
        <w:t xml:space="preserve">  ]</w:t>
        <w:br/>
        <w:t>}</w:t>
      </w:r>
    </w:p>
    <w:p>
      <w:r>
        <w:t>The credit field is descriptive metadata until an authorized issuer evaluates the course against a published credit policy. It must not automatically create an academic entitlement.</w:t>
      </w:r>
    </w:p>
    <w:p>
      <w:pPr>
        <w:pStyle w:val="Heading2"/>
      </w:pPr>
      <w:r>
        <w:t>3.4 Course publication lifecycle</w:t>
      </w:r>
    </w:p>
    <w:p>
      <w:r>
        <w:t>The recommended lifecycle is:</w:t>
      </w:r>
    </w:p>
    <w:p>
      <w:pPr>
        <w:pStyle w:val="ListNumber"/>
      </w:pPr>
      <w:r>
        <w:t>A course author creates or forks a repository.</w:t>
      </w:r>
    </w:p>
    <w:p>
      <w:pPr>
        <w:pStyle w:val="ListNumber"/>
      </w:pPr>
      <w:r>
        <w:t>The author defines learning outcomes, course structure, and assessment criteria.</w:t>
      </w:r>
    </w:p>
    <w:p>
      <w:pPr>
        <w:pStyle w:val="ListNumber"/>
      </w:pPr>
      <w:r>
        <w:t>AI tools may generate draft materials.</w:t>
      </w:r>
    </w:p>
    <w:p>
      <w:pPr>
        <w:pStyle w:val="ListNumber"/>
      </w:pPr>
      <w:r>
        <w:t>Automated checks validate structure, references, assets, and tests.</w:t>
      </w:r>
    </w:p>
    <w:p>
      <w:pPr>
        <w:pStyle w:val="ListNumber"/>
      </w:pPr>
      <w:r>
        <w:t>Educators and qualified reviewers examine academic quality.</w:t>
      </w:r>
    </w:p>
    <w:p>
      <w:pPr>
        <w:pStyle w:val="ListNumber"/>
      </w:pPr>
      <w:r>
        <w:t>A maintainer publishes a release with a stable identifier and revision.</w:t>
      </w:r>
    </w:p>
    <w:p>
      <w:pPr>
        <w:pStyle w:val="ListNumber"/>
      </w:pPr>
      <w:r>
        <w:t>Learners use that specific revision for study and assessment.</w:t>
      </w:r>
    </w:p>
    <w:p>
      <w:pPr>
        <w:pStyle w:val="ListNumber"/>
      </w:pPr>
      <w:r>
        <w:t>Later changes create new revisions without silently changing the evidence underlying earlier achievements.</w:t>
      </w:r>
    </w:p>
    <w:p>
      <w:r>
        <w:t>Course forks should preserve attribution and upstream references where permitted by the applicable license.</w:t>
      </w:r>
    </w:p>
    <w:p>
      <w:pPr>
        <w:pStyle w:val="Heading1"/>
      </w:pPr>
      <w:r>
        <w:t>4. AI-Driven Learning and BYOK</w:t>
      </w:r>
    </w:p>
    <w:p>
      <w:pPr>
        <w:pStyle w:val="Heading2"/>
      </w:pPr>
      <w:r>
        <w:t>4.1 Bring Your Own Key</w:t>
      </w:r>
    </w:p>
    <w:p>
      <w:r>
        <w:t>Vidyarthi will not require a single centrally funded AI provider.</w:t>
      </w:r>
    </w:p>
    <w:p>
      <w:r>
        <w:t>Under the BYOK model, a learner, educator, or course author configures an AI provider and supplies their own API credentials. The platform provides a common interface through which compatible providers can support tutoring, generation, summarization, and feedback.</w:t>
      </w:r>
    </w:p>
    <w:p>
      <w:r>
        <w:t>Supported configurations may include:</w:t>
      </w:r>
    </w:p>
    <w:p>
      <w:pPr>
        <w:pStyle w:val="ListBullet"/>
      </w:pPr>
      <w:r>
        <w:t>Hosted AI APIs.</w:t>
      </w:r>
    </w:p>
    <w:p>
      <w:pPr>
        <w:pStyle w:val="ListBullet"/>
      </w:pPr>
      <w:r>
        <w:t>OpenAI-compatible endpoints.</w:t>
      </w:r>
    </w:p>
    <w:p>
      <w:pPr>
        <w:pStyle w:val="ListBullet"/>
      </w:pPr>
      <w:r>
        <w:t>Local model servers such as Ollama or llama.cpp.</w:t>
      </w:r>
    </w:p>
    <w:p>
      <w:pPr>
        <w:pStyle w:val="ListBullet"/>
      </w:pPr>
      <w:r>
        <w:t>Institution-managed inference services.</w:t>
      </w:r>
    </w:p>
    <w:p>
      <w:pPr>
        <w:pStyle w:val="ListBullet"/>
      </w:pPr>
      <w:r>
        <w:t>Provider adapters developed by the community.</w:t>
      </w:r>
    </w:p>
    <w:p>
      <w:r>
        <w:t>Provider capabilities differ. Structured output, streaming, multimodal inputs, and tool use should therefore be treated as optional capabilities rather than guaranteed features.</w:t>
      </w:r>
    </w:p>
    <w:p>
      <w:pPr>
        <w:pStyle w:val="Heading2"/>
      </w:pPr>
      <w:r>
        <w:t>4.2 Key management and privacy</w:t>
      </w:r>
    </w:p>
    <w:p>
      <w:r>
        <w:t>API credentials are sensitive data.</w:t>
      </w:r>
    </w:p>
    <w:p>
      <w:r>
        <w:t>The default design should keep keys in memory for the active session. Optional persistence should use an explicit user choice and an appropriate encryption mechanism.</w:t>
      </w:r>
    </w:p>
    <w:p>
      <w:r>
        <w:t>Keys must not be written to course repositories, shared across peers, embedded in generated assets, or included in ordinary diagnostic logs.</w:t>
      </w:r>
    </w:p>
    <w:p>
      <w:r>
        <w:t>For cloud inference, the client should disclose which data will be transmitted. A learner must be able to distinguish local inference from remote processing.</w:t>
      </w:r>
    </w:p>
    <w:p>
      <w:r>
        <w:t>Browser-to-provider requests may be restricted by cross-origin policies or provider authentication requirements. When direct access is not supported, an explicitly configured local or institutional gateway may be used. The platform must not silently proxy user keys through a shared backend.</w:t>
      </w:r>
    </w:p>
    <w:p>
      <w:pPr>
        <w:pStyle w:val="Heading2"/>
      </w:pPr>
      <w:r>
        <w:t>4.3 AI course-generation pipeline</w:t>
      </w:r>
    </w:p>
    <w:p>
      <w:r>
        <w:t>Course generation is a structured transformation process.</w:t>
      </w:r>
    </w:p>
    <w:p>
      <w:r>
        <w:rPr>
          <w:b/>
        </w:rPr>
        <w:t>Stage 1 — Curriculum planning</w:t>
      </w:r>
    </w:p>
    <w:p>
      <w:r>
        <w:t>The author specifies the topic, learner profile, prerequisites, duration, learning outcomes, and relevant references.</w:t>
      </w:r>
    </w:p>
    <w:p>
      <w:r>
        <w:t>The AI proposes a syllabus with module dependencies, competency progression, and an assessment plan.</w:t>
      </w:r>
    </w:p>
    <w:p>
      <w:r>
        <w:rPr>
          <w:b/>
        </w:rPr>
        <w:t>Stage 2 — Learning content</w:t>
      </w:r>
    </w:p>
    <w:p>
      <w:r>
        <w:t>The system generates Markdown lessons containing explanations, worked examples, exercises, diagrams, and references.</w:t>
      </w:r>
    </w:p>
    <w:p>
      <w:r>
        <w:rPr>
          <w:b/>
        </w:rPr>
        <w:t>Stage 3 — Presentation materials</w:t>
      </w:r>
    </w:p>
    <w:p>
      <w:r>
        <w:t>Marp-compatible Markdown slides are generated from the approved lesson content. Slides and notes should share common learning-outcome identifiers.</w:t>
      </w:r>
    </w:p>
    <w:p>
      <w:r>
        <w:rPr>
          <w:b/>
        </w:rPr>
        <w:t>Stage 4 — Assessment generation</w:t>
      </w:r>
    </w:p>
    <w:p>
      <w:r>
        <w:t>The system creates quizzes, answer keys, explanations, practical exercises, rubrics, and test specifications.</w:t>
      </w:r>
    </w:p>
    <w:p>
      <w:r>
        <w:rPr>
          <w:b/>
        </w:rPr>
        <w:t>Stage 5 — Multimedia</w:t>
      </w:r>
    </w:p>
    <w:p>
      <w:r>
        <w:t>The system can prepare narration scripts, scene descriptions, storyboards, captions, and prompts for image, animation, or video generation. Media generation may use separate services and run asynchronously.</w:t>
      </w:r>
    </w:p>
    <w:p>
      <w:r>
        <w:rPr>
          <w:b/>
        </w:rPr>
        <w:t>Stage 6 — Validation</w:t>
      </w:r>
    </w:p>
    <w:p>
      <w:r>
        <w:t>The generated package is checked for schema compliance, missing references, broken links, duplicated questions, unsupported claims, assessment consistency, and coverage of stated learning outcomes.</w:t>
      </w:r>
    </w:p>
    <w:p>
      <w:r>
        <w:rPr>
          <w:b/>
        </w:rPr>
        <w:t>Stage 7 — Review and publication</w:t>
      </w:r>
    </w:p>
    <w:p>
      <w:r>
        <w:t>A human maintainer approves the course or returns it for revision. Publication records the exact repository revision and applicable assessment rules.</w:t>
      </w:r>
    </w:p>
    <w:p>
      <w:r>
        <w:t>AI-generated material remains a draft until it passes the required checks. Passing automated checks does not establish factual correctness or academic suitability.</w:t>
      </w:r>
    </w:p>
    <w:p>
      <w:pPr>
        <w:pStyle w:val="Heading2"/>
      </w:pPr>
      <w:r>
        <w:t>4.4 AI tutor</w:t>
      </w:r>
    </w:p>
    <w:p>
      <w:r>
        <w:t>The tutor should use the active course as its primary context and offer:</w:t>
      </w:r>
    </w:p>
    <w:p>
      <w:pPr>
        <w:pStyle w:val="ListBullet"/>
      </w:pPr>
      <w:r>
        <w:t>Explanations at different levels of difficulty.</w:t>
      </w:r>
    </w:p>
    <w:p>
      <w:pPr>
        <w:pStyle w:val="ListBullet"/>
      </w:pPr>
      <w:r>
        <w:t>Hints before complete solutions.</w:t>
      </w:r>
    </w:p>
    <w:p>
      <w:pPr>
        <w:pStyle w:val="ListBullet"/>
      </w:pPr>
      <w:r>
        <w:t>Worked examples and practice questions.</w:t>
      </w:r>
    </w:p>
    <w:p>
      <w:pPr>
        <w:pStyle w:val="ListBullet"/>
      </w:pPr>
      <w:r>
        <w:t>Personalized revision based on demonstrated gaps.</w:t>
      </w:r>
    </w:p>
    <w:p>
      <w:pPr>
        <w:pStyle w:val="ListBullet"/>
      </w:pPr>
      <w:r>
        <w:t>Summaries and concept maps.</w:t>
      </w:r>
    </w:p>
    <w:p>
      <w:pPr>
        <w:pStyle w:val="ListBullet"/>
      </w:pPr>
      <w:r>
        <w:t>Links to relevant lessons and references.</w:t>
      </w:r>
    </w:p>
    <w:p>
      <w:pPr>
        <w:pStyle w:val="ListBullet"/>
      </w:pPr>
      <w:r>
        <w:t>Feedback on learner submissions.</w:t>
      </w:r>
    </w:p>
    <w:p>
      <w:r>
        <w:t>Where possible, responses should identify the source lessons or references supporting their claims.</w:t>
      </w:r>
    </w:p>
    <w:p>
      <w:r>
        <w:t>The tutor should distinguish source-grounded information from generated suggestions. It should not invent citations or claim that an unverified answer is authoritative.</w:t>
      </w:r>
    </w:p>
    <w:p>
      <w:pPr>
        <w:pStyle w:val="Heading2"/>
      </w:pPr>
      <w:r>
        <w:t>4.5 Adaptive learning</w:t>
      </w:r>
    </w:p>
    <w:p>
      <w:r>
        <w:t>Learner progress can inform the selection of subsequent exercises.</w:t>
      </w:r>
    </w:p>
    <w:p>
      <w:r>
        <w:t>A basic adaptive model can map each exercise to one or more learning outcomes, record evidence of performance, estimate mastery, and recommend revision or additional practice.</w:t>
      </w:r>
    </w:p>
    <w:p>
      <w:r>
        <w:t>Adaptation should be explainable. Learners should be able to see why an exercise was recommended and override the recommendation.</w:t>
      </w:r>
    </w:p>
    <w:p>
      <w:r>
        <w:t>Personalized learning profiles should remain under learner control and should not automatically be published to peers.</w:t>
      </w:r>
    </w:p>
    <w:p>
      <w:pPr>
        <w:pStyle w:val="Heading1"/>
      </w:pPr>
      <w:r>
        <w:t>5. Automated Assessment with Pipelight</w:t>
      </w:r>
    </w:p>
    <w:p>
      <w:pPr>
        <w:pStyle w:val="Heading2"/>
      </w:pPr>
      <w:r>
        <w:t>5.1 Design objective</w:t>
      </w:r>
    </w:p>
    <w:p>
      <w:r>
        <w:t>Pipelight provides the CI workflow for validating course packages and evaluating supported submissions.</w:t>
      </w:r>
    </w:p>
    <w:p>
      <w:r>
        <w:t>Rather than implementing a full CI system from scratch, Vidyarthi will use pipeline definitions to coordinate validation tools, test execution, report generation, and result-signing steps.</w:t>
      </w:r>
    </w:p>
    <w:p>
      <w:r>
        <w:t>The exact Pipelight configuration and supported execution features must be validated against the selected version during implementation.</w:t>
      </w:r>
    </w:p>
    <w:p>
      <w:pPr>
        <w:pStyle w:val="Heading2"/>
      </w:pPr>
      <w:r>
        <w:t>5.2 Assessment workflow</w:t>
      </w:r>
    </w:p>
    <w:p>
      <w:pPr>
        <w:pStyle w:val="CodeBlock"/>
        <w:keepLines/>
        <w:shd w:fill="F3F5F7"/>
      </w:pPr>
      <w:r>
        <w:rPr>
          <w:rFonts w:ascii="Consolas" w:hAnsi="Consolas"/>
          <w:sz w:val="15"/>
        </w:rPr>
        <w:t>flowchart TD</w:t>
        <w:br/>
        <w:t xml:space="preserve">    A[Course Revision or Submission]</w:t>
        <w:br/>
        <w:t xml:space="preserve">    B[Validate Manifest and Hashes]</w:t>
        <w:br/>
        <w:t xml:space="preserve">    C[Validate Assessment Definition]</w:t>
        <w:br/>
        <w:t xml:space="preserve">    D[Create Restricted Job]</w:t>
        <w:br/>
        <w:t xml:space="preserve">    E[Run Deterministic Tests]</w:t>
        <w:br/>
        <w:t xml:space="preserve">    F[Collect Execution Evidence]</w:t>
        <w:br/>
        <w:t xml:space="preserve">    G[Apply Published Rubric]</w:t>
        <w:br/>
        <w:t xml:space="preserve">    H[Generate Result Report]</w:t>
        <w:br/>
        <w:t xml:space="preserve">    I[Authorized Signing]</w:t>
        <w:br/>
        <w:t xml:space="preserve">    J[Record and Synchronize Result]</w:t>
        <w:br/>
        <w:br/>
        <w:t xml:space="preserve">    A --&gt; B --&gt; C --&gt; D --&gt; E --&gt; F --&gt; G --&gt; H --&gt; I --&gt; J</w:t>
      </w:r>
    </w:p>
    <w:p>
      <w:r>
        <w:t>The workflow separates test execution from academic authorization.</w:t>
      </w:r>
    </w:p>
    <w:p>
      <w:r>
        <w:t>A test runner can establish that a program passed specified tests. It cannot, by itself, establish that the learner independently completed the work, that the rubric is academically valid, or that the result should count toward a degree.</w:t>
      </w:r>
    </w:p>
    <w:p>
      <w:pPr>
        <w:pStyle w:val="Heading2"/>
      </w:pPr>
      <w:r>
        <w:t>5.3 Assessment job format</w:t>
      </w:r>
    </w:p>
    <w:p>
      <w:r>
        <w:t>A proposed job definition is:</w:t>
      </w:r>
    </w:p>
    <w:p>
      <w:pPr>
        <w:pStyle w:val="CodeBlock"/>
        <w:keepLines/>
        <w:shd w:fill="F3F5F7"/>
      </w:pPr>
      <w:r>
        <w:rPr>
          <w:rFonts w:ascii="Consolas" w:hAnsi="Consolas"/>
          <w:sz w:val="15"/>
        </w:rPr>
        <w:t>{</w:t>
        <w:br/>
        <w:t xml:space="preserve">  "schema_version": "1.0",</w:t>
        <w:br/>
        <w:t xml:space="preserve">  "job_id": "job-001",</w:t>
        <w:br/>
        <w:t xml:space="preserve">  "course_id": "vidyarthi:cybersecurity:101",</w:t>
        <w:br/>
        <w:t xml:space="preserve">  "course_revision": "approved-revision-id",</w:t>
        <w:br/>
        <w:t xml:space="preserve">  "submission_id": "submission-001",</w:t>
        <w:br/>
        <w:t xml:space="preserve">  "runner": "wasm",</w:t>
        <w:br/>
        <w:t xml:space="preserve">  "tests": [</w:t>
        <w:br/>
        <w:t xml:space="preserve">    "assessments/tests/basic.json"</w:t>
        <w:br/>
        <w:t xml:space="preserve">  ],</w:t>
        <w:br/>
        <w:t xml:space="preserve">  "limits": {</w:t>
        <w:br/>
        <w:t xml:space="preserve">    "timeout_seconds": 30,</w:t>
        <w:br/>
        <w:t xml:space="preserve">    "memory_mb": 128,</w:t>
        <w:br/>
        <w:t xml:space="preserve">    "network": false</w:t>
        <w:br/>
        <w:t xml:space="preserve">  }</w:t>
        <w:br/>
        <w:t>}</w:t>
      </w:r>
    </w:p>
    <w:p>
      <w:r>
        <w:t>This example defines an application-level schema, not a native Pipelight configuration file. A version-specific adapter will translate it into executable pipeline steps.</w:t>
      </w:r>
    </w:p>
    <w:p>
      <w:pPr>
        <w:pStyle w:val="Heading2"/>
      </w:pPr>
      <w:r>
        <w:t>5.4 Assessment types</w:t>
      </w:r>
    </w:p>
    <w:p>
      <w:r>
        <w:t>Vidyarthi should support multiple forms of assessment:</w:t>
      </w:r>
    </w:p>
    <w:p>
      <w:pPr>
        <w:pStyle w:val="ListNumber"/>
      </w:pPr>
      <w:r>
        <w:rPr>
          <w:b/>
        </w:rPr>
        <w:t>Knowledge checks:</w:t>
      </w:r>
      <w:r>
        <w:t xml:space="preserve"> multiple-choice, matching, short-answer, and structured questions.</w:t>
      </w:r>
    </w:p>
    <w:p>
      <w:pPr>
        <w:pStyle w:val="ListNumber"/>
      </w:pPr>
      <w:r>
        <w:rPr>
          <w:b/>
        </w:rPr>
        <w:t>Deterministic exercises:</w:t>
      </w:r>
      <w:r>
        <w:t xml:space="preserve"> programming tasks, simulations, and data-processing exercises.</w:t>
      </w:r>
    </w:p>
    <w:p>
      <w:pPr>
        <w:pStyle w:val="ListNumber"/>
      </w:pPr>
      <w:r>
        <w:rPr>
          <w:b/>
        </w:rPr>
        <w:t>Project assessment:</w:t>
      </w:r>
      <w:r>
        <w:t xml:space="preserve"> artifact inspection, test results, demonstrations, and rubric-based evaluation.</w:t>
      </w:r>
    </w:p>
    <w:p>
      <w:pPr>
        <w:pStyle w:val="ListNumber"/>
      </w:pPr>
      <w:r>
        <w:rPr>
          <w:b/>
        </w:rPr>
        <w:t>Peer review:</w:t>
      </w:r>
      <w:r>
        <w:t xml:space="preserve"> structured evaluation by other learners or qualified reviewers.</w:t>
      </w:r>
    </w:p>
    <w:p>
      <w:pPr>
        <w:pStyle w:val="ListNumber"/>
      </w:pPr>
      <w:r>
        <w:rPr>
          <w:b/>
        </w:rPr>
        <w:t>Research assessment:</w:t>
      </w:r>
      <w:r>
        <w:t xml:space="preserve"> reproducibility, methodology, evidence quality, citations, and contribution.</w:t>
      </w:r>
    </w:p>
    <w:p>
      <w:pPr>
        <w:pStyle w:val="ListNumber"/>
      </w:pPr>
      <w:r>
        <w:rPr>
          <w:b/>
        </w:rPr>
        <w:t>Oral or supervised assessment:</w:t>
      </w:r>
      <w:r>
        <w:t xml:space="preserve"> optional assessment where identity, authorship, or professional competence requires additional evidence.</w:t>
      </w:r>
    </w:p>
    <w:p>
      <w:r>
        <w:t>AI may assist with feedback and rubric application. High-stakes decisions require appropriate human oversight and an appeal mechanism.</w:t>
      </w:r>
    </w:p>
    <w:p>
      <w:pPr>
        <w:pStyle w:val="Heading2"/>
      </w:pPr>
      <w:r>
        <w:t>5.5 Sandboxing and reproducibility</w:t>
      </w:r>
    </w:p>
    <w:p>
      <w:r>
        <w:t>WebAssembly is useful for portable execution, but WASM alone is not a complete security solution.</w:t>
      </w:r>
    </w:p>
    <w:p>
      <w:r>
        <w:t>Untrusted submissions require resource limits and explicit restrictions on filesystem access, network access, execution time, memory use, and system capabilities.</w:t>
      </w:r>
    </w:p>
    <w:p>
      <w:r>
        <w:t>A native Rust process may orchestrate jobs, while a restricted WASM runtime executes compatible exercises. Workloads requiring operating-system features may use a separate isolated execution environment.</w:t>
      </w:r>
    </w:p>
    <w:p>
      <w:r>
        <w:t>Assessment reports should record:</w:t>
      </w:r>
    </w:p>
    <w:p>
      <w:pPr>
        <w:pStyle w:val="ListBullet"/>
      </w:pPr>
      <w:r>
        <w:t>Submission hash.</w:t>
      </w:r>
    </w:p>
    <w:p>
      <w:pPr>
        <w:pStyle w:val="ListBullet"/>
      </w:pPr>
      <w:r>
        <w:t>Course revision.</w:t>
      </w:r>
    </w:p>
    <w:p>
      <w:pPr>
        <w:pStyle w:val="ListBullet"/>
      </w:pPr>
      <w:r>
        <w:t>Test and rubric versions.</w:t>
      </w:r>
    </w:p>
    <w:p>
      <w:pPr>
        <w:pStyle w:val="ListBullet"/>
      </w:pPr>
      <w:r>
        <w:t>Runner and runtime versions.</w:t>
      </w:r>
    </w:p>
    <w:p>
      <w:pPr>
        <w:pStyle w:val="ListBullet"/>
      </w:pPr>
      <w:r>
        <w:t>Relevant execution limits.</w:t>
      </w:r>
    </w:p>
    <w:p>
      <w:pPr>
        <w:pStyle w:val="ListBullet"/>
      </w:pPr>
      <w:r>
        <w:t>Individual test outcomes.</w:t>
      </w:r>
    </w:p>
    <w:p>
      <w:pPr>
        <w:pStyle w:val="ListBullet"/>
      </w:pPr>
      <w:r>
        <w:t>Final score and grading rationale.</w:t>
      </w:r>
    </w:p>
    <w:p>
      <w:pPr>
        <w:pStyle w:val="ListBullet"/>
      </w:pPr>
      <w:r>
        <w:t>Signing identity and result timestamp.</w:t>
      </w:r>
    </w:p>
    <w:p>
      <w:r>
        <w:t>The goal is to make results independently inspectable and reproducible to the extent permitted by the assessment environment.</w:t>
      </w:r>
    </w:p>
    <w:p>
      <w:pPr>
        <w:pStyle w:val="Heading1"/>
      </w:pPr>
      <w:r>
        <w:t>6. Peer-to-Peer Learning and Collaboration</w:t>
      </w:r>
    </w:p>
    <w:p>
      <w:pPr>
        <w:pStyle w:val="Heading2"/>
      </w:pPr>
      <w:r>
        <w:t>6.1 Peer network</w:t>
      </w:r>
    </w:p>
    <w:p>
      <w:r>
        <w:t>The peer network enables participants to exchange course repositories, discussions, project artifacts, reviews, and signed academic records.</w:t>
      </w:r>
    </w:p>
    <w:p>
      <w:r>
        <w:t>Fossil provides the version-control and repository synchronization mechanism for course content. It does not, by itself, provide every feature needed for decentralized peer discovery, real-time messaging, or reliable traversal of restrictive networks.</w:t>
      </w:r>
    </w:p>
    <w:p>
      <w:r>
        <w:t>A small Rust networking service may provide these missing capabilities. libp2p is a candidate for peer discovery and communication, subject to a dependency and resource evaluation.</w:t>
      </w:r>
    </w:p>
    <w:p>
      <w:pPr>
        <w:pStyle w:val="Heading2"/>
      </w:pPr>
      <w:r>
        <w:t>6.2 Offline synchronization</w:t>
      </w:r>
    </w:p>
    <w:p>
      <w:r>
        <w:t>A peer may continue studying or working while disconnected.</w:t>
      </w:r>
    </w:p>
    <w:p>
      <w:r>
        <w:t>Local changes are queued until synchronization is available. On reconnection, the system exchanges repository revisions, messages, and eligible records.</w:t>
      </w:r>
    </w:p>
    <w:p>
      <w:r>
        <w:t>Conflict handling depends on the data type:</w:t>
      </w:r>
    </w:p>
    <w:p>
      <w:pPr>
        <w:pStyle w:val="ListBullet"/>
      </w:pPr>
      <w:r>
        <w:t>Versioned course content uses repository history and merge workflows.</w:t>
      </w:r>
    </w:p>
    <w:p>
      <w:pPr>
        <w:pStyle w:val="ListBullet"/>
      </w:pPr>
      <w:r>
        <w:t>Discussions preserve message identity and ordering metadata.</w:t>
      </w:r>
    </w:p>
    <w:p>
      <w:pPr>
        <w:pStyle w:val="ListBullet"/>
      </w:pPr>
      <w:r>
        <w:t>Learner progress reconciles using explicit event and conflict rules.</w:t>
      </w:r>
    </w:p>
    <w:p>
      <w:pPr>
        <w:pStyle w:val="ListBullet"/>
      </w:pPr>
      <w:r>
        <w:t>Credentials are verified as signed records rather than merged as ordinary mutable documents.</w:t>
      </w:r>
    </w:p>
    <w:p>
      <w:r>
        <w:t>Conflicting academic records should not be resolved through arbitrary last-write-wins behavior.</w:t>
      </w:r>
    </w:p>
    <w:p>
      <w:pPr>
        <w:pStyle w:val="Heading2"/>
      </w:pPr>
      <w:r>
        <w:t>6.3 Discussion and research review</w:t>
      </w:r>
    </w:p>
    <w:p>
      <w:r>
        <w:t>Each course can host structured discussions, collaborative projects, and paper-review workflows.</w:t>
      </w:r>
    </w:p>
    <w:p>
      <w:r>
        <w:t>A paper submission should identify its revision, authorship claims, references, and review status. Reviews should record their rubric, reviewer identity or pseudonym, conflicts of interest, and applicable confidentiality rules.</w:t>
      </w:r>
    </w:p>
    <w:p>
      <w:r>
        <w:t>Public review and confidential editorial review must be distinguishable. Confidential manuscripts must not be replicated automatically to every peer.</w:t>
      </w:r>
    </w:p>
    <w:p>
      <w:r>
        <w:t>Peer ratings can help learners discover useful contributions, but they do not substitute for research reproducibility or qualified academic review.</w:t>
      </w:r>
    </w:p>
    <w:p>
      <w:pPr>
        <w:pStyle w:val="Heading1"/>
      </w:pPr>
      <w:r>
        <w:t>7. Gamification and Learning Progression</w:t>
      </w:r>
    </w:p>
    <w:p>
      <w:pPr>
        <w:pStyle w:val="Heading2"/>
      </w:pPr>
      <w:r>
        <w:t>7.1 Objectives</w:t>
      </w:r>
    </w:p>
    <w:p>
      <w:r>
        <w:t>Gamification should improve motivation, feedback, and participation without weakening academic standards.</w:t>
      </w:r>
    </w:p>
    <w:p>
      <w:r>
        <w:t>Vidyarthi separates engagement, contribution quality, and demonstrated competency into distinct systems.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D9E6F2"/>
          </w:tcPr>
          <w:p>
            <w:pPr>
              <w:spacing w:after="40"/>
            </w:pPr>
            <w:r/>
            <w:r>
              <w:rPr>
                <w:b/>
                <w:sz w:val="17"/>
              </w:rPr>
              <w:t>Mechanism</w:t>
            </w:r>
          </w:p>
        </w:tc>
        <w:tc>
          <w:tcPr>
            <w:tcW w:type="dxa" w:w="3293"/>
            <w:vAlign w:val="center"/>
            <w:shd w:fill="D9E6F2"/>
          </w:tcPr>
          <w:p>
            <w:pPr>
              <w:spacing w:after="40"/>
            </w:pPr>
            <w:r/>
            <w:r>
              <w:rPr>
                <w:b/>
                <w:sz w:val="17"/>
              </w:rPr>
              <w:t>Purpose</w:t>
            </w:r>
          </w:p>
        </w:tc>
        <w:tc>
          <w:tcPr>
            <w:tcW w:type="dxa" w:w="3293"/>
            <w:vAlign w:val="center"/>
            <w:shd w:fill="D9E6F2"/>
          </w:tcPr>
          <w:p>
            <w:pPr>
              <w:spacing w:after="40"/>
            </w:pPr>
            <w:r/>
            <w:r>
              <w:rPr>
                <w:b/>
                <w:sz w:val="17"/>
              </w:rPr>
              <w:t>What it does not establish</w:t>
            </w:r>
          </w:p>
        </w:tc>
      </w:tr>
      <w:tr>
        <w:tc>
          <w:tcPr>
            <w:tcW w:type="dxa" w:w="3293"/>
            <w:vAlign w:val="center"/>
          </w:tcPr>
          <w:p>
            <w:pPr>
              <w:spacing w:after="40"/>
            </w:pPr>
            <w:r/>
            <w:r>
              <w:rPr>
                <w:b w:val="0"/>
                <w:sz w:val="17"/>
              </w:rPr>
              <w:t>Experience points (XP)</w:t>
            </w:r>
          </w:p>
        </w:tc>
        <w:tc>
          <w:tcPr>
            <w:tcW w:type="dxa" w:w="3293"/>
            <w:vAlign w:val="center"/>
          </w:tcPr>
          <w:p>
            <w:pPr>
              <w:spacing w:after="40"/>
            </w:pPr>
            <w:r/>
            <w:r>
              <w:rPr>
                <w:b w:val="0"/>
                <w:sz w:val="17"/>
              </w:rPr>
              <w:t>Reward learning activity and progress</w:t>
            </w:r>
          </w:p>
        </w:tc>
        <w:tc>
          <w:tcPr>
            <w:tcW w:type="dxa" w:w="3293"/>
            <w:vAlign w:val="center"/>
          </w:tcPr>
          <w:p>
            <w:pPr>
              <w:spacing w:after="40"/>
            </w:pPr>
            <w:r/>
            <w:r>
              <w:rPr>
                <w:b w:val="0"/>
                <w:sz w:val="17"/>
              </w:rPr>
              <w:t>Academic competence</w:t>
            </w:r>
          </w:p>
        </w:tc>
      </w:tr>
      <w:tr>
        <w:tc>
          <w:tcPr>
            <w:tcW w:type="dxa" w:w="3293"/>
            <w:vAlign w:val="center"/>
          </w:tcPr>
          <w:p>
            <w:pPr>
              <w:spacing w:after="40"/>
            </w:pPr>
            <w:r/>
            <w:r>
              <w:rPr>
                <w:b w:val="0"/>
                <w:sz w:val="17"/>
              </w:rPr>
              <w:t>Levels and badges</w:t>
            </w:r>
          </w:p>
        </w:tc>
        <w:tc>
          <w:tcPr>
            <w:tcW w:type="dxa" w:w="3293"/>
            <w:vAlign w:val="center"/>
          </w:tcPr>
          <w:p>
            <w:pPr>
              <w:spacing w:after="40"/>
            </w:pPr>
            <w:r/>
            <w:r>
              <w:rPr>
                <w:b w:val="0"/>
                <w:sz w:val="17"/>
              </w:rPr>
              <w:t>Communicate milestones</w:t>
            </w:r>
          </w:p>
        </w:tc>
        <w:tc>
          <w:tcPr>
            <w:tcW w:type="dxa" w:w="3293"/>
            <w:vAlign w:val="center"/>
          </w:tcPr>
          <w:p>
            <w:pPr>
              <w:spacing w:after="40"/>
            </w:pPr>
            <w:r/>
            <w:r>
              <w:rPr>
                <w:b w:val="0"/>
                <w:sz w:val="17"/>
              </w:rPr>
              <w:t>Accredited qualifications</w:t>
            </w:r>
          </w:p>
        </w:tc>
      </w:tr>
      <w:tr>
        <w:tc>
          <w:tcPr>
            <w:tcW w:type="dxa" w:w="3293"/>
            <w:vAlign w:val="center"/>
          </w:tcPr>
          <w:p>
            <w:pPr>
              <w:spacing w:after="40"/>
            </w:pPr>
            <w:r/>
            <w:r>
              <w:rPr>
                <w:b w:val="0"/>
                <w:sz w:val="17"/>
              </w:rPr>
              <w:t>Streaks</w:t>
            </w:r>
          </w:p>
        </w:tc>
        <w:tc>
          <w:tcPr>
            <w:tcW w:type="dxa" w:w="3293"/>
            <w:vAlign w:val="center"/>
          </w:tcPr>
          <w:p>
            <w:pPr>
              <w:spacing w:after="40"/>
            </w:pPr>
            <w:r/>
            <w:r>
              <w:rPr>
                <w:b w:val="0"/>
                <w:sz w:val="17"/>
              </w:rPr>
              <w:t>Encourage regular practice</w:t>
            </w:r>
          </w:p>
        </w:tc>
        <w:tc>
          <w:tcPr>
            <w:tcW w:type="dxa" w:w="3293"/>
            <w:vAlign w:val="center"/>
          </w:tcPr>
          <w:p>
            <w:pPr>
              <w:spacing w:after="40"/>
            </w:pPr>
            <w:r/>
            <w:r>
              <w:rPr>
                <w:b w:val="0"/>
                <w:sz w:val="17"/>
              </w:rPr>
              <w:t>Quality of learning</w:t>
            </w:r>
          </w:p>
        </w:tc>
      </w:tr>
      <w:tr>
        <w:tc>
          <w:tcPr>
            <w:tcW w:type="dxa" w:w="3293"/>
            <w:vAlign w:val="center"/>
          </w:tcPr>
          <w:p>
            <w:pPr>
              <w:spacing w:after="40"/>
            </w:pPr>
            <w:r/>
            <w:r>
              <w:rPr>
                <w:b w:val="0"/>
                <w:sz w:val="17"/>
              </w:rPr>
              <w:t>Reputation</w:t>
            </w:r>
          </w:p>
        </w:tc>
        <w:tc>
          <w:tcPr>
            <w:tcW w:type="dxa" w:w="3293"/>
            <w:vAlign w:val="center"/>
          </w:tcPr>
          <w:p>
            <w:pPr>
              <w:spacing w:after="40"/>
            </w:pPr>
            <w:r/>
            <w:r>
              <w:rPr>
                <w:b w:val="0"/>
                <w:sz w:val="17"/>
              </w:rPr>
              <w:t>Help identify useful contributors and reviewers</w:t>
            </w:r>
          </w:p>
        </w:tc>
        <w:tc>
          <w:tcPr>
            <w:tcW w:type="dxa" w:w="3293"/>
            <w:vAlign w:val="center"/>
          </w:tcPr>
          <w:p>
            <w:pPr>
              <w:spacing w:after="40"/>
            </w:pPr>
            <w:r/>
            <w:r>
              <w:rPr>
                <w:b w:val="0"/>
                <w:sz w:val="17"/>
              </w:rPr>
              <w:t>Formal expertise</w:t>
            </w:r>
          </w:p>
        </w:tc>
      </w:tr>
      <w:tr>
        <w:tc>
          <w:tcPr>
            <w:tcW w:type="dxa" w:w="3293"/>
            <w:vAlign w:val="center"/>
          </w:tcPr>
          <w:p>
            <w:pPr>
              <w:spacing w:after="40"/>
            </w:pPr>
            <w:r/>
            <w:r>
              <w:rPr>
                <w:b w:val="0"/>
                <w:sz w:val="17"/>
              </w:rPr>
              <w:t>Competency records</w:t>
            </w:r>
          </w:p>
        </w:tc>
        <w:tc>
          <w:tcPr>
            <w:tcW w:type="dxa" w:w="3293"/>
            <w:vAlign w:val="center"/>
          </w:tcPr>
          <w:p>
            <w:pPr>
              <w:spacing w:after="40"/>
            </w:pPr>
            <w:r/>
            <w:r>
              <w:rPr>
                <w:b w:val="0"/>
                <w:sz w:val="17"/>
              </w:rPr>
              <w:t>Track demonstrated learning outcomes</w:t>
            </w:r>
          </w:p>
        </w:tc>
        <w:tc>
          <w:tcPr>
            <w:tcW w:type="dxa" w:w="3293"/>
            <w:vAlign w:val="center"/>
          </w:tcPr>
          <w:p>
            <w:pPr>
              <w:spacing w:after="40"/>
            </w:pPr>
            <w:r/>
            <w:r>
              <w:rPr>
                <w:b w:val="0"/>
                <w:sz w:val="17"/>
              </w:rPr>
              <w:t>Automatic degree eligibility</w:t>
            </w:r>
          </w:p>
        </w:tc>
      </w:tr>
      <w:tr>
        <w:tc>
          <w:tcPr>
            <w:tcW w:type="dxa" w:w="3293"/>
            <w:vAlign w:val="center"/>
          </w:tcPr>
          <w:p>
            <w:pPr>
              <w:spacing w:after="40"/>
            </w:pPr>
            <w:r/>
            <w:r>
              <w:rPr>
                <w:b w:val="0"/>
                <w:sz w:val="17"/>
              </w:rPr>
              <w:t>Academic credits</w:t>
            </w:r>
          </w:p>
        </w:tc>
        <w:tc>
          <w:tcPr>
            <w:tcW w:type="dxa" w:w="3293"/>
            <w:vAlign w:val="center"/>
          </w:tcPr>
          <w:p>
            <w:pPr>
              <w:spacing w:after="40"/>
            </w:pPr>
            <w:r/>
            <w:r>
              <w:rPr>
                <w:b w:val="0"/>
                <w:sz w:val="17"/>
              </w:rPr>
              <w:t>Represent achievement under a defined policy</w:t>
            </w:r>
          </w:p>
        </w:tc>
        <w:tc>
          <w:tcPr>
            <w:tcW w:type="dxa" w:w="3293"/>
            <w:vAlign w:val="center"/>
          </w:tcPr>
          <w:p>
            <w:pPr>
              <w:spacing w:after="40"/>
            </w:pPr>
            <w:r/>
            <w:r>
              <w:rPr>
                <w:b w:val="0"/>
                <w:sz w:val="17"/>
              </w:rPr>
              <w:t>Universal recognition by every institution</w:t>
            </w:r>
          </w:p>
        </w:tc>
      </w:tr>
    </w:tbl>
    <w:p/>
    <w:p>
      <w:pPr>
        <w:pStyle w:val="Heading2"/>
      </w:pPr>
      <w:r>
        <w:t>7.2 Learning quests</w:t>
      </w:r>
    </w:p>
    <w:p>
      <w:r>
        <w:t>A quest is a sequence of activities associated with learning outcomes.</w:t>
      </w:r>
    </w:p>
    <w:p>
      <w:r>
        <w:t>For example, a cybersecurity quest may require completing a lesson, solving a lab exercise, explaining the result, reviewing a peer's work, and submitting a final project.</w:t>
      </w:r>
    </w:p>
    <w:p>
      <w:r>
        <w:t>The system can award XP for participation and a separate competency result for successfully meeting the rubric.</w:t>
      </w:r>
    </w:p>
    <w:p>
      <w:pPr>
        <w:pStyle w:val="Heading2"/>
      </w:pPr>
      <w:r>
        <w:t>7.3 Anti-gaming measures</w:t>
      </w:r>
    </w:p>
    <w:p>
      <w:r>
        <w:t>The system should discourage automated farming, reciprocal review collusion, duplicate submissions, and artificial reputation inflation.</w:t>
      </w:r>
    </w:p>
    <w:p>
      <w:r>
        <w:t>Possible controls include rate limits, randomized assessment variants, independent reviewers, evidence requirements, anomaly detection, and periodic reassessment.</w:t>
      </w:r>
    </w:p>
    <w:p>
      <w:r>
        <w:t>Reputation mechanisms should be designed to minimize popularity bias, retaliation, and exclusion of new participants. No single community score should determine access to education.</w:t>
      </w:r>
    </w:p>
    <w:p>
      <w:pPr>
        <w:pStyle w:val="Heading1"/>
      </w:pPr>
      <w:r>
        <w:t>8. Identity, Credentials, and Academic Credits</w:t>
      </w:r>
    </w:p>
    <w:p>
      <w:pPr>
        <w:pStyle w:val="Heading2"/>
      </w:pPr>
      <w:r>
        <w:t>8.1 Credential design objectives</w:t>
      </w:r>
    </w:p>
    <w:p>
      <w:r>
        <w:t>Credentials should be portable, verifiable, and bound to clearly identified issuers.</w:t>
      </w:r>
    </w:p>
    <w:p>
      <w:r>
        <w:t>The initial design uses public-key cryptography and signed records. A distributed blockchain is a later option, not a prerequisite.</w:t>
      </w:r>
    </w:p>
    <w:p>
      <w:r>
        <w:t>A credential should contain:</w:t>
      </w:r>
    </w:p>
    <w:p>
      <w:pPr>
        <w:pStyle w:val="ListBullet"/>
      </w:pPr>
      <w:r>
        <w:t>Credential identifier.</w:t>
      </w:r>
    </w:p>
    <w:p>
      <w:pPr>
        <w:pStyle w:val="ListBullet"/>
      </w:pPr>
      <w:r>
        <w:t>Learner identifier or public-key binding.</w:t>
      </w:r>
    </w:p>
    <w:p>
      <w:pPr>
        <w:pStyle w:val="ListBullet"/>
      </w:pPr>
      <w:r>
        <w:t>Course and course revision.</w:t>
      </w:r>
    </w:p>
    <w:p>
      <w:pPr>
        <w:pStyle w:val="ListBullet"/>
      </w:pPr>
      <w:r>
        <w:t>Learning outcomes or competencies achieved.</w:t>
      </w:r>
    </w:p>
    <w:p>
      <w:pPr>
        <w:pStyle w:val="ListBullet"/>
      </w:pPr>
      <w:r>
        <w:t>Credit amount and credit-system definition, if applicable.</w:t>
      </w:r>
    </w:p>
    <w:p>
      <w:pPr>
        <w:pStyle w:val="ListBullet"/>
      </w:pPr>
      <w:r>
        <w:t>Assessment evidence reference.</w:t>
      </w:r>
    </w:p>
    <w:p>
      <w:pPr>
        <w:pStyle w:val="ListBullet"/>
      </w:pPr>
      <w:r>
        <w:t>Issuer identity and authority.</w:t>
      </w:r>
    </w:p>
    <w:p>
      <w:pPr>
        <w:pStyle w:val="ListBullet"/>
      </w:pPr>
      <w:r>
        <w:t>Issue date and applicable policy.</w:t>
      </w:r>
    </w:p>
    <w:p>
      <w:pPr>
        <w:pStyle w:val="ListBullet"/>
      </w:pPr>
      <w:r>
        <w:t>Signature and revocation or status information.</w:t>
      </w:r>
    </w:p>
    <w:p>
      <w:pPr>
        <w:pStyle w:val="Heading2"/>
      </w:pPr>
      <w:r>
        <w:t>8.2 Credential lifecycle</w:t>
      </w:r>
    </w:p>
    <w:p>
      <w:r>
        <w:t>A credential passes through the following stages:</w:t>
      </w:r>
    </w:p>
    <w:p>
      <w:pPr>
        <w:pStyle w:val="ListNumber"/>
      </w:pPr>
      <w:r>
        <w:rPr>
          <w:b/>
        </w:rPr>
        <w:t>Eligibility:</w:t>
      </w:r>
      <w:r>
        <w:t xml:space="preserve"> required learning activities and assessment criteria are satisfied.</w:t>
      </w:r>
    </w:p>
    <w:p>
      <w:pPr>
        <w:pStyle w:val="ListNumber"/>
      </w:pPr>
      <w:r>
        <w:rPr>
          <w:b/>
        </w:rPr>
        <w:t>Verification:</w:t>
      </w:r>
      <w:r>
        <w:t xml:space="preserve"> the evidence is checked against the applicable policy.</w:t>
      </w:r>
    </w:p>
    <w:p>
      <w:pPr>
        <w:pStyle w:val="ListNumber"/>
      </w:pPr>
      <w:r>
        <w:rPr>
          <w:b/>
        </w:rPr>
        <w:t>Authorization:</w:t>
      </w:r>
      <w:r>
        <w:t xml:space="preserve"> an authorized issuer approves the award.</w:t>
      </w:r>
    </w:p>
    <w:p>
      <w:pPr>
        <w:pStyle w:val="ListNumber"/>
      </w:pPr>
      <w:r>
        <w:rPr>
          <w:b/>
        </w:rPr>
        <w:t>Issuance:</w:t>
      </w:r>
      <w:r>
        <w:t xml:space="preserve"> the issuer signs the credential.</w:t>
      </w:r>
    </w:p>
    <w:p>
      <w:pPr>
        <w:pStyle w:val="ListNumber"/>
      </w:pPr>
      <w:r>
        <w:rPr>
          <w:b/>
        </w:rPr>
        <w:t>Distribution:</w:t>
      </w:r>
      <w:r>
        <w:t xml:space="preserve"> the learner stores and shares the credential.</w:t>
      </w:r>
    </w:p>
    <w:p>
      <w:pPr>
        <w:pStyle w:val="ListNumber"/>
      </w:pPr>
      <w:r>
        <w:rPr>
          <w:b/>
        </w:rPr>
        <w:t>Verification:</w:t>
      </w:r>
      <w:r>
        <w:t xml:space="preserve"> a recipient checks the signature, issuer authority, and status.</w:t>
      </w:r>
    </w:p>
    <w:p>
      <w:pPr>
        <w:pStyle w:val="ListNumber"/>
      </w:pPr>
      <w:r>
        <w:rPr>
          <w:b/>
        </w:rPr>
        <w:t>Correction or revocation:</w:t>
      </w:r>
      <w:r>
        <w:t xml:space="preserve"> an authorized record communicates a change where necessary.</w:t>
      </w:r>
    </w:p>
    <w:p>
      <w:r>
        <w:t>Previously issued records should not be silently overwritten. Corrections and revocations should have explicit reasons and a traceable history.</w:t>
      </w:r>
    </w:p>
    <w:p>
      <w:pPr>
        <w:pStyle w:val="Heading2"/>
      </w:pPr>
      <w:r>
        <w:t>8.3 Credits and degrees</w:t>
      </w:r>
    </w:p>
    <w:p>
      <w:r>
        <w:t>Micro-credentials can represent specific competencies, completed courses, projects, or research contributions.</w:t>
      </w:r>
    </w:p>
    <w:p>
      <w:r>
        <w:t>A larger qualification can be defined as a set of requirements involving credits, required competencies, capstone work, prerequisites, and assessment policies.</w:t>
      </w:r>
    </w:p>
    <w:p>
      <w:r>
        <w:t>A degree engine should evaluate whether the learner's verified records satisfy those requirements.</w:t>
      </w:r>
    </w:p>
    <w:p>
      <w:r>
        <w:t>However, a cryptographically valid degree is not automatically a legally recognized or accredited qualification. Recognition depends on the issuing institution, applicable law, accreditation, and any relevant equivalency arrangements.</w:t>
      </w:r>
    </w:p>
    <w:p>
      <w:r>
        <w:t>Vidyarthi should therefore distinguish community-issued learning credentials, institution-issued academic credentials, and legally recognized degrees in its user interface and credential metadata.</w:t>
      </w:r>
    </w:p>
    <w:p>
      <w:pPr>
        <w:pStyle w:val="Heading2"/>
      </w:pPr>
      <w:r>
        <w:t>8.4 Why blockchain is deferred</w:t>
      </w:r>
    </w:p>
    <w:p>
      <w:r>
        <w:t>A signed credential can be verified without a blockchain.</w:t>
      </w:r>
    </w:p>
    <w:p>
      <w:r>
        <w:t>The initial system can maintain signed records and a hash-linked append-only history, replicated across participating peers.</w:t>
      </w:r>
    </w:p>
    <w:p>
      <w:r>
        <w:t>If independent issuers later need a shared ordering mechanism that cannot be controlled by one operator, a minimal distributed ledger can be considered.</w:t>
      </w:r>
    </w:p>
    <w:p>
      <w:r>
        <w:t>Such a ledger must define membership, consensus, issuer authorization, conflicting histories, recovery, and revocation. Hash chaining alone does not prevent a malicious operator from presenting a different history.</w:t>
      </w:r>
    </w:p>
    <w:p>
      <w:r>
        <w:t>The project should not introduce a token or cryptocurrency unless a specific, defensible requirement emerges. Academic credits should not be conflated with tradable financial assets.</w:t>
      </w:r>
    </w:p>
    <w:p>
      <w:pPr>
        <w:pStyle w:val="Heading1"/>
      </w:pPr>
      <w:r>
        <w:t>9. Frontend, Backend, and Local Deployment</w:t>
      </w:r>
    </w:p>
    <w:p>
      <w:pPr>
        <w:pStyle w:val="Heading2"/>
      </w:pPr>
      <w:r>
        <w:t>9.1 Single-file learning client</w:t>
      </w:r>
    </w:p>
    <w:p>
      <w:r>
        <w:t>The learner interface is built using semantic HTML5, vanilla JavaScript, and CSS.</w:t>
      </w:r>
    </w:p>
    <w:p>
      <w:r>
        <w:t>The initial distribution target is a single HTML file containing the core interface and necessary frontend logic. This reduces runtime dependencies and simplifies portability.</w:t>
      </w:r>
    </w:p>
    <w:p>
      <w:r>
        <w:t>WebAssembly modules and large assets may be distributed separately when embedding them would make the application unnecessarily large.</w:t>
      </w:r>
    </w:p>
    <w:p>
      <w:r>
        <w:t>A single HTML file is not inherently a complete offline application. Service workers, installation behavior, storage permissions, and offline caching may require additional files or browser-specific setup. The implementation must define these constraints explicitly.</w:t>
      </w:r>
    </w:p>
    <w:p>
      <w:pPr>
        <w:pStyle w:val="Heading2"/>
      </w:pPr>
      <w:r>
        <w:t>9.2 PocketBase</w:t>
      </w:r>
    </w:p>
    <w:p>
      <w:r>
        <w:t>PocketBase provides lightweight application coordination, including:</w:t>
      </w:r>
    </w:p>
    <w:p>
      <w:pPr>
        <w:pStyle w:val="ListBullet"/>
      </w:pPr>
      <w:r>
        <w:t>User accounts and profiles.</w:t>
      </w:r>
    </w:p>
    <w:p>
      <w:pPr>
        <w:pStyle w:val="ListBullet"/>
      </w:pPr>
      <w:r>
        <w:t>Invitations and course discovery metadata.</w:t>
      </w:r>
    </w:p>
    <w:p>
      <w:pPr>
        <w:pStyle w:val="ListBullet"/>
      </w:pPr>
      <w:r>
        <w:t>Optional progress synchronization.</w:t>
      </w:r>
    </w:p>
    <w:p>
      <w:pPr>
        <w:pStyle w:val="ListBullet"/>
      </w:pPr>
      <w:r>
        <w:t>Notifications and coordination events.</w:t>
      </w:r>
    </w:p>
    <w:p>
      <w:pPr>
        <w:pStyle w:val="ListBullet"/>
      </w:pPr>
      <w:r>
        <w:t>Caches of information replicated from peers.</w:t>
      </w:r>
    </w:p>
    <w:p>
      <w:r>
        <w:t>PocketBase is not the canonical authority for every academic record. Course history remains in Fossil repositories, while credentials and assessment results are independently verifiable signed artifacts.</w:t>
      </w:r>
    </w:p>
    <w:p>
      <w:r>
        <w:t>The application should remain useful if the coordination service is unavailable.</w:t>
      </w:r>
    </w:p>
    <w:p>
      <w:pPr>
        <w:pStyle w:val="Heading2"/>
      </w:pPr>
      <w:r>
        <w:t>9.3 Deployment profiles</w:t>
      </w:r>
    </w:p>
    <w:p>
      <w:r>
        <w:t>Three deployment profiles are proposed.</w:t>
      </w:r>
    </w:p>
    <w:p>
      <w:r>
        <w:rPr>
          <w:b/>
        </w:rPr>
        <w:t>Profile A — Personal learning node</w:t>
      </w:r>
    </w:p>
    <w:p>
      <w:r>
        <w:t>A browser, local course repositories, local storage, and optional local AI. This profile emphasizes offline study and personal learning.</w:t>
      </w:r>
    </w:p>
    <w:p>
      <w:r>
        <w:rPr>
          <w:b/>
        </w:rPr>
        <w:t>Profile B — Community learning node</w:t>
      </w:r>
    </w:p>
    <w:p>
      <w:r>
        <w:t>Adds PocketBase, peer synchronization, discussions, project collaboration, and assessment jobs.</w:t>
      </w:r>
    </w:p>
    <w:p>
      <w:r>
        <w:rPr>
          <w:b/>
        </w:rPr>
        <w:t>Profile C — Institutional node</w:t>
      </w:r>
    </w:p>
    <w:p>
      <w:r>
        <w:t>Adds authorized assessment services, formal issuer keys, credential policy management, governance procedures, and optional replicated ledger infrastructure.</w:t>
      </w:r>
    </w:p>
    <w:p>
      <w:r>
        <w:t>All profiles should share common course formats and credential verification rules.</w:t>
      </w:r>
    </w:p>
    <w:p>
      <w:pPr>
        <w:pStyle w:val="Heading1"/>
      </w:pPr>
      <w:r>
        <w:t>10. Security and Threat Model</w:t>
      </w:r>
    </w:p>
    <w:p>
      <w:r>
        <w:t>Vidyarthi must assume that course content, AI outputs, peer messages, and student submissions may be malicious or incorrect.</w:t>
      </w:r>
    </w:p>
    <w:p>
      <w:pPr>
        <w:pStyle w:val="Heading2"/>
      </w:pPr>
      <w:r>
        <w:t>10.1 Principal threats</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D9E6F2"/>
          </w:tcPr>
          <w:p>
            <w:pPr>
              <w:spacing w:after="40"/>
            </w:pPr>
            <w:r/>
            <w:r>
              <w:rPr>
                <w:b/>
                <w:sz w:val="17"/>
              </w:rPr>
              <w:t>Threat</w:t>
            </w:r>
          </w:p>
        </w:tc>
        <w:tc>
          <w:tcPr>
            <w:tcW w:type="dxa" w:w="4939"/>
            <w:vAlign w:val="center"/>
            <w:shd w:fill="D9E6F2"/>
          </w:tcPr>
          <w:p>
            <w:pPr>
              <w:spacing w:after="40"/>
            </w:pPr>
            <w:r/>
            <w:r>
              <w:rPr>
                <w:b/>
                <w:sz w:val="17"/>
              </w:rPr>
              <w:t>Mitigation</w:t>
            </w:r>
          </w:p>
        </w:tc>
      </w:tr>
      <w:tr>
        <w:tc>
          <w:tcPr>
            <w:tcW w:type="dxa" w:w="4939"/>
            <w:vAlign w:val="center"/>
          </w:tcPr>
          <w:p>
            <w:pPr>
              <w:spacing w:after="40"/>
            </w:pPr>
            <w:r/>
            <w:r>
              <w:rPr>
                <w:b w:val="0"/>
                <w:sz w:val="17"/>
              </w:rPr>
              <w:t>Malicious student code</w:t>
            </w:r>
          </w:p>
        </w:tc>
        <w:tc>
          <w:tcPr>
            <w:tcW w:type="dxa" w:w="4939"/>
            <w:vAlign w:val="center"/>
          </w:tcPr>
          <w:p>
            <w:pPr>
              <w:spacing w:after="40"/>
            </w:pPr>
            <w:r/>
            <w:r>
              <w:rPr>
                <w:b w:val="0"/>
                <w:sz w:val="17"/>
              </w:rPr>
              <w:t>Restricted execution, resource limits, network denial by default</w:t>
            </w:r>
          </w:p>
        </w:tc>
      </w:tr>
      <w:tr>
        <w:tc>
          <w:tcPr>
            <w:tcW w:type="dxa" w:w="4939"/>
            <w:vAlign w:val="center"/>
          </w:tcPr>
          <w:p>
            <w:pPr>
              <w:spacing w:after="40"/>
            </w:pPr>
            <w:r/>
            <w:r>
              <w:rPr>
                <w:b w:val="0"/>
                <w:sz w:val="17"/>
              </w:rPr>
              <w:t>Compromised AI key</w:t>
            </w:r>
          </w:p>
        </w:tc>
        <w:tc>
          <w:tcPr>
            <w:tcW w:type="dxa" w:w="4939"/>
            <w:vAlign w:val="center"/>
          </w:tcPr>
          <w:p>
            <w:pPr>
              <w:spacing w:after="40"/>
            </w:pPr>
            <w:r/>
            <w:r>
              <w:rPr>
                <w:b w:val="0"/>
                <w:sz w:val="17"/>
              </w:rPr>
              <w:t>Minimal persistence, secret redaction, key rotation and revocation</w:t>
            </w:r>
          </w:p>
        </w:tc>
      </w:tr>
      <w:tr>
        <w:tc>
          <w:tcPr>
            <w:tcW w:type="dxa" w:w="4939"/>
            <w:vAlign w:val="center"/>
          </w:tcPr>
          <w:p>
            <w:pPr>
              <w:spacing w:after="40"/>
            </w:pPr>
            <w:r/>
            <w:r>
              <w:rPr>
                <w:b w:val="0"/>
                <w:sz w:val="17"/>
              </w:rPr>
              <w:t>Fabricated AI references</w:t>
            </w:r>
          </w:p>
        </w:tc>
        <w:tc>
          <w:tcPr>
            <w:tcW w:type="dxa" w:w="4939"/>
            <w:vAlign w:val="center"/>
          </w:tcPr>
          <w:p>
            <w:pPr>
              <w:spacing w:after="40"/>
            </w:pPr>
            <w:r/>
            <w:r>
              <w:rPr>
                <w:b w:val="0"/>
                <w:sz w:val="17"/>
              </w:rPr>
              <w:t>Citation checks, source inspection, human review</w:t>
            </w:r>
          </w:p>
        </w:tc>
      </w:tr>
      <w:tr>
        <w:tc>
          <w:tcPr>
            <w:tcW w:type="dxa" w:w="4939"/>
            <w:vAlign w:val="center"/>
          </w:tcPr>
          <w:p>
            <w:pPr>
              <w:spacing w:after="40"/>
            </w:pPr>
            <w:r/>
            <w:r>
              <w:rPr>
                <w:b w:val="0"/>
                <w:sz w:val="17"/>
              </w:rPr>
              <w:t>Credential forgery</w:t>
            </w:r>
          </w:p>
        </w:tc>
        <w:tc>
          <w:tcPr>
            <w:tcW w:type="dxa" w:w="4939"/>
            <w:vAlign w:val="center"/>
          </w:tcPr>
          <w:p>
            <w:pPr>
              <w:spacing w:after="40"/>
            </w:pPr>
            <w:r/>
            <w:r>
              <w:rPr>
                <w:b w:val="0"/>
                <w:sz w:val="17"/>
              </w:rPr>
              <w:t>Digital signatures and issuer authorization checks</w:t>
            </w:r>
          </w:p>
        </w:tc>
      </w:tr>
      <w:tr>
        <w:tc>
          <w:tcPr>
            <w:tcW w:type="dxa" w:w="4939"/>
            <w:vAlign w:val="center"/>
          </w:tcPr>
          <w:p>
            <w:pPr>
              <w:spacing w:after="40"/>
            </w:pPr>
            <w:r/>
            <w:r>
              <w:rPr>
                <w:b w:val="0"/>
                <w:sz w:val="17"/>
              </w:rPr>
              <w:t>Issuer key compromise</w:t>
            </w:r>
          </w:p>
        </w:tc>
        <w:tc>
          <w:tcPr>
            <w:tcW w:type="dxa" w:w="4939"/>
            <w:vAlign w:val="center"/>
          </w:tcPr>
          <w:p>
            <w:pPr>
              <w:spacing w:after="40"/>
            </w:pPr>
            <w:r/>
            <w:r>
              <w:rPr>
                <w:b w:val="0"/>
                <w:sz w:val="17"/>
              </w:rPr>
              <w:t>Key rotation, revocation records, auditable recovery procedures</w:t>
            </w:r>
          </w:p>
        </w:tc>
      </w:tr>
      <w:tr>
        <w:tc>
          <w:tcPr>
            <w:tcW w:type="dxa" w:w="4939"/>
            <w:vAlign w:val="center"/>
          </w:tcPr>
          <w:p>
            <w:pPr>
              <w:spacing w:after="40"/>
            </w:pPr>
            <w:r/>
            <w:r>
              <w:rPr>
                <w:b w:val="0"/>
                <w:sz w:val="17"/>
              </w:rPr>
              <w:t>Assessment manipulation</w:t>
            </w:r>
          </w:p>
        </w:tc>
        <w:tc>
          <w:tcPr>
            <w:tcW w:type="dxa" w:w="4939"/>
            <w:vAlign w:val="center"/>
          </w:tcPr>
          <w:p>
            <w:pPr>
              <w:spacing w:after="40"/>
            </w:pPr>
            <w:r/>
            <w:r>
              <w:rPr>
                <w:b w:val="0"/>
                <w:sz w:val="17"/>
              </w:rPr>
              <w:t>Versioned rubrics, signed results, independent verification</w:t>
            </w:r>
          </w:p>
        </w:tc>
      </w:tr>
      <w:tr>
        <w:tc>
          <w:tcPr>
            <w:tcW w:type="dxa" w:w="4939"/>
            <w:vAlign w:val="center"/>
          </w:tcPr>
          <w:p>
            <w:pPr>
              <w:spacing w:after="40"/>
            </w:pPr>
            <w:r/>
            <w:r>
              <w:rPr>
                <w:b w:val="0"/>
                <w:sz w:val="17"/>
              </w:rPr>
              <w:t>Peer spam and collusion</w:t>
            </w:r>
          </w:p>
        </w:tc>
        <w:tc>
          <w:tcPr>
            <w:tcW w:type="dxa" w:w="4939"/>
            <w:vAlign w:val="center"/>
          </w:tcPr>
          <w:p>
            <w:pPr>
              <w:spacing w:after="40"/>
            </w:pPr>
            <w:r/>
            <w:r>
              <w:rPr>
                <w:b w:val="0"/>
                <w:sz w:val="17"/>
              </w:rPr>
              <w:t>Rate limits, moderation, review independence and abuse reporting</w:t>
            </w:r>
          </w:p>
        </w:tc>
      </w:tr>
      <w:tr>
        <w:tc>
          <w:tcPr>
            <w:tcW w:type="dxa" w:w="4939"/>
            <w:vAlign w:val="center"/>
          </w:tcPr>
          <w:p>
            <w:pPr>
              <w:spacing w:after="40"/>
            </w:pPr>
            <w:r/>
            <w:r>
              <w:rPr>
                <w:b w:val="0"/>
                <w:sz w:val="17"/>
              </w:rPr>
              <w:t>Malicious course update</w:t>
            </w:r>
          </w:p>
        </w:tc>
        <w:tc>
          <w:tcPr>
            <w:tcW w:type="dxa" w:w="4939"/>
            <w:vAlign w:val="center"/>
          </w:tcPr>
          <w:p>
            <w:pPr>
              <w:spacing w:after="40"/>
            </w:pPr>
            <w:r/>
            <w:r>
              <w:rPr>
                <w:b w:val="0"/>
                <w:sz w:val="17"/>
              </w:rPr>
              <w:t>Revision pinning, hashes, provenance and maintainer review</w:t>
            </w:r>
          </w:p>
        </w:tc>
      </w:tr>
      <w:tr>
        <w:tc>
          <w:tcPr>
            <w:tcW w:type="dxa" w:w="4939"/>
            <w:vAlign w:val="center"/>
          </w:tcPr>
          <w:p>
            <w:pPr>
              <w:spacing w:after="40"/>
            </w:pPr>
            <w:r/>
            <w:r>
              <w:rPr>
                <w:b w:val="0"/>
                <w:sz w:val="17"/>
              </w:rPr>
              <w:t>Central service outage</w:t>
            </w:r>
          </w:p>
        </w:tc>
        <w:tc>
          <w:tcPr>
            <w:tcW w:type="dxa" w:w="4939"/>
            <w:vAlign w:val="center"/>
          </w:tcPr>
          <w:p>
            <w:pPr>
              <w:spacing w:after="40"/>
            </w:pPr>
            <w:r/>
            <w:r>
              <w:rPr>
                <w:b w:val="0"/>
                <w:sz w:val="17"/>
              </w:rPr>
              <w:t>Local caches, repository replication and offline queues</w:t>
            </w:r>
          </w:p>
        </w:tc>
      </w:tr>
      <w:tr>
        <w:tc>
          <w:tcPr>
            <w:tcW w:type="dxa" w:w="4939"/>
            <w:vAlign w:val="center"/>
          </w:tcPr>
          <w:p>
            <w:pPr>
              <w:spacing w:after="40"/>
            </w:pPr>
            <w:r/>
            <w:r>
              <w:rPr>
                <w:b w:val="0"/>
                <w:sz w:val="17"/>
              </w:rPr>
              <w:t>Privacy leakage</w:t>
            </w:r>
          </w:p>
        </w:tc>
        <w:tc>
          <w:tcPr>
            <w:tcW w:type="dxa" w:w="4939"/>
            <w:vAlign w:val="center"/>
          </w:tcPr>
          <w:p>
            <w:pPr>
              <w:spacing w:after="40"/>
            </w:pPr>
            <w:r/>
            <w:r>
              <w:rPr>
                <w:b w:val="0"/>
                <w:sz w:val="17"/>
              </w:rPr>
              <w:t>Data minimization, access controls and explicit synchronization policies</w:t>
            </w:r>
          </w:p>
        </w:tc>
      </w:tr>
    </w:tbl>
    <w:p/>
    <w:p>
      <w:pPr>
        <w:pStyle w:val="Heading2"/>
      </w:pPr>
      <w:r>
        <w:t>10.2 Trust boundaries</w:t>
      </w:r>
    </w:p>
    <w:p>
      <w:r>
        <w:t>Four boundaries are particularly important.</w:t>
      </w:r>
    </w:p>
    <w:p>
      <w:r>
        <w:rPr>
          <w:b/>
        </w:rPr>
        <w:t>AI boundary:</w:t>
      </w:r>
      <w:r>
        <w:t xml:space="preserve"> generated text is untrusted until reviewed or validated for its intended purpose.</w:t>
      </w:r>
    </w:p>
    <w:p>
      <w:r>
        <w:rPr>
          <w:b/>
        </w:rPr>
        <w:t>Execution boundary:</w:t>
      </w:r>
      <w:r>
        <w:t xml:space="preserve"> student code must not receive unrestricted access to the host machine or credentials.</w:t>
      </w:r>
    </w:p>
    <w:p>
      <w:r>
        <w:rPr>
          <w:b/>
        </w:rPr>
        <w:t>Identity boundary:</w:t>
      </w:r>
      <w:r>
        <w:t xml:space="preserve"> a valid signature proves control of a signing key, not necessarily a person's real-world identity or academic authority.</w:t>
      </w:r>
    </w:p>
    <w:p>
      <w:r>
        <w:rPr>
          <w:b/>
        </w:rPr>
        <w:t>Academic boundary:</w:t>
      </w:r>
      <w:r>
        <w:t xml:space="preserve"> a passed automated test does not independently establish authorship, competence in every relevant context, or entitlement to a formal degree.</w:t>
      </w:r>
    </w:p>
    <w:p>
      <w:pPr>
        <w:pStyle w:val="Heading2"/>
      </w:pPr>
      <w:r>
        <w:t>10.3 Privacy</w:t>
      </w:r>
    </w:p>
    <w:p>
      <w:r>
        <w:t>Learners should control what progress data, assessment evidence, and discussion history are shared.</w:t>
      </w:r>
    </w:p>
    <w:p>
      <w:r>
        <w:t>Private learning notes and local AI conversations should not be published automatically. Sensitive assessment material and confidential research submissions require explicit access controls.</w:t>
      </w:r>
    </w:p>
    <w:p>
      <w:r>
        <w:t>Peer replication should respect licenses, confidentiality, retention requirements, and any applicable data-protection obligations.</w:t>
      </w:r>
    </w:p>
    <w:p>
      <w:pPr>
        <w:pStyle w:val="Heading1"/>
      </w:pPr>
      <w:r>
        <w:t>11. Governance and Sustainability</w:t>
      </w:r>
    </w:p>
    <w:p>
      <w:pPr>
        <w:pStyle w:val="Heading2"/>
      </w:pPr>
      <w:r>
        <w:t>11.1 Governance roles</w:t>
      </w:r>
    </w:p>
    <w:p>
      <w:r>
        <w:t>The platform distinguishes the following roles:</w:t>
      </w:r>
    </w:p>
    <w:p>
      <w:pPr>
        <w:pStyle w:val="ListBullet"/>
      </w:pPr>
      <w:r>
        <w:rPr>
          <w:b/>
        </w:rPr>
        <w:t>Learners:</w:t>
      </w:r>
      <w:r>
        <w:t xml:space="preserve"> study, submit work, participate in discussions, and control personal data.</w:t>
      </w:r>
    </w:p>
    <w:p>
      <w:pPr>
        <w:pStyle w:val="ListBullet"/>
      </w:pPr>
      <w:r>
        <w:rPr>
          <w:b/>
        </w:rPr>
        <w:t>Course authors:</w:t>
      </w:r>
      <w:r>
        <w:t xml:space="preserve"> create and maintain course packages.</w:t>
      </w:r>
    </w:p>
    <w:p>
      <w:pPr>
        <w:pStyle w:val="ListBullet"/>
      </w:pPr>
      <w:r>
        <w:rPr>
          <w:b/>
        </w:rPr>
        <w:t>Course reviewers:</w:t>
      </w:r>
      <w:r>
        <w:t xml:space="preserve"> review academic quality and assessment design.</w:t>
      </w:r>
    </w:p>
    <w:p>
      <w:pPr>
        <w:pStyle w:val="ListBullet"/>
      </w:pPr>
      <w:r>
        <w:rPr>
          <w:b/>
        </w:rPr>
        <w:t>Assessment operators:</w:t>
      </w:r>
      <w:r>
        <w:t xml:space="preserve"> operate execution infrastructure and sign authorized results.</w:t>
      </w:r>
    </w:p>
    <w:p>
      <w:pPr>
        <w:pStyle w:val="ListBullet"/>
      </w:pPr>
      <w:r>
        <w:rPr>
          <w:b/>
        </w:rPr>
        <w:t>Credential issuers:</w:t>
      </w:r>
      <w:r>
        <w:t xml:space="preserve"> award credentials under published academic rules.</w:t>
      </w:r>
    </w:p>
    <w:p>
      <w:pPr>
        <w:pStyle w:val="ListBullet"/>
      </w:pPr>
      <w:r>
        <w:rPr>
          <w:b/>
        </w:rPr>
        <w:t>Network maintainers:</w:t>
      </w:r>
      <w:r>
        <w:t xml:space="preserve"> maintain software, protocols, and interoperability.</w:t>
      </w:r>
    </w:p>
    <w:p>
      <w:pPr>
        <w:pStyle w:val="ListBullet"/>
      </w:pPr>
      <w:r>
        <w:rPr>
          <w:b/>
        </w:rPr>
        <w:t>Community moderators:</w:t>
      </w:r>
      <w:r>
        <w:t xml:space="preserve"> enforce discussion and collaboration policies.</w:t>
      </w:r>
    </w:p>
    <w:p>
      <w:r>
        <w:t>One participant may occupy several roles, but permissions should remain explicitly scoped.</w:t>
      </w:r>
    </w:p>
    <w:p>
      <w:pPr>
        <w:pStyle w:val="Heading2"/>
      </w:pPr>
      <w:r>
        <w:t>11.2 Open standards and interoperability</w:t>
      </w:r>
    </w:p>
    <w:p>
      <w:r>
        <w:t>The project should publish specifications for:</w:t>
      </w:r>
    </w:p>
    <w:p>
      <w:pPr>
        <w:pStyle w:val="ListBullet"/>
      </w:pPr>
      <w:r>
        <w:t>Course manifests and repository conventions.</w:t>
      </w:r>
    </w:p>
    <w:p>
      <w:pPr>
        <w:pStyle w:val="ListBullet"/>
      </w:pPr>
      <w:r>
        <w:t>Assessment job and result formats.</w:t>
      </w:r>
    </w:p>
    <w:p>
      <w:pPr>
        <w:pStyle w:val="ListBullet"/>
      </w:pPr>
      <w:r>
        <w:t>AI provider adapters.</w:t>
      </w:r>
    </w:p>
    <w:p>
      <w:pPr>
        <w:pStyle w:val="ListBullet"/>
      </w:pPr>
      <w:r>
        <w:t>Credential structures and signature verification.</w:t>
      </w:r>
    </w:p>
    <w:p>
      <w:pPr>
        <w:pStyle w:val="ListBullet"/>
      </w:pPr>
      <w:r>
        <w:t>Peer message and synchronization formats.</w:t>
      </w:r>
    </w:p>
    <w:p>
      <w:pPr>
        <w:pStyle w:val="ListBullet"/>
      </w:pPr>
      <w:r>
        <w:t>Competency and credit mappings.</w:t>
      </w:r>
    </w:p>
    <w:p>
      <w:pPr>
        <w:pStyle w:val="ListBullet"/>
      </w:pPr>
      <w:r>
        <w:t>Revocation and correction records.</w:t>
      </w:r>
    </w:p>
    <w:p>
      <w:r>
        <w:t>Formats should be versioned, documented, and supported by conformance tests.</w:t>
      </w:r>
    </w:p>
    <w:p>
      <w:r>
        <w:t>Where practical, the project should reuse established standards rather than create new formats without a clear need.</w:t>
      </w:r>
    </w:p>
    <w:p>
      <w:pPr>
        <w:pStyle w:val="Heading2"/>
      </w:pPr>
      <w:r>
        <w:t>11.3 Sustainability</w:t>
      </w:r>
    </w:p>
    <w:p>
      <w:r>
        <w:t>The core platform should not depend on a single commercial AI provider or a mandatory recurring subscription.</w:t>
      </w:r>
    </w:p>
    <w:p>
      <w:r>
        <w:t>Possible operational models include institutional nodes, community-operated infrastructure, voluntary contributions, grants, and paid services for hosting or specialized assessment.</w:t>
      </w:r>
    </w:p>
    <w:p>
      <w:r>
        <w:t>BYOK transfers some inference costs to the user or institution selecting the provider. Local inference can reduce cloud expenditure but still incurs hardware and energy costs.</w:t>
      </w:r>
    </w:p>
    <w:p>
      <w:r>
        <w:t>The project should keep basic course access and credential verification independent of any one paid service.</w:t>
      </w:r>
    </w:p>
    <w:p>
      <w:pPr>
        <w:pStyle w:val="Heading1"/>
      </w:pPr>
      <w:r>
        <w:t>12. Implementation Roadmap</w:t>
      </w:r>
    </w:p>
    <w:p>
      <w:r>
        <w:t>The development process should proceed through verifiable milestones rather than attempting to deliver the complete decentralized university in one release.</w:t>
      </w:r>
    </w:p>
    <w:p>
      <w:pPr>
        <w:pStyle w:val="Heading2"/>
      </w:pPr>
      <w:r>
        <w:t>Phase I — Local learning prototype</w:t>
      </w:r>
    </w:p>
    <w:p>
      <w:r>
        <w:rPr>
          <w:b/>
        </w:rPr>
        <w:t>Objective:</w:t>
      </w:r>
      <w:r>
        <w:t xml:space="preserve"> establish the core learning loop.</w:t>
      </w:r>
    </w:p>
    <w:p>
      <w:r>
        <w:t>Deliverables:</w:t>
      </w:r>
    </w:p>
    <w:p>
      <w:pPr>
        <w:pStyle w:val="ListBullet"/>
      </w:pPr>
      <w:r>
        <w:t>Single-file HTML5 learning interface.</w:t>
      </w:r>
    </w:p>
    <w:p>
      <w:pPr>
        <w:pStyle w:val="ListBullet"/>
      </w:pPr>
      <w:r>
        <w:t>Fossil-based course package.</w:t>
      </w:r>
    </w:p>
    <w:p>
      <w:pPr>
        <w:pStyle w:val="ListBullet"/>
      </w:pPr>
      <w:r>
        <w:t>Markdown lesson rendering.</w:t>
      </w:r>
    </w:p>
    <w:p>
      <w:pPr>
        <w:pStyle w:val="ListBullet"/>
      </w:pPr>
      <w:r>
        <w:t>JSON quiz engine.</w:t>
      </w:r>
    </w:p>
    <w:p>
      <w:pPr>
        <w:pStyle w:val="ListBullet"/>
      </w:pPr>
      <w:r>
        <w:t>Local progress tracking and basic XP.</w:t>
      </w:r>
    </w:p>
    <w:p>
      <w:pPr>
        <w:pStyle w:val="ListBullet"/>
      </w:pPr>
      <w:r>
        <w:t>Offline use of downloaded course materials.</w:t>
      </w:r>
    </w:p>
    <w:p>
      <w:r>
        <w:rPr>
          <w:b/>
        </w:rPr>
        <w:t>Exit criterion:</w:t>
      </w:r>
      <w:r>
        <w:t xml:space="preserve"> a learner can open a course, complete a lesson and quiz, and retain progress without relying on a remote application server.</w:t>
      </w:r>
    </w:p>
    <w:p>
      <w:pPr>
        <w:pStyle w:val="Heading2"/>
      </w:pPr>
      <w:r>
        <w:t>Phase II — AI-assisted course factory</w:t>
      </w:r>
    </w:p>
    <w:p>
      <w:r>
        <w:rPr>
          <w:b/>
        </w:rPr>
        <w:t>Objective:</w:t>
      </w:r>
      <w:r>
        <w:t xml:space="preserve"> generate and validate reusable academic artifacts.</w:t>
      </w:r>
    </w:p>
    <w:p>
      <w:r>
        <w:t>Deliverables:</w:t>
      </w:r>
    </w:p>
    <w:p>
      <w:pPr>
        <w:pStyle w:val="ListBullet"/>
      </w:pPr>
      <w:r>
        <w:t>BYOK provider configuration.</w:t>
      </w:r>
    </w:p>
    <w:p>
      <w:pPr>
        <w:pStyle w:val="ListBullet"/>
      </w:pPr>
      <w:r>
        <w:t>Course syllabus and lesson generation.</w:t>
      </w:r>
    </w:p>
    <w:p>
      <w:pPr>
        <w:pStyle w:val="ListBullet"/>
      </w:pPr>
      <w:r>
        <w:t>Marp slide generation.</w:t>
      </w:r>
    </w:p>
    <w:p>
      <w:pPr>
        <w:pStyle w:val="ListBullet"/>
      </w:pPr>
      <w:r>
        <w:t>Quiz and exercise generation.</w:t>
      </w:r>
    </w:p>
    <w:p>
      <w:pPr>
        <w:pStyle w:val="ListBullet"/>
      </w:pPr>
      <w:r>
        <w:t>Course schema validation.</w:t>
      </w:r>
    </w:p>
    <w:p>
      <w:pPr>
        <w:pStyle w:val="ListBullet"/>
      </w:pPr>
      <w:r>
        <w:t>Draft, review, and publication workflow.</w:t>
      </w:r>
    </w:p>
    <w:p>
      <w:r>
        <w:rPr>
          <w:b/>
        </w:rPr>
        <w:t>Exit criterion:</w:t>
      </w:r>
      <w:r>
        <w:t xml:space="preserve"> a course can be generated as a versioned package, validated, reviewed, and published with its provenance preserved.</w:t>
      </w:r>
    </w:p>
    <w:p>
      <w:pPr>
        <w:pStyle w:val="Heading2"/>
      </w:pPr>
      <w:r>
        <w:t>Phase III — Pipelight assessment</w:t>
      </w:r>
    </w:p>
    <w:p>
      <w:r>
        <w:rPr>
          <w:b/>
        </w:rPr>
        <w:t>Objective:</w:t>
      </w:r>
      <w:r>
        <w:t xml:space="preserve"> automate reproducible evaluation.</w:t>
      </w:r>
    </w:p>
    <w:p>
      <w:r>
        <w:t>Deliverables:</w:t>
      </w:r>
    </w:p>
    <w:p>
      <w:pPr>
        <w:pStyle w:val="ListBullet"/>
      </w:pPr>
      <w:r>
        <w:t>Pipeline definitions and job adapters.</w:t>
      </w:r>
    </w:p>
    <w:p>
      <w:pPr>
        <w:pStyle w:val="ListBullet"/>
      </w:pPr>
      <w:r>
        <w:t>Rust-based orchestration.</w:t>
      </w:r>
    </w:p>
    <w:p>
      <w:pPr>
        <w:pStyle w:val="ListBullet"/>
      </w:pPr>
      <w:r>
        <w:t>Restricted WASM execution.</w:t>
      </w:r>
    </w:p>
    <w:p>
      <w:pPr>
        <w:pStyle w:val="ListBullet"/>
      </w:pPr>
      <w:r>
        <w:t>Deterministic test fixtures.</w:t>
      </w:r>
    </w:p>
    <w:p>
      <w:pPr>
        <w:pStyle w:val="ListBullet"/>
      </w:pPr>
      <w:r>
        <w:t>Machine-readable assessment reports.</w:t>
      </w:r>
    </w:p>
    <w:p>
      <w:pPr>
        <w:pStyle w:val="ListBullet"/>
      </w:pPr>
      <w:r>
        <w:t>Result signing and verification.</w:t>
      </w:r>
    </w:p>
    <w:p>
      <w:r>
        <w:rPr>
          <w:b/>
        </w:rPr>
        <w:t>Exit criterion:</w:t>
      </w:r>
      <w:r>
        <w:t xml:space="preserve"> a supported submission can be evaluated against a fixed course revision, and its result can be independently verified.</w:t>
      </w:r>
    </w:p>
    <w:p>
      <w:pPr>
        <w:pStyle w:val="Heading2"/>
      </w:pPr>
      <w:r>
        <w:t>Phase IV — Peer collaboration</w:t>
      </w:r>
    </w:p>
    <w:p>
      <w:r>
        <w:rPr>
          <w:b/>
        </w:rPr>
        <w:t>Objective:</w:t>
      </w:r>
      <w:r>
        <w:t xml:space="preserve"> enable distributed learning and contribution.</w:t>
      </w:r>
    </w:p>
    <w:p>
      <w:r>
        <w:t>Deliverables:</w:t>
      </w:r>
    </w:p>
    <w:p>
      <w:pPr>
        <w:pStyle w:val="ListBullet"/>
      </w:pPr>
      <w:r>
        <w:t>Course repository sharing.</w:t>
      </w:r>
    </w:p>
    <w:p>
      <w:pPr>
        <w:pStyle w:val="ListBullet"/>
      </w:pPr>
      <w:r>
        <w:t>Peer discovery and synchronization.</w:t>
      </w:r>
    </w:p>
    <w:p>
      <w:pPr>
        <w:pStyle w:val="ListBullet"/>
      </w:pPr>
      <w:r>
        <w:t>Signed discussions and review records.</w:t>
      </w:r>
    </w:p>
    <w:p>
      <w:pPr>
        <w:pStyle w:val="ListBullet"/>
      </w:pPr>
      <w:r>
        <w:t>Collaborative project workflows.</w:t>
      </w:r>
    </w:p>
    <w:p>
      <w:pPr>
        <w:pStyle w:val="ListBullet"/>
      </w:pPr>
      <w:r>
        <w:t>Local full-text search.</w:t>
      </w:r>
    </w:p>
    <w:p>
      <w:pPr>
        <w:pStyle w:val="ListBullet"/>
      </w:pPr>
      <w:r>
        <w:t>Conflict handling and moderation.</w:t>
      </w:r>
    </w:p>
    <w:p>
      <w:r>
        <w:rPr>
          <w:b/>
        </w:rPr>
        <w:t>Exit criterion:</w:t>
      </w:r>
      <w:r>
        <w:t xml:space="preserve"> two independently operated nodes can exchange course updates and selected learning artifacts without requiring a central service to store every copy.</w:t>
      </w:r>
    </w:p>
    <w:p>
      <w:pPr>
        <w:pStyle w:val="Heading2"/>
      </w:pPr>
      <w:r>
        <w:t>Phase V — Portable credentials</w:t>
      </w:r>
    </w:p>
    <w:p>
      <w:r>
        <w:rPr>
          <w:b/>
        </w:rPr>
        <w:t>Objective:</w:t>
      </w:r>
      <w:r>
        <w:t xml:space="preserve"> provide independently verifiable achievement records.</w:t>
      </w:r>
    </w:p>
    <w:p>
      <w:r>
        <w:t>Deliverables:</w:t>
      </w:r>
    </w:p>
    <w:p>
      <w:pPr>
        <w:pStyle w:val="ListBullet"/>
      </w:pPr>
      <w:r>
        <w:t>Learner and issuer identities.</w:t>
      </w:r>
    </w:p>
    <w:p>
      <w:pPr>
        <w:pStyle w:val="ListBullet"/>
      </w:pPr>
      <w:r>
        <w:t>Signed competency records.</w:t>
      </w:r>
    </w:p>
    <w:p>
      <w:pPr>
        <w:pStyle w:val="ListBullet"/>
      </w:pPr>
      <w:r>
        <w:t>Credit-policy definitions.</w:t>
      </w:r>
    </w:p>
    <w:p>
      <w:pPr>
        <w:pStyle w:val="ListBullet"/>
      </w:pPr>
      <w:r>
        <w:t>Credential issuance and verification.</w:t>
      </w:r>
    </w:p>
    <w:p>
      <w:pPr>
        <w:pStyle w:val="ListBullet"/>
      </w:pPr>
      <w:r>
        <w:t>Revocation and correction procedures.</w:t>
      </w:r>
    </w:p>
    <w:p>
      <w:pPr>
        <w:pStyle w:val="ListBullet"/>
      </w:pPr>
      <w:r>
        <w:t>Export and interoperability tests.</w:t>
      </w:r>
    </w:p>
    <w:p>
      <w:r>
        <w:rPr>
          <w:b/>
        </w:rPr>
        <w:t>Exit criterion:</w:t>
      </w:r>
      <w:r>
        <w:t xml:space="preserve"> an independent verifier can validate a credential and determine whether the issuer is authorized under the published trust policy.</w:t>
      </w:r>
    </w:p>
    <w:p>
      <w:pPr>
        <w:pStyle w:val="Heading2"/>
      </w:pPr>
      <w:r>
        <w:t>Phase VI — Distributed academic governance</w:t>
      </w:r>
    </w:p>
    <w:p>
      <w:r>
        <w:rPr>
          <w:b/>
        </w:rPr>
        <w:t>Objective:</w:t>
      </w:r>
      <w:r>
        <w:t xml:space="preserve"> support multiple independent issuers and communities.</w:t>
      </w:r>
    </w:p>
    <w:p>
      <w:r>
        <w:t>Deliverables:</w:t>
      </w:r>
    </w:p>
    <w:p>
      <w:pPr>
        <w:pStyle w:val="ListBullet"/>
      </w:pPr>
      <w:r>
        <w:t>Replicated governance and policy records.</w:t>
      </w:r>
    </w:p>
    <w:p>
      <w:pPr>
        <w:pStyle w:val="ListBullet"/>
      </w:pPr>
      <w:r>
        <w:t>Cross-community credential recognition rules.</w:t>
      </w:r>
    </w:p>
    <w:p>
      <w:pPr>
        <w:pStyle w:val="ListBullet"/>
      </w:pPr>
      <w:r>
        <w:t>Issuer trust and revocation procedures.</w:t>
      </w:r>
    </w:p>
    <w:p>
      <w:pPr>
        <w:pStyle w:val="ListBullet"/>
      </w:pPr>
      <w:r>
        <w:t>Evaluation of ledger and consensus requirements.</w:t>
      </w:r>
    </w:p>
    <w:p>
      <w:pPr>
        <w:pStyle w:val="ListBullet"/>
      </w:pPr>
      <w:r>
        <w:t>Optional minimal blockchain implementation, if justified.</w:t>
      </w:r>
    </w:p>
    <w:p>
      <w:r>
        <w:rPr>
          <w:b/>
        </w:rPr>
        <w:t>Exit criterion:</w:t>
      </w:r>
      <w:r>
        <w:t xml:space="preserve"> multiple independent communities can exchange and verify academic records under an explicitly defined governance model.</w:t>
      </w:r>
    </w:p>
    <w:p>
      <w:r>
        <w:t>The phase durations should be determined after technical spikes establish the feasibility and resource requirements of the chosen components.</w:t>
      </w:r>
    </w:p>
    <w:p>
      <w:pPr>
        <w:pStyle w:val="Heading1"/>
      </w:pPr>
      <w:r>
        <w:t>13. Evaluation Metrics</w:t>
      </w:r>
    </w:p>
    <w:p>
      <w:r>
        <w:t>The project should be evaluated against technical, educational, and governance outcomes.</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D9E6F2"/>
          </w:tcPr>
          <w:p>
            <w:pPr>
              <w:spacing w:after="40"/>
            </w:pPr>
            <w:r/>
            <w:r>
              <w:rPr>
                <w:b/>
                <w:sz w:val="17"/>
              </w:rPr>
              <w:t>Dimension</w:t>
            </w:r>
          </w:p>
        </w:tc>
        <w:tc>
          <w:tcPr>
            <w:tcW w:type="dxa" w:w="4939"/>
            <w:vAlign w:val="center"/>
            <w:shd w:fill="D9E6F2"/>
          </w:tcPr>
          <w:p>
            <w:pPr>
              <w:spacing w:after="40"/>
            </w:pPr>
            <w:r/>
            <w:r>
              <w:rPr>
                <w:b/>
                <w:sz w:val="17"/>
              </w:rPr>
              <w:t>Proposed measures</w:t>
            </w:r>
          </w:p>
        </w:tc>
      </w:tr>
      <w:tr>
        <w:tc>
          <w:tcPr>
            <w:tcW w:type="dxa" w:w="4939"/>
            <w:vAlign w:val="center"/>
          </w:tcPr>
          <w:p>
            <w:pPr>
              <w:spacing w:after="40"/>
            </w:pPr>
            <w:r/>
            <w:r>
              <w:rPr>
                <w:b w:val="0"/>
                <w:sz w:val="17"/>
              </w:rPr>
              <w:t>Portability</w:t>
            </w:r>
          </w:p>
        </w:tc>
        <w:tc>
          <w:tcPr>
            <w:tcW w:type="dxa" w:w="4939"/>
            <w:vAlign w:val="center"/>
          </w:tcPr>
          <w:p>
            <w:pPr>
              <w:spacing w:after="40"/>
            </w:pPr>
            <w:r/>
            <w:r>
              <w:rPr>
                <w:b w:val="0"/>
                <w:sz w:val="17"/>
              </w:rPr>
              <w:t>Supported browsers, platforms, and deployment profiles</w:t>
            </w:r>
          </w:p>
        </w:tc>
      </w:tr>
      <w:tr>
        <w:tc>
          <w:tcPr>
            <w:tcW w:type="dxa" w:w="4939"/>
            <w:vAlign w:val="center"/>
          </w:tcPr>
          <w:p>
            <w:pPr>
              <w:spacing w:after="40"/>
            </w:pPr>
            <w:r/>
            <w:r>
              <w:rPr>
                <w:b w:val="0"/>
                <w:sz w:val="17"/>
              </w:rPr>
              <w:t>Offline capability</w:t>
            </w:r>
          </w:p>
        </w:tc>
        <w:tc>
          <w:tcPr>
            <w:tcW w:type="dxa" w:w="4939"/>
            <w:vAlign w:val="center"/>
          </w:tcPr>
          <w:p>
            <w:pPr>
              <w:spacing w:after="40"/>
            </w:pPr>
            <w:r/>
            <w:r>
              <w:rPr>
                <w:b w:val="0"/>
                <w:sz w:val="17"/>
              </w:rPr>
              <w:t>Percentage of core workflows completed without connectivity</w:t>
            </w:r>
          </w:p>
        </w:tc>
      </w:tr>
      <w:tr>
        <w:tc>
          <w:tcPr>
            <w:tcW w:type="dxa" w:w="4939"/>
            <w:vAlign w:val="center"/>
          </w:tcPr>
          <w:p>
            <w:pPr>
              <w:spacing w:after="40"/>
            </w:pPr>
            <w:r/>
            <w:r>
              <w:rPr>
                <w:b w:val="0"/>
                <w:sz w:val="17"/>
              </w:rPr>
              <w:t>Resource efficiency</w:t>
            </w:r>
          </w:p>
        </w:tc>
        <w:tc>
          <w:tcPr>
            <w:tcW w:type="dxa" w:w="4939"/>
            <w:vAlign w:val="center"/>
          </w:tcPr>
          <w:p>
            <w:pPr>
              <w:spacing w:after="40"/>
            </w:pPr>
            <w:r/>
            <w:r>
              <w:rPr>
                <w:b w:val="0"/>
                <w:sz w:val="17"/>
              </w:rPr>
              <w:t>Memory, storage, CPU, and network consumption</w:t>
            </w:r>
          </w:p>
        </w:tc>
      </w:tr>
      <w:tr>
        <w:tc>
          <w:tcPr>
            <w:tcW w:type="dxa" w:w="4939"/>
            <w:vAlign w:val="center"/>
          </w:tcPr>
          <w:p>
            <w:pPr>
              <w:spacing w:after="40"/>
            </w:pPr>
            <w:r/>
            <w:r>
              <w:rPr>
                <w:b w:val="0"/>
                <w:sz w:val="17"/>
              </w:rPr>
              <w:t>Course quality</w:t>
            </w:r>
          </w:p>
        </w:tc>
        <w:tc>
          <w:tcPr>
            <w:tcW w:type="dxa" w:w="4939"/>
            <w:vAlign w:val="center"/>
          </w:tcPr>
          <w:p>
            <w:pPr>
              <w:spacing w:after="40"/>
            </w:pPr>
            <w:r/>
            <w:r>
              <w:rPr>
                <w:b w:val="0"/>
                <w:sz w:val="17"/>
              </w:rPr>
              <w:t>Learning-outcome coverage, review findings, factual error rates</w:t>
            </w:r>
          </w:p>
        </w:tc>
      </w:tr>
      <w:tr>
        <w:tc>
          <w:tcPr>
            <w:tcW w:type="dxa" w:w="4939"/>
            <w:vAlign w:val="center"/>
          </w:tcPr>
          <w:p>
            <w:pPr>
              <w:spacing w:after="40"/>
            </w:pPr>
            <w:r/>
            <w:r>
              <w:rPr>
                <w:b w:val="0"/>
                <w:sz w:val="17"/>
              </w:rPr>
              <w:t>AI quality</w:t>
            </w:r>
          </w:p>
        </w:tc>
        <w:tc>
          <w:tcPr>
            <w:tcW w:type="dxa" w:w="4939"/>
            <w:vAlign w:val="center"/>
          </w:tcPr>
          <w:p>
            <w:pPr>
              <w:spacing w:after="40"/>
            </w:pPr>
            <w:r/>
            <w:r>
              <w:rPr>
                <w:b w:val="0"/>
                <w:sz w:val="17"/>
              </w:rPr>
              <w:t>Citation accuracy, output validation failures, human correction rate</w:t>
            </w:r>
          </w:p>
        </w:tc>
      </w:tr>
      <w:tr>
        <w:tc>
          <w:tcPr>
            <w:tcW w:type="dxa" w:w="4939"/>
            <w:vAlign w:val="center"/>
          </w:tcPr>
          <w:p>
            <w:pPr>
              <w:spacing w:after="40"/>
            </w:pPr>
            <w:r/>
            <w:r>
              <w:rPr>
                <w:b w:val="0"/>
                <w:sz w:val="17"/>
              </w:rPr>
              <w:t>Assessment</w:t>
            </w:r>
          </w:p>
        </w:tc>
        <w:tc>
          <w:tcPr>
            <w:tcW w:type="dxa" w:w="4939"/>
            <w:vAlign w:val="center"/>
          </w:tcPr>
          <w:p>
            <w:pPr>
              <w:spacing w:after="40"/>
            </w:pPr>
            <w:r/>
            <w:r>
              <w:rPr>
                <w:b w:val="0"/>
                <w:sz w:val="17"/>
              </w:rPr>
              <w:t>Reproducibility, test reliability, execution cost, appeal rate</w:t>
            </w:r>
          </w:p>
        </w:tc>
      </w:tr>
      <w:tr>
        <w:tc>
          <w:tcPr>
            <w:tcW w:type="dxa" w:w="4939"/>
            <w:vAlign w:val="center"/>
          </w:tcPr>
          <w:p>
            <w:pPr>
              <w:spacing w:after="40"/>
            </w:pPr>
            <w:r/>
            <w:r>
              <w:rPr>
                <w:b w:val="0"/>
                <w:sz w:val="17"/>
              </w:rPr>
              <w:t>Learning effectiveness</w:t>
            </w:r>
          </w:p>
        </w:tc>
        <w:tc>
          <w:tcPr>
            <w:tcW w:type="dxa" w:w="4939"/>
            <w:vAlign w:val="center"/>
          </w:tcPr>
          <w:p>
            <w:pPr>
              <w:spacing w:after="40"/>
            </w:pPr>
            <w:r/>
            <w:r>
              <w:rPr>
                <w:b w:val="0"/>
                <w:sz w:val="17"/>
              </w:rPr>
              <w:t>Pre/post assessment improvement, retention, competency attainment</w:t>
            </w:r>
          </w:p>
        </w:tc>
      </w:tr>
      <w:tr>
        <w:tc>
          <w:tcPr>
            <w:tcW w:type="dxa" w:w="4939"/>
            <w:vAlign w:val="center"/>
          </w:tcPr>
          <w:p>
            <w:pPr>
              <w:spacing w:after="40"/>
            </w:pPr>
            <w:r/>
            <w:r>
              <w:rPr>
                <w:b w:val="0"/>
                <w:sz w:val="17"/>
              </w:rPr>
              <w:t>Collaboration</w:t>
            </w:r>
          </w:p>
        </w:tc>
        <w:tc>
          <w:tcPr>
            <w:tcW w:type="dxa" w:w="4939"/>
            <w:vAlign w:val="center"/>
          </w:tcPr>
          <w:p>
            <w:pPr>
              <w:spacing w:after="40"/>
            </w:pPr>
            <w:r/>
            <w:r>
              <w:rPr>
                <w:b w:val="0"/>
                <w:sz w:val="17"/>
              </w:rPr>
              <w:t>Review usefulness, accepted contributions, synchronization reliability</w:t>
            </w:r>
          </w:p>
        </w:tc>
      </w:tr>
      <w:tr>
        <w:tc>
          <w:tcPr>
            <w:tcW w:type="dxa" w:w="4939"/>
            <w:vAlign w:val="center"/>
          </w:tcPr>
          <w:p>
            <w:pPr>
              <w:spacing w:after="40"/>
            </w:pPr>
            <w:r/>
            <w:r>
              <w:rPr>
                <w:b w:val="0"/>
                <w:sz w:val="17"/>
              </w:rPr>
              <w:t>Credential integrity</w:t>
            </w:r>
          </w:p>
        </w:tc>
        <w:tc>
          <w:tcPr>
            <w:tcW w:type="dxa" w:w="4939"/>
            <w:vAlign w:val="center"/>
          </w:tcPr>
          <w:p>
            <w:pPr>
              <w:spacing w:after="40"/>
            </w:pPr>
            <w:r/>
            <w:r>
              <w:rPr>
                <w:b w:val="0"/>
                <w:sz w:val="17"/>
              </w:rPr>
              <w:t>Signature verification success, revocation propagation, issuer auditability</w:t>
            </w:r>
          </w:p>
        </w:tc>
      </w:tr>
      <w:tr>
        <w:tc>
          <w:tcPr>
            <w:tcW w:type="dxa" w:w="4939"/>
            <w:vAlign w:val="center"/>
          </w:tcPr>
          <w:p>
            <w:pPr>
              <w:spacing w:after="40"/>
            </w:pPr>
            <w:r/>
            <w:r>
              <w:rPr>
                <w:b w:val="0"/>
                <w:sz w:val="17"/>
              </w:rPr>
              <w:t>Accessibility</w:t>
            </w:r>
          </w:p>
        </w:tc>
        <w:tc>
          <w:tcPr>
            <w:tcW w:type="dxa" w:w="4939"/>
            <w:vAlign w:val="center"/>
          </w:tcPr>
          <w:p>
            <w:pPr>
              <w:spacing w:after="40"/>
            </w:pPr>
            <w:r/>
            <w:r>
              <w:rPr>
                <w:b w:val="0"/>
                <w:sz w:val="17"/>
              </w:rPr>
              <w:t>Keyboard navigation, semantic structure, assistive-technology compatibility</w:t>
            </w:r>
          </w:p>
        </w:tc>
      </w:tr>
      <w:tr>
        <w:tc>
          <w:tcPr>
            <w:tcW w:type="dxa" w:w="4939"/>
            <w:vAlign w:val="center"/>
          </w:tcPr>
          <w:p>
            <w:pPr>
              <w:spacing w:after="40"/>
            </w:pPr>
            <w:r/>
            <w:r>
              <w:rPr>
                <w:b w:val="0"/>
                <w:sz w:val="17"/>
              </w:rPr>
              <w:t>Sustainability</w:t>
            </w:r>
          </w:p>
        </w:tc>
        <w:tc>
          <w:tcPr>
            <w:tcW w:type="dxa" w:w="4939"/>
            <w:vAlign w:val="center"/>
          </w:tcPr>
          <w:p>
            <w:pPr>
              <w:spacing w:after="40"/>
            </w:pPr>
            <w:r/>
            <w:r>
              <w:rPr>
                <w:b w:val="0"/>
                <w:sz w:val="17"/>
              </w:rPr>
              <w:t>Infrastructure costs, provider dependence, maintenance burden</w:t>
            </w:r>
          </w:p>
        </w:tc>
      </w:tr>
    </w:tbl>
    <w:p/>
    <w:p>
      <w:r>
        <w:t>Gamification metrics should be reported separately from learning outcomes. Time spent in the application, XP earned, and streak length must not be presented as direct evidence of academic mastery.</w:t>
      </w:r>
    </w:p>
    <w:p>
      <w:r>
        <w:t>Evaluation should include pilot courses, learner feedback, independent assessment audits, and adversarial security testing.</w:t>
      </w:r>
    </w:p>
    <w:p>
      <w:pPr>
        <w:pStyle w:val="Heading1"/>
      </w:pPr>
      <w:r>
        <w:t>14. Risks and Open Research Questions</w:t>
      </w:r>
    </w:p>
    <w:p>
      <w:r>
        <w:t>Several questions require empirical evaluation before the system can be considered production-ready.</w:t>
      </w:r>
    </w:p>
    <w:p>
      <w:pPr>
        <w:pStyle w:val="ListNumber"/>
      </w:pPr>
      <w:r>
        <w:rPr>
          <w:b/>
        </w:rPr>
        <w:t>Academic trust:</w:t>
      </w:r>
      <w:r>
        <w:t xml:space="preserve"> What evidence is sufficient to issue a credential for an online practical exercise?</w:t>
      </w:r>
    </w:p>
    <w:p>
      <w:pPr>
        <w:pStyle w:val="ListNumber"/>
      </w:pPr>
      <w:r>
        <w:rPr>
          <w:b/>
        </w:rPr>
        <w:t>AI reliability:</w:t>
      </w:r>
      <w:r>
        <w:t xml:space="preserve"> How should the system measure factual correctness and detect fabricated citations?</w:t>
      </w:r>
    </w:p>
    <w:p>
      <w:pPr>
        <w:pStyle w:val="ListNumber"/>
      </w:pPr>
      <w:r>
        <w:rPr>
          <w:b/>
        </w:rPr>
        <w:t>Peer identity:</w:t>
      </w:r>
      <w:r>
        <w:t xml:space="preserve"> How can reputation remain useful without creating a centralized identity authority or encouraging Sybil attacks?</w:t>
      </w:r>
    </w:p>
    <w:p>
      <w:pPr>
        <w:pStyle w:val="ListNumber"/>
      </w:pPr>
      <w:r>
        <w:rPr>
          <w:b/>
        </w:rPr>
        <w:t>Assessment fairness:</w:t>
      </w:r>
      <w:r>
        <w:t xml:space="preserve"> How should AI-assisted scoring be audited, appealed, and calibrated across different learners?</w:t>
      </w:r>
    </w:p>
    <w:p>
      <w:pPr>
        <w:pStyle w:val="ListNumber"/>
      </w:pPr>
      <w:r>
        <w:rPr>
          <w:b/>
        </w:rPr>
        <w:t>Offline synchronization:</w:t>
      </w:r>
      <w:r>
        <w:t xml:space="preserve"> Which conflict-resolution rules preserve academic integrity when multiple peers edit related records?</w:t>
      </w:r>
    </w:p>
    <w:p>
      <w:pPr>
        <w:pStyle w:val="ListNumber"/>
      </w:pPr>
      <w:r>
        <w:rPr>
          <w:b/>
        </w:rPr>
        <w:t>Privacy:</w:t>
      </w:r>
      <w:r>
        <w:t xml:space="preserve"> How can learner data remain portable without exposing unnecessary personal information?</w:t>
      </w:r>
    </w:p>
    <w:p>
      <w:pPr>
        <w:pStyle w:val="ListNumber"/>
      </w:pPr>
      <w:r>
        <w:rPr>
          <w:b/>
        </w:rPr>
        <w:t>Institutional recognition:</w:t>
      </w:r>
      <w:r>
        <w:t xml:space="preserve"> How can independently issued micro-credentials be mapped to external academic frameworks?</w:t>
      </w:r>
    </w:p>
    <w:p>
      <w:pPr>
        <w:pStyle w:val="ListNumber"/>
      </w:pPr>
      <w:r>
        <w:rPr>
          <w:b/>
        </w:rPr>
        <w:t>Resource constraints:</w:t>
      </w:r>
      <w:r>
        <w:t xml:space="preserve"> Which components can run reliably on low-resource machines without degrading usability?</w:t>
      </w:r>
    </w:p>
    <w:p>
      <w:pPr>
        <w:pStyle w:val="ListNumber"/>
      </w:pPr>
      <w:r>
        <w:rPr>
          <w:b/>
        </w:rPr>
        <w:t>Governance:</w:t>
      </w:r>
      <w:r>
        <w:t xml:space="preserve"> How should issuer authority be granted, suspended, transferred, or revoked?</w:t>
      </w:r>
    </w:p>
    <w:p>
      <w:pPr>
        <w:pStyle w:val="ListNumber"/>
      </w:pPr>
      <w:r>
        <w:rPr>
          <w:b/>
        </w:rPr>
        <w:t>Decentralization trade-offs:</w:t>
      </w:r>
      <w:r>
        <w:t xml:space="preserve"> Which functions genuinely require peer-to-peer operation, and which are simpler and safer as optional centralized services?</w:t>
      </w:r>
    </w:p>
    <w:p>
      <w:r>
        <w:t>These questions are part of the research agenda rather than solved properties of the proposed design.</w:t>
      </w:r>
    </w:p>
    <w:p>
      <w:pPr>
        <w:pStyle w:val="Heading1"/>
      </w:pPr>
      <w:r>
        <w:t>15. Conclusion</w:t>
      </w:r>
    </w:p>
    <w:p>
      <w:r>
        <w:t>Vidyarthi proposes a modular, local-first approach to decentralized education.</w:t>
      </w:r>
    </w:p>
    <w:p>
      <w:r>
        <w:t>Its primary contribution is not the use of any single technology. It is the integration of version-controlled academic content, user-controlled AI assistance, automated assessment, peer collaboration, gamified progression, and portable credentials into a coherent learning workflow.</w:t>
      </w:r>
    </w:p>
    <w:p>
      <w:r>
        <w:t>Fossil provides a foundation for preserving course history. The HTML5 client minimizes frontend dependencies. PocketBase provides lightweight coordination. Pipelight organizes automated validation and assessment. BYOK gives learners and educators control over AI-provider selection and associated costs. Rust and WebAssembly provide portable execution capabilities, while cryptographic signatures make selected results independently verifiable.</w:t>
      </w:r>
    </w:p>
    <w:p>
      <w:r>
        <w:t>The architecture deliberately postpones mandatory blockchain consensus. Academic trust is first established through explicit policies, controlled assessment, authorized signatures, and transparent records. A replicated ledger may become useful when multiple independent issuers require a shared ordering and governance mechanism.</w:t>
      </w:r>
    </w:p>
    <w:p>
      <w:r>
        <w:t>The initial implementation should prove a narrow but meaningful workflow: a learner obtains a course, studies it offline, completes an assessment, receives a verifiable result, and shares the relevant artifacts with a peer.</w:t>
      </w:r>
    </w:p>
    <w:p>
      <w:r>
        <w:t>From that foundation, Vidyarthi can evolve toward a distributed network of learning communities in which knowledge is reproducible, educational contributions are inspectable, AI is an assistive resource, and academic achievements are portable and verifiable.</w:t>
      </w:r>
    </w:p>
    <w:p>
      <w:r>
        <w:t>The long-term objective is a university architecture that is open to participation, resilient to infrastructure failure, independent of a single AI provider, and governed by transparent academic and technical standards.</w:t>
      </w:r>
    </w:p>
    <w:p>
      <w:pPr>
        <w:pStyle w:val="Heading1"/>
      </w:pPr>
      <w:r>
        <w:t>Appendix A. Initial Technology Inventory</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D9E6F2"/>
          </w:tcPr>
          <w:p>
            <w:pPr>
              <w:spacing w:after="40"/>
            </w:pPr>
            <w:r/>
            <w:r>
              <w:rPr>
                <w:b/>
                <w:sz w:val="17"/>
              </w:rPr>
              <w:t>Component</w:t>
            </w:r>
          </w:p>
        </w:tc>
        <w:tc>
          <w:tcPr>
            <w:tcW w:type="dxa" w:w="3293"/>
            <w:vAlign w:val="center"/>
            <w:shd w:fill="D9E6F2"/>
          </w:tcPr>
          <w:p>
            <w:pPr>
              <w:spacing w:after="40"/>
            </w:pPr>
            <w:r/>
            <w:r>
              <w:rPr>
                <w:b/>
                <w:sz w:val="17"/>
              </w:rPr>
              <w:t>Initial choice</w:t>
            </w:r>
          </w:p>
        </w:tc>
        <w:tc>
          <w:tcPr>
            <w:tcW w:type="dxa" w:w="3293"/>
            <w:vAlign w:val="center"/>
            <w:shd w:fill="D9E6F2"/>
          </w:tcPr>
          <w:p>
            <w:pPr>
              <w:spacing w:after="40"/>
            </w:pPr>
            <w:r/>
            <w:r>
              <w:rPr>
                <w:b/>
                <w:sz w:val="17"/>
              </w:rPr>
              <w:t>Replacement principle</w:t>
            </w:r>
          </w:p>
        </w:tc>
      </w:tr>
      <w:tr>
        <w:tc>
          <w:tcPr>
            <w:tcW w:type="dxa" w:w="3293"/>
            <w:vAlign w:val="center"/>
          </w:tcPr>
          <w:p>
            <w:pPr>
              <w:spacing w:after="40"/>
            </w:pPr>
            <w:r/>
            <w:r>
              <w:rPr>
                <w:b w:val="0"/>
                <w:sz w:val="17"/>
              </w:rPr>
              <w:t>Frontend</w:t>
            </w:r>
          </w:p>
        </w:tc>
        <w:tc>
          <w:tcPr>
            <w:tcW w:type="dxa" w:w="3293"/>
            <w:vAlign w:val="center"/>
          </w:tcPr>
          <w:p>
            <w:pPr>
              <w:spacing w:after="40"/>
            </w:pPr>
            <w:r/>
            <w:r>
              <w:rPr>
                <w:b w:val="0"/>
                <w:sz w:val="17"/>
              </w:rPr>
              <w:t>HTML5, vanilla JavaScript, CSS</w:t>
            </w:r>
          </w:p>
        </w:tc>
        <w:tc>
          <w:tcPr>
            <w:tcW w:type="dxa" w:w="3293"/>
            <w:vAlign w:val="center"/>
          </w:tcPr>
          <w:p>
            <w:pPr>
              <w:spacing w:after="40"/>
            </w:pPr>
            <w:r/>
            <w:r>
              <w:rPr>
                <w:b w:val="0"/>
                <w:sz w:val="17"/>
              </w:rPr>
              <w:t>Keep the learner interface framework-independent</w:t>
            </w:r>
          </w:p>
        </w:tc>
      </w:tr>
      <w:tr>
        <w:tc>
          <w:tcPr>
            <w:tcW w:type="dxa" w:w="3293"/>
            <w:vAlign w:val="center"/>
          </w:tcPr>
          <w:p>
            <w:pPr>
              <w:spacing w:after="40"/>
            </w:pPr>
            <w:r/>
            <w:r>
              <w:rPr>
                <w:b w:val="0"/>
                <w:sz w:val="17"/>
              </w:rPr>
              <w:t>Local execution</w:t>
            </w:r>
          </w:p>
        </w:tc>
        <w:tc>
          <w:tcPr>
            <w:tcW w:type="dxa" w:w="3293"/>
            <w:vAlign w:val="center"/>
          </w:tcPr>
          <w:p>
            <w:pPr>
              <w:spacing w:after="40"/>
            </w:pPr>
            <w:r/>
            <w:r>
              <w:rPr>
                <w:b w:val="0"/>
                <w:sz w:val="17"/>
              </w:rPr>
              <w:t>WebAssembly</w:t>
            </w:r>
          </w:p>
        </w:tc>
        <w:tc>
          <w:tcPr>
            <w:tcW w:type="dxa" w:w="3293"/>
            <w:vAlign w:val="center"/>
          </w:tcPr>
          <w:p>
            <w:pPr>
              <w:spacing w:after="40"/>
            </w:pPr>
            <w:r/>
            <w:r>
              <w:rPr>
                <w:b w:val="0"/>
                <w:sz w:val="17"/>
              </w:rPr>
              <w:t>Use a compatible restricted runtime</w:t>
            </w:r>
          </w:p>
        </w:tc>
      </w:tr>
      <w:tr>
        <w:tc>
          <w:tcPr>
            <w:tcW w:type="dxa" w:w="3293"/>
            <w:vAlign w:val="center"/>
          </w:tcPr>
          <w:p>
            <w:pPr>
              <w:spacing w:after="40"/>
            </w:pPr>
            <w:r/>
            <w:r>
              <w:rPr>
                <w:b w:val="0"/>
                <w:sz w:val="17"/>
              </w:rPr>
              <w:t>Course repositories</w:t>
            </w:r>
          </w:p>
        </w:tc>
        <w:tc>
          <w:tcPr>
            <w:tcW w:type="dxa" w:w="3293"/>
            <w:vAlign w:val="center"/>
          </w:tcPr>
          <w:p>
            <w:pPr>
              <w:spacing w:after="40"/>
            </w:pPr>
            <w:r/>
            <w:r>
              <w:rPr>
                <w:b w:val="0"/>
                <w:sz w:val="17"/>
              </w:rPr>
              <w:t>Fossil SCM</w:t>
            </w:r>
          </w:p>
        </w:tc>
        <w:tc>
          <w:tcPr>
            <w:tcW w:type="dxa" w:w="3293"/>
            <w:vAlign w:val="center"/>
          </w:tcPr>
          <w:p>
            <w:pPr>
              <w:spacing w:after="40"/>
            </w:pPr>
            <w:r/>
            <w:r>
              <w:rPr>
                <w:b w:val="0"/>
                <w:sz w:val="17"/>
              </w:rPr>
              <w:t>Preserve versioned course formats and provenance</w:t>
            </w:r>
          </w:p>
        </w:tc>
      </w:tr>
      <w:tr>
        <w:tc>
          <w:tcPr>
            <w:tcW w:type="dxa" w:w="3293"/>
            <w:vAlign w:val="center"/>
          </w:tcPr>
          <w:p>
            <w:pPr>
              <w:spacing w:after="40"/>
            </w:pPr>
            <w:r/>
            <w:r>
              <w:rPr>
                <w:b w:val="0"/>
                <w:sz w:val="17"/>
              </w:rPr>
              <w:t>Application backend</w:t>
            </w:r>
          </w:p>
        </w:tc>
        <w:tc>
          <w:tcPr>
            <w:tcW w:type="dxa" w:w="3293"/>
            <w:vAlign w:val="center"/>
          </w:tcPr>
          <w:p>
            <w:pPr>
              <w:spacing w:after="40"/>
            </w:pPr>
            <w:r/>
            <w:r>
              <w:rPr>
                <w:b w:val="0"/>
                <w:sz w:val="17"/>
              </w:rPr>
              <w:t>PocketBase</w:t>
            </w:r>
          </w:p>
        </w:tc>
        <w:tc>
          <w:tcPr>
            <w:tcW w:type="dxa" w:w="3293"/>
            <w:vAlign w:val="center"/>
          </w:tcPr>
          <w:p>
            <w:pPr>
              <w:spacing w:after="40"/>
            </w:pPr>
            <w:r/>
            <w:r>
              <w:rPr>
                <w:b w:val="0"/>
                <w:sz w:val="17"/>
              </w:rPr>
              <w:t>Keep coordination replaceable</w:t>
            </w:r>
          </w:p>
        </w:tc>
      </w:tr>
      <w:tr>
        <w:tc>
          <w:tcPr>
            <w:tcW w:type="dxa" w:w="3293"/>
            <w:vAlign w:val="center"/>
          </w:tcPr>
          <w:p>
            <w:pPr>
              <w:spacing w:after="40"/>
            </w:pPr>
            <w:r/>
            <w:r>
              <w:rPr>
                <w:b w:val="0"/>
                <w:sz w:val="17"/>
              </w:rPr>
              <w:t>CI orchestration</w:t>
            </w:r>
          </w:p>
        </w:tc>
        <w:tc>
          <w:tcPr>
            <w:tcW w:type="dxa" w:w="3293"/>
            <w:vAlign w:val="center"/>
          </w:tcPr>
          <w:p>
            <w:pPr>
              <w:spacing w:after="40"/>
            </w:pPr>
            <w:r/>
            <w:r>
              <w:rPr>
                <w:b w:val="0"/>
                <w:sz w:val="17"/>
              </w:rPr>
              <w:t>Pipelight</w:t>
            </w:r>
          </w:p>
        </w:tc>
        <w:tc>
          <w:tcPr>
            <w:tcW w:type="dxa" w:w="3293"/>
            <w:vAlign w:val="center"/>
          </w:tcPr>
          <w:p>
            <w:pPr>
              <w:spacing w:after="40"/>
            </w:pPr>
            <w:r/>
            <w:r>
              <w:rPr>
                <w:b w:val="0"/>
                <w:sz w:val="17"/>
              </w:rPr>
              <w:t>Keep assessment job definitions portable</w:t>
            </w:r>
          </w:p>
        </w:tc>
      </w:tr>
      <w:tr>
        <w:tc>
          <w:tcPr>
            <w:tcW w:type="dxa" w:w="3293"/>
            <w:vAlign w:val="center"/>
          </w:tcPr>
          <w:p>
            <w:pPr>
              <w:spacing w:after="40"/>
            </w:pPr>
            <w:r/>
            <w:r>
              <w:rPr>
                <w:b w:val="0"/>
                <w:sz w:val="17"/>
              </w:rPr>
              <w:t>Assessment tooling</w:t>
            </w:r>
          </w:p>
        </w:tc>
        <w:tc>
          <w:tcPr>
            <w:tcW w:type="dxa" w:w="3293"/>
            <w:vAlign w:val="center"/>
          </w:tcPr>
          <w:p>
            <w:pPr>
              <w:spacing w:after="40"/>
            </w:pPr>
            <w:r/>
            <w:r>
              <w:rPr>
                <w:b w:val="0"/>
                <w:sz w:val="17"/>
              </w:rPr>
              <w:t>Rust and WASM</w:t>
            </w:r>
          </w:p>
        </w:tc>
        <w:tc>
          <w:tcPr>
            <w:tcW w:type="dxa" w:w="3293"/>
            <w:vAlign w:val="center"/>
          </w:tcPr>
          <w:p>
            <w:pPr>
              <w:spacing w:after="40"/>
            </w:pPr>
            <w:r/>
            <w:r>
              <w:rPr>
                <w:b w:val="0"/>
                <w:sz w:val="17"/>
              </w:rPr>
              <w:t>Separate orchestration from untrusted execution</w:t>
            </w:r>
          </w:p>
        </w:tc>
      </w:tr>
      <w:tr>
        <w:tc>
          <w:tcPr>
            <w:tcW w:type="dxa" w:w="3293"/>
            <w:vAlign w:val="center"/>
          </w:tcPr>
          <w:p>
            <w:pPr>
              <w:spacing w:after="40"/>
            </w:pPr>
            <w:r/>
            <w:r>
              <w:rPr>
                <w:b w:val="0"/>
                <w:sz w:val="17"/>
              </w:rPr>
              <w:t>AI</w:t>
            </w:r>
          </w:p>
        </w:tc>
        <w:tc>
          <w:tcPr>
            <w:tcW w:type="dxa" w:w="3293"/>
            <w:vAlign w:val="center"/>
          </w:tcPr>
          <w:p>
            <w:pPr>
              <w:spacing w:after="40"/>
            </w:pPr>
            <w:r/>
            <w:r>
              <w:rPr>
                <w:b w:val="0"/>
                <w:sz w:val="17"/>
              </w:rPr>
              <w:t>BYOK adapters and local endpoints</w:t>
            </w:r>
          </w:p>
        </w:tc>
        <w:tc>
          <w:tcPr>
            <w:tcW w:type="dxa" w:w="3293"/>
            <w:vAlign w:val="center"/>
          </w:tcPr>
          <w:p>
            <w:pPr>
              <w:spacing w:after="40"/>
            </w:pPr>
            <w:r/>
            <w:r>
              <w:rPr>
                <w:b w:val="0"/>
                <w:sz w:val="17"/>
              </w:rPr>
              <w:t>Avoid mandatory dependence on one provider</w:t>
            </w:r>
          </w:p>
        </w:tc>
      </w:tr>
      <w:tr>
        <w:tc>
          <w:tcPr>
            <w:tcW w:type="dxa" w:w="3293"/>
            <w:vAlign w:val="center"/>
          </w:tcPr>
          <w:p>
            <w:pPr>
              <w:spacing w:after="40"/>
            </w:pPr>
            <w:r/>
            <w:r>
              <w:rPr>
                <w:b w:val="0"/>
                <w:sz w:val="17"/>
              </w:rPr>
              <w:t>Peer networking</w:t>
            </w:r>
          </w:p>
        </w:tc>
        <w:tc>
          <w:tcPr>
            <w:tcW w:type="dxa" w:w="3293"/>
            <w:vAlign w:val="center"/>
          </w:tcPr>
          <w:p>
            <w:pPr>
              <w:spacing w:after="40"/>
            </w:pPr>
            <w:r/>
            <w:r>
              <w:rPr>
                <w:b w:val="0"/>
                <w:sz w:val="17"/>
              </w:rPr>
              <w:t>Optional Rust/libp2p service</w:t>
            </w:r>
          </w:p>
        </w:tc>
        <w:tc>
          <w:tcPr>
            <w:tcW w:type="dxa" w:w="3293"/>
            <w:vAlign w:val="center"/>
          </w:tcPr>
          <w:p>
            <w:pPr>
              <w:spacing w:after="40"/>
            </w:pPr>
            <w:r/>
            <w:r>
              <w:rPr>
                <w:b w:val="0"/>
                <w:sz w:val="17"/>
              </w:rPr>
              <w:t>Define protocol interfaces independently</w:t>
            </w:r>
          </w:p>
        </w:tc>
      </w:tr>
      <w:tr>
        <w:tc>
          <w:tcPr>
            <w:tcW w:type="dxa" w:w="3293"/>
            <w:vAlign w:val="center"/>
          </w:tcPr>
          <w:p>
            <w:pPr>
              <w:spacing w:after="40"/>
            </w:pPr>
            <w:r/>
            <w:r>
              <w:rPr>
                <w:b w:val="0"/>
                <w:sz w:val="17"/>
              </w:rPr>
              <w:t>Search</w:t>
            </w:r>
          </w:p>
        </w:tc>
        <w:tc>
          <w:tcPr>
            <w:tcW w:type="dxa" w:w="3293"/>
            <w:vAlign w:val="center"/>
          </w:tcPr>
          <w:p>
            <w:pPr>
              <w:spacing w:after="40"/>
            </w:pPr>
            <w:r/>
            <w:r>
              <w:rPr>
                <w:b w:val="0"/>
                <w:sz w:val="17"/>
              </w:rPr>
              <w:t>Local SQLite full-text index</w:t>
            </w:r>
          </w:p>
        </w:tc>
        <w:tc>
          <w:tcPr>
            <w:tcW w:type="dxa" w:w="3293"/>
            <w:vAlign w:val="center"/>
          </w:tcPr>
          <w:p>
            <w:pPr>
              <w:spacing w:after="40"/>
            </w:pPr>
            <w:r/>
            <w:r>
              <w:rPr>
                <w:b w:val="0"/>
                <w:sz w:val="17"/>
              </w:rPr>
              <w:t>Rebuild indexes from source artifacts</w:t>
            </w:r>
          </w:p>
        </w:tc>
      </w:tr>
      <w:tr>
        <w:tc>
          <w:tcPr>
            <w:tcW w:type="dxa" w:w="3293"/>
            <w:vAlign w:val="center"/>
          </w:tcPr>
          <w:p>
            <w:pPr>
              <w:spacing w:after="40"/>
            </w:pPr>
            <w:r/>
            <w:r>
              <w:rPr>
                <w:b w:val="0"/>
                <w:sz w:val="17"/>
              </w:rPr>
              <w:t>Credentials</w:t>
            </w:r>
          </w:p>
        </w:tc>
        <w:tc>
          <w:tcPr>
            <w:tcW w:type="dxa" w:w="3293"/>
            <w:vAlign w:val="center"/>
          </w:tcPr>
          <w:p>
            <w:pPr>
              <w:spacing w:after="40"/>
            </w:pPr>
            <w:r/>
            <w:r>
              <w:rPr>
                <w:b w:val="0"/>
                <w:sz w:val="17"/>
              </w:rPr>
              <w:t>Signed records and append-only history</w:t>
            </w:r>
          </w:p>
        </w:tc>
        <w:tc>
          <w:tcPr>
            <w:tcW w:type="dxa" w:w="3293"/>
            <w:vAlign w:val="center"/>
          </w:tcPr>
          <w:p>
            <w:pPr>
              <w:spacing w:after="40"/>
            </w:pPr>
            <w:r/>
            <w:r>
              <w:rPr>
                <w:b w:val="0"/>
                <w:sz w:val="17"/>
              </w:rPr>
              <w:t>Add consensus only when justified</w:t>
            </w:r>
          </w:p>
        </w:tc>
      </w:tr>
    </w:tbl>
    <w:p/>
    <w:p>
      <w:pPr>
        <w:pStyle w:val="Heading2"/>
      </w:pPr>
      <w:r>
        <w:t>Appendix B. Minimum Viable Release</w:t>
      </w:r>
    </w:p>
    <w:p>
      <w:r>
        <w:t>The minimum viable release should contain:</w:t>
      </w:r>
    </w:p>
    <w:p>
      <w:pPr>
        <w:pStyle w:val="ListNumber"/>
      </w:pPr>
      <w:r>
        <w:t>One sample course in a Fossil repository.</w:t>
      </w:r>
    </w:p>
    <w:p>
      <w:pPr>
        <w:pStyle w:val="ListNumber"/>
      </w:pPr>
      <w:r>
        <w:t>A single-file HTML learning client.</w:t>
      </w:r>
    </w:p>
    <w:p>
      <w:pPr>
        <w:pStyle w:val="ListNumber"/>
      </w:pPr>
      <w:r>
        <w:t>Markdown notes and Marp-compatible slides.</w:t>
      </w:r>
    </w:p>
    <w:p>
      <w:pPr>
        <w:pStyle w:val="ListNumber"/>
      </w:pPr>
      <w:r>
        <w:t>A JSON-based quiz engine.</w:t>
      </w:r>
    </w:p>
    <w:p>
      <w:pPr>
        <w:pStyle w:val="ListNumber"/>
      </w:pPr>
      <w:r>
        <w:t>Basic XP and competency progress.</w:t>
      </w:r>
    </w:p>
    <w:p>
      <w:pPr>
        <w:pStyle w:val="ListNumber"/>
      </w:pPr>
      <w:r>
        <w:t>A BYOK configuration supporting at least one provider and one local endpoint.</w:t>
      </w:r>
    </w:p>
    <w:p>
      <w:pPr>
        <w:pStyle w:val="ListNumber"/>
      </w:pPr>
      <w:r>
        <w:t>A Pipelight validation pipeline.</w:t>
      </w:r>
    </w:p>
    <w:p>
      <w:pPr>
        <w:pStyle w:val="ListNumber"/>
      </w:pPr>
      <w:r>
        <w:t>A restricted practical-assessment runner.</w:t>
      </w:r>
    </w:p>
    <w:p>
      <w:pPr>
        <w:pStyle w:val="ListNumber"/>
      </w:pPr>
      <w:r>
        <w:t>A signed assessment-result format.</w:t>
      </w:r>
    </w:p>
    <w:p>
      <w:pPr>
        <w:pStyle w:val="ListNumber"/>
      </w:pPr>
      <w:r>
        <w:t>A basic credential verifier.</w:t>
      </w:r>
    </w:p>
    <w:p>
      <w:r>
        <w:t>P2P networking, multimedia generation, distributed consensus, and formal degree issuance should not block this initial release.</w:t>
      </w:r>
    </w:p>
    <w:p>
      <w:pPr>
        <w:pStyle w:val="Heading2"/>
      </w:pPr>
      <w:r>
        <w:t>Appendix C. Terminology</w:t>
      </w:r>
    </w:p>
    <w:p>
      <w:r>
        <w:rPr>
          <w:b/>
        </w:rPr>
        <w:t>BYOK:</w:t>
      </w:r>
      <w:r>
        <w:t xml:space="preserve"> Bring Your Own Key; the user supplies credentials for a selected AI provider.</w:t>
      </w:r>
    </w:p>
    <w:p>
      <w:r>
        <w:rPr>
          <w:b/>
        </w:rPr>
        <w:t>CI:</w:t>
      </w:r>
      <w:r>
        <w:t xml:space="preserve"> Continuous integration; automated validation and testing of course artifacts or submissions.</w:t>
      </w:r>
    </w:p>
    <w:p>
      <w:r>
        <w:rPr>
          <w:b/>
        </w:rPr>
        <w:t>Credential issuer:</w:t>
      </w:r>
      <w:r>
        <w:t xml:space="preserve"> An entity authorized under a defined policy to issue a particular academic credential.</w:t>
      </w:r>
    </w:p>
    <w:p>
      <w:r>
        <w:rPr>
          <w:b/>
        </w:rPr>
        <w:t>Course revision:</w:t>
      </w:r>
      <w:r>
        <w:t xml:space="preserve"> An immutable reference to a specific state of a version-controlled course.</w:t>
      </w:r>
    </w:p>
    <w:p>
      <w:r>
        <w:rPr>
          <w:b/>
        </w:rPr>
        <w:t>Local-first:</w:t>
      </w:r>
      <w:r>
        <w:t xml:space="preserve"> An architecture in which important operations can work locally and synchronize when connectivity is available.</w:t>
      </w:r>
    </w:p>
    <w:p>
      <w:r>
        <w:rPr>
          <w:b/>
        </w:rPr>
        <w:t>Micro-learning:</w:t>
      </w:r>
      <w:r>
        <w:t xml:space="preserve"> Learning organized into relatively small, outcome-oriented activities or modules.</w:t>
      </w:r>
    </w:p>
    <w:p>
      <w:r>
        <w:rPr>
          <w:b/>
        </w:rPr>
        <w:t>P2P:</w:t>
      </w:r>
      <w:r>
        <w:t xml:space="preserve"> Peer-to-peer; direct or relayed communication and exchange among independently operated nodes.</w:t>
      </w:r>
    </w:p>
    <w:p>
      <w:r>
        <w:rPr>
          <w:b/>
        </w:rPr>
        <w:t>Portable credential:</w:t>
      </w:r>
      <w:r>
        <w:t xml:space="preserve"> A signed academic or competency record that can be exported and verified outside the system that issued it.</w:t>
      </w:r>
    </w:p>
    <w:p>
      <w:r>
        <w:rPr>
          <w:b/>
        </w:rPr>
        <w:t>Pipelight:</w:t>
      </w:r>
      <w:r>
        <w:t xml:space="preserve"> The proposed CI orchestration component used to coordinate automated validation and assessment jobs.</w:t>
      </w:r>
    </w:p>
    <w:p>
      <w:r>
        <w:rPr>
          <w:b/>
        </w:rPr>
        <w:t>WASM:</w:t>
      </w:r>
      <w:r>
        <w:t xml:space="preserve"> WebAssembly; a portable execution format that can support constrained, cross-platform workloads.</w:t>
      </w:r>
    </w:p>
    <w:p>
      <w:r>
        <w:rPr>
          <w:b/>
        </w:rPr>
        <w:t>Document status:</w:t>
      </w:r>
      <w:r>
        <w:t xml:space="preserve"> This white paper is an architectural proposal. It does not claim that all components have been integrated, that the security model has been independently audited, or that credentials issued by a future deployment will automatically be accredited or legally recognized.</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Vidyarthi • Preliminary Architecture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VIDYARTHI  |  TECHNICAL WHITE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287271"/>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Display" w:hAnsi="Aptos Display"/>
      <w:b/>
      <w:bCs/>
      <w:color w:val="28727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59" w:righ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Vidyarthi: A White Paper for a Peer-to-Peer, AI-Driven Micro-Learning University</dc:title>
  <dc:subject>Technical White Paper and Preliminary Architecture Specification</dc:subject>
  <dc:creator>Vidyarthi Project</dc:creator>
  <cp:keywords>Vidyarthi, P2P, AI, micro-learning, Fossil, Pipelight, BYOK, PocketBase</cp:keywords>
  <dc:description>generated by python-docx</dc:description>
  <cp:lastModifiedBy/>
  <cp:revision>1</cp:revision>
  <dcterms:created xsi:type="dcterms:W3CDTF">2013-12-23T23:15:00Z</dcterms:created>
  <dcterms:modified xsi:type="dcterms:W3CDTF">2013-12-23T23:15:00Z</dcterms:modified>
  <cp:category/>
</cp:coreProperties>
</file>