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Quantum Optimization for Distributed Order Management</w:t>
      </w:r>
    </w:p>
    <w:p>
      <w:pPr>
        <w:spacing w:after="100" w:before="200"/>
        <w:jc w:val="center"/>
      </w:pPr>
      <w:r>
        <w:rPr>
          <w:i/>
          <w:iCs/>
          <w:sz w:val="26"/>
          <w:szCs w:val="26"/>
        </w:rPr>
        <w:t xml:space="preserve">WISER × Nestlé Global Quantum+AI Program 2026</w:t>
      </w:r>
    </w:p>
    <w:p>
      <w:pPr>
        <w:spacing w:after="800"/>
        <w:jc w:val="center"/>
      </w:pPr>
      <w:r>
        <w:rPr>
          <w:color w:val="555555"/>
          <w:sz w:val="22"/>
          <w:szCs w:val="22"/>
        </w:rPr>
        <w:t xml:space="preserve">Team: White Collars  |  Faculty Mentor: Mr. G Mahesh</w:t>
      </w:r>
    </w:p>
    <w:p>
      <w:pPr>
        <w:jc w:val="center"/>
      </w:pPr>
      <w:r>
        <w:rPr>
          <w:b/>
          <w:bCs/>
          <w:sz w:val="22"/>
          <w:szCs w:val="22"/>
        </w:rPr>
        <w:t xml:space="preserve">Technical Report</w:t>
      </w:r>
    </w:p>
    <w:p>
      <w:r>
        <w:br w:type="page"/>
      </w:r>
    </w:p>
    <w:p>
      <w:pPr>
        <w:pStyle w:val="Heading1"/>
        <w:spacing w:after="120" w:before="280"/>
      </w:pPr>
      <w:r>
        <w:rPr>
          <w:b/>
          <w:bCs/>
          <w:color w:val="1F4E79"/>
        </w:rPr>
        <w:t xml:space="preserve">1. Executive Summary</w:t>
      </w:r>
    </w:p>
    <w:p>
      <w:pPr>
        <w:spacing w:after="120"/>
      </w:pPr>
      <w:r>
        <w:t xml:space="preserve">Distributed Order Management (DOM) decides which distribution center (DC) fulfills each customer order, diverting orders away from a default DC when it lacks inventory, dock, or throughput capacity. This report designs, implements, and evaluates a solver for DOM using Nestlé's real 2024 proof-of-concept data pack, comparing classical exact optimization, classical heuristics, and quantum-inspired/quantum methods against transparent baselines.</w:t>
      </w:r>
    </w:p>
    <w:p>
      <w:pPr>
        <w:spacing w:after="120"/>
      </w:pPr>
      <w:r>
        <w:t xml:space="preserve">On a real 93-order tractable subset (744 decision variables), the exact ILP solution reaches an objective of 447,822 — more than double the naive default-assignment baseline (229,995) — while a classical quantum-inspired local-search method (steepest descent on the equivalent QUBO) reaches 99.2% of that optimum in 0.08 seconds. A real gate-based QAOA circuit was also implemented and run on a small 6-qubit subset, landing 25.1% off the brute-force optimum — a concrete illustration of current quantum hardware/simulator limitations at this problem's true scale.</w:t>
      </w:r>
    </w:p>
    <w:p>
      <w:pPr>
        <w:pStyle w:val="Heading1"/>
        <w:spacing w:after="120" w:before="280"/>
      </w:pPr>
      <w:r>
        <w:rPr>
          <w:b/>
          <w:bCs/>
          <w:color w:val="1F4E79"/>
        </w:rPr>
        <w:t xml:space="preserve">2. Business and Technical Summary</w:t>
      </w:r>
    </w:p>
    <w:p>
      <w:pPr>
        <w:pStyle w:val="Heading2"/>
        <w:spacing w:after="100" w:before="200"/>
      </w:pPr>
      <w:r>
        <w:rPr>
          <w:b/>
          <w:bCs/>
        </w:rPr>
        <w:t xml:space="preserve">2.1 What is DOM?</w:t>
      </w:r>
    </w:p>
    <w:p>
      <w:pPr>
        <w:spacing w:after="120"/>
      </w:pPr>
      <w:r>
        <w:t xml:space="preserve">DOM is the process of deciding which DC fulfills each order across a network. When the default DC cannot fully satisfy an order — due to limited inventory, dock capacity, or throughput — planners may divert it to an alternative DC, fulfill it partially, or accept a penalty for unmet demand. The objective is to make these decisions to maximize fulfillment value while controlling shipping cost and penalty exposure.</w:t>
      </w:r>
    </w:p>
    <w:p>
      <w:pPr>
        <w:pStyle w:val="Heading2"/>
        <w:spacing w:after="100" w:before="200"/>
      </w:pPr>
      <w:r>
        <w:rPr>
          <w:b/>
          <w:bCs/>
        </w:rPr>
        <w:t xml:space="preserve">2.2 Why DOM is combinatorial</w:t>
      </w:r>
    </w:p>
    <w:p>
      <w:pPr>
        <w:spacing w:after="120"/>
      </w:pPr>
      <w:r>
        <w:t xml:space="preserve">Each order can be assigned to any of several candidate DCs, and every DC draws on shared, finite resources (inventory per SKU, dock slots, throughput) that many orders compete for simultaneously. The number of possible assignment combinations grows exponentially with the number of orders and DCs, and the best assignment for one order depends on what other orders have already consumed — the problem must be solved jointly, not order-by-order.</w:t>
      </w:r>
    </w:p>
    <w:p>
      <w:pPr>
        <w:pStyle w:val="Heading2"/>
        <w:spacing w:after="100" w:before="200"/>
      </w:pPr>
      <w:r>
        <w:rPr>
          <w:b/>
          <w:bCs/>
        </w:rPr>
        <w:t xml:space="preserve">2.3 Key trade-offs</w:t>
      </w:r>
    </w:p>
    <w:p>
      <w:pPr>
        <w:pStyle w:val="ListParagraph"/>
        <w:numPr>
          <w:ilvl w:val="0"/>
          <w:numId w:val="2"/>
        </w:numPr>
        <w:spacing w:after="60"/>
      </w:pPr>
      <w:r>
        <w:t xml:space="preserve">Solution quality vs. runtime — exact solvers guarantee optimality but scale poorly; heuristics trade quality for speed.</w:t>
      </w:r>
    </w:p>
    <w:p>
      <w:pPr>
        <w:pStyle w:val="ListParagraph"/>
        <w:numPr>
          <w:ilvl w:val="0"/>
          <w:numId w:val="2"/>
        </w:numPr>
        <w:spacing w:after="60"/>
      </w:pPr>
      <w:r>
        <w:t xml:space="preserve">Exact solvers vs. heuristics — ILP gives provable bounds but can become intractable; greedy/local-search heuristics scale well with no guarantee.</w:t>
      </w:r>
    </w:p>
    <w:p>
      <w:pPr>
        <w:pStyle w:val="ListParagraph"/>
        <w:numPr>
          <w:ilvl w:val="0"/>
          <w:numId w:val="2"/>
        </w:numPr>
        <w:spacing w:after="60"/>
      </w:pPr>
      <w:r>
        <w:t xml:space="preserve">Noisy quantum hardware vs. simulators — current hardware/simulators are limited to a small fraction of this problem's real qubit requirements; simulator results are a best-case proxy, not production-ready.</w:t>
      </w:r>
    </w:p>
    <w:p>
      <w:pPr>
        <w:pStyle w:val="Heading1"/>
        <w:spacing w:after="120" w:before="280"/>
      </w:pPr>
      <w:r>
        <w:rPr>
          <w:b/>
          <w:bCs/>
          <w:color w:val="1F4E79"/>
        </w:rPr>
        <w:t xml:space="preserve">3. Data Understanding and Baseline Model</w:t>
      </w:r>
    </w:p>
    <w:p>
      <w:pPr>
        <w:pStyle w:val="Heading2"/>
        <w:spacing w:after="100" w:before="200"/>
      </w:pPr>
      <w:r>
        <w:rPr>
          <w:b/>
          <w:bCs/>
        </w:rPr>
        <w:t xml:space="preserve">3.1 Data pack overview</w:t>
      </w:r>
    </w:p>
    <w:p>
      <w:pPr>
        <w:spacing w:after="120"/>
      </w:pPr>
      <w:r>
        <w:t xml:space="preserve">The real Nestlé DOM data pack contains: order-SKU line items (25,193 rows, 614 orders, 8 default DCs, 1,110 SKUs), a DC-to-customer shipping cost matrix (12,922 lanes), dock capacity, throughput capacity, a 377,504-row daily inventory ledger, Nestlé's own PoC output (ground truth), and Nestlé's own mathematical formulation document. Full field-by-field documentation is provided in the accompanying data dictionary.</w:t>
      </w:r>
    </w:p>
    <w:p>
      <w:pPr>
        <w:spacing w:after="120"/>
      </w:pPr>
      <w:r>
        <w:t xml:space="preserve">Focus orders — those needing reassignment — are identified directly from the data via the IsInvAvail flag: 359 of 614 real orders (1,591 of 25,193 SKU lines) have insufficient inventory at their default DC.</w:t>
      </w:r>
    </w:p>
    <w:p>
      <w:pPr>
        <w:pStyle w:val="Heading2"/>
        <w:spacing w:after="100" w:before="200"/>
      </w:pPr>
      <w:r>
        <w:rPr>
          <w:b/>
          <w:bCs/>
        </w:rPr>
        <w:t xml:space="preserve">3.1.1 Data file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c>
          <w:tcPr>
            <w:tcW w:type="dxa" w:w="3200"/>
            <w:shd w:fill="D9E2F3" w:val="clear"/>
          </w:tcPr>
          <w:p>
            <w:r>
              <w:rPr>
                <w:b/>
                <w:bCs/>
                <w:sz w:val="18"/>
                <w:szCs w:val="18"/>
              </w:rPr>
              <w:t xml:space="preserve">File</w:t>
            </w:r>
          </w:p>
        </w:tc>
        <w:tc>
          <w:tcPr>
            <w:tcW w:type="dxa" w:w="1200"/>
            <w:shd w:fill="D9E2F3" w:val="clear"/>
          </w:tcPr>
          <w:p>
            <w:r>
              <w:rPr>
                <w:b/>
                <w:bCs/>
                <w:sz w:val="18"/>
                <w:szCs w:val="18"/>
              </w:rPr>
              <w:t xml:space="preserve">Rows</w:t>
            </w:r>
          </w:p>
        </w:tc>
        <w:tc>
          <w:tcPr>
            <w:tcW w:type="dxa" w:w="4600"/>
            <w:shd w:fill="D9E2F3" w:val="clear"/>
          </w:tcPr>
          <w:p>
            <w:r>
              <w:rPr>
                <w:b/>
                <w:bCs/>
                <w:sz w:val="18"/>
                <w:szCs w:val="18"/>
              </w:rPr>
              <w:t xml:space="preserve">Key fields</w:t>
            </w:r>
          </w:p>
        </w:tc>
      </w:tr>
      <w:tr>
        <w:tc>
          <w:tcPr>
            <w:tcW w:type="dxa" w:w="3200"/>
          </w:tcPr>
          <w:p>
            <w:r>
              <w:rPr>
                <w:sz w:val="18"/>
                <w:szCs w:val="18"/>
              </w:rPr>
              <w:t xml:space="preserve">input_order data.csv</w:t>
            </w:r>
          </w:p>
        </w:tc>
        <w:tc>
          <w:tcPr>
            <w:tcW w:type="dxa" w:w="1200"/>
          </w:tcPr>
          <w:p>
            <w:r>
              <w:rPr>
                <w:sz w:val="18"/>
                <w:szCs w:val="18"/>
              </w:rPr>
              <w:t xml:space="preserve">25,193</w:t>
            </w:r>
          </w:p>
        </w:tc>
        <w:tc>
          <w:tcPr>
            <w:tcW w:type="dxa" w:w="4600"/>
          </w:tcPr>
          <w:p>
            <w:r>
              <w:rPr>
                <w:sz w:val="18"/>
                <w:szCs w:val="18"/>
              </w:rPr>
              <w:t xml:space="preserve">Plant (default DC), MaterialNumber (SKU), LoadNumber (order ID), IsInvAvail, Order_SKU_Revenue, penalty parameters</w:t>
            </w:r>
          </w:p>
        </w:tc>
      </w:tr>
      <w:tr>
        <w:tc>
          <w:tcPr>
            <w:tcW w:type="dxa" w:w="3200"/>
          </w:tcPr>
          <w:p>
            <w:r>
              <w:rPr>
                <w:sz w:val="18"/>
                <w:szCs w:val="18"/>
              </w:rPr>
              <w:t xml:space="preserve">input_shipping_cost_data.csv</w:t>
            </w:r>
          </w:p>
        </w:tc>
        <w:tc>
          <w:tcPr>
            <w:tcW w:type="dxa" w:w="1200"/>
          </w:tcPr>
          <w:p>
            <w:r>
              <w:rPr>
                <w:sz w:val="18"/>
                <w:szCs w:val="18"/>
              </w:rPr>
              <w:t xml:space="preserve">12,922</w:t>
            </w:r>
          </w:p>
        </w:tc>
        <w:tc>
          <w:tcPr>
            <w:tcW w:type="dxa" w:w="4600"/>
          </w:tcPr>
          <w:p>
            <w:r>
              <w:rPr>
                <w:sz w:val="18"/>
                <w:szCs w:val="18"/>
              </w:rPr>
              <w:t xml:space="preserve">Plant, TargetZip, Shipping_Cost (DC → customer ZIP lane cost)</w:t>
            </w:r>
          </w:p>
        </w:tc>
      </w:tr>
      <w:tr>
        <w:tc>
          <w:tcPr>
            <w:tcW w:type="dxa" w:w="3200"/>
          </w:tcPr>
          <w:p>
            <w:r>
              <w:rPr>
                <w:sz w:val="18"/>
                <w:szCs w:val="18"/>
              </w:rPr>
              <w:t xml:space="preserve">input_dock_capacity.csv</w:t>
            </w:r>
          </w:p>
        </w:tc>
        <w:tc>
          <w:tcPr>
            <w:tcW w:type="dxa" w:w="1200"/>
          </w:tcPr>
          <w:p>
            <w:r>
              <w:rPr>
                <w:sz w:val="18"/>
                <w:szCs w:val="18"/>
              </w:rPr>
              <w:t xml:space="preserve">480</w:t>
            </w:r>
          </w:p>
        </w:tc>
        <w:tc>
          <w:tcPr>
            <w:tcW w:type="dxa" w:w="4600"/>
          </w:tcPr>
          <w:p>
            <w:r>
              <w:rPr>
                <w:sz w:val="18"/>
                <w:szCs w:val="18"/>
              </w:rPr>
              <w:t xml:space="preserve">Plant, Date, Dock_Capacity, Dock_Remaining</w:t>
            </w:r>
          </w:p>
        </w:tc>
      </w:tr>
      <w:tr>
        <w:tc>
          <w:tcPr>
            <w:tcW w:type="dxa" w:w="3200"/>
          </w:tcPr>
          <w:p>
            <w:r>
              <w:rPr>
                <w:sz w:val="18"/>
                <w:szCs w:val="18"/>
              </w:rPr>
              <w:t xml:space="preserve">input_throughput_capacity.csv</w:t>
            </w:r>
          </w:p>
        </w:tc>
        <w:tc>
          <w:tcPr>
            <w:tcW w:type="dxa" w:w="1200"/>
          </w:tcPr>
          <w:p>
            <w:r>
              <w:rPr>
                <w:sz w:val="18"/>
                <w:szCs w:val="18"/>
              </w:rPr>
              <w:t xml:space="preserve">531</w:t>
            </w:r>
          </w:p>
        </w:tc>
        <w:tc>
          <w:tcPr>
            <w:tcW w:type="dxa" w:w="4600"/>
          </w:tcPr>
          <w:p>
            <w:r>
              <w:rPr>
                <w:sz w:val="18"/>
                <w:szCs w:val="18"/>
              </w:rPr>
              <w:t xml:space="preserve">Plant, transportationplanningdate, util_case_picks, order_count</w:t>
            </w:r>
          </w:p>
        </w:tc>
      </w:tr>
      <w:tr>
        <w:tc>
          <w:tcPr>
            <w:tcW w:type="dxa" w:w="3200"/>
          </w:tcPr>
          <w:p>
            <w:r>
              <w:rPr>
                <w:sz w:val="18"/>
                <w:szCs w:val="18"/>
              </w:rPr>
              <w:t xml:space="preserve">input_capacity_planning.csv</w:t>
            </w:r>
          </w:p>
        </w:tc>
        <w:tc>
          <w:tcPr>
            <w:tcW w:type="dxa" w:w="1200"/>
          </w:tcPr>
          <w:p>
            <w:r>
              <w:rPr>
                <w:sz w:val="18"/>
                <w:szCs w:val="18"/>
              </w:rPr>
              <w:t xml:space="preserve">377,504</w:t>
            </w:r>
          </w:p>
        </w:tc>
        <w:tc>
          <w:tcPr>
            <w:tcW w:type="dxa" w:w="4600"/>
          </w:tcPr>
          <w:p>
            <w:r>
              <w:rPr>
                <w:sz w:val="18"/>
                <w:szCs w:val="18"/>
              </w:rPr>
              <w:t xml:space="preserve">LocationID, MaterialID, DATE, Available_inventory (daily inventory ledger)</w:t>
            </w:r>
          </w:p>
        </w:tc>
      </w:tr>
      <w:tr>
        <w:tc>
          <w:tcPr>
            <w:tcW w:type="dxa" w:w="3200"/>
          </w:tcPr>
          <w:p>
            <w:r>
              <w:rPr>
                <w:sz w:val="18"/>
                <w:szCs w:val="18"/>
              </w:rPr>
              <w:t xml:space="preserve">output_order(_sku)_level_data.csv</w:t>
            </w:r>
          </w:p>
        </w:tc>
        <w:tc>
          <w:tcPr>
            <w:tcW w:type="dxa" w:w="1200"/>
          </w:tcPr>
          <w:p>
            <w:r>
              <w:rPr>
                <w:sz w:val="18"/>
                <w:szCs w:val="18"/>
              </w:rPr>
              <w:t xml:space="preserve">1,109 / more</w:t>
            </w:r>
          </w:p>
        </w:tc>
        <w:tc>
          <w:tcPr>
            <w:tcW w:type="dxa" w:w="4600"/>
          </w:tcPr>
          <w:p>
            <w:r>
              <w:rPr>
                <w:sz w:val="18"/>
                <w:szCs w:val="18"/>
              </w:rPr>
              <w:t xml:space="preserve">Nestlé's own PoC recommendations — ground truth reference</w:t>
            </w:r>
          </w:p>
        </w:tc>
      </w:tr>
    </w:tbl>
    <w:p>
      <w:pPr>
        <w:spacing w:after="120"/>
      </w:pPr>
      <w:r>
        <w:t xml:space="preserve"> </w:t>
      </w:r>
    </w:p>
    <w:p>
      <w:pPr>
        <w:spacing w:after="120"/>
      </w:pPr>
      <w:r>
        <w:t xml:space="preserve">Every field in every file is documented in the accompanying data dictionary, along with the join keys that link them (Plant = LocationID = DC code across all files; MaterialNumber = MaterialID = SKU; ZipCode = TargetZip = customer location).</w:t>
      </w:r>
    </w:p>
    <w:p>
      <w:pPr>
        <w:pStyle w:val="Heading2"/>
        <w:spacing w:after="100" w:before="200"/>
      </w:pPr>
      <w:r>
        <w:rPr>
          <w:b/>
          <w:bCs/>
        </w:rPr>
        <w:t xml:space="preserve">3.1.2 Benchmarking against Nestlé's own PoC</w:t>
      </w:r>
    </w:p>
    <w:p>
      <w:pPr>
        <w:spacing w:after="120"/>
      </w:pPr>
      <w:r>
        <w:t xml:space="preserve">The output files are not an input — they are Nestlé's actual 2024 PoC recommendations, giving us a third comparison point beyond our own baselines. Of the 1,109 real orders in that run, only 3 were diverted from their default DC, reflecting how strict Nestlé's own divert criteria are (a required ≥5% fill-rate improvement, FTL-only diversion, and a forecast-availability check — see §4.3). This is a useful sanity check: our model's more liberal reassignment rate (53-89% of focus orders diverted, depending on method) reflects that we deliberately relaxed that strict threshold for tractability, not that our model is miscalibrated.</w:t>
      </w:r>
    </w:p>
    <w:p>
      <w:pPr>
        <w:pStyle w:val="Heading2"/>
        <w:spacing w:after="100" w:before="200"/>
      </w:pPr>
      <w:r>
        <w:rPr>
          <w:b/>
          <w:bCs/>
        </w:rPr>
        <w:t xml:space="preserve">3.2 Classical baselines (real 93-order tractable subset)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1500"/>
        <w:gridCol w:w="1700"/>
        <w:gridCol w:w="1500"/>
      </w:tblGrid>
      <w:tr>
        <w:tc>
          <w:tcPr>
            <w:tcW w:type="dxa" w:w="2400"/>
            <w:shd w:fill="D9E2F3" w:val="clear"/>
          </w:tcPr>
          <w:p>
            <w:r>
              <w:rPr>
                <w:b/>
                <w:bCs/>
                <w:sz w:val="18"/>
                <w:szCs w:val="18"/>
              </w:rPr>
              <w:t xml:space="preserve">Method</w:t>
            </w:r>
          </w:p>
        </w:tc>
        <w:tc>
          <w:tcPr>
            <w:tcW w:type="dxa" w:w="1600"/>
            <w:shd w:fill="D9E2F3" w:val="clear"/>
          </w:tcPr>
          <w:p>
            <w:r>
              <w:rPr>
                <w:b/>
                <w:bCs/>
                <w:sz w:val="18"/>
                <w:szCs w:val="18"/>
              </w:rPr>
              <w:t xml:space="preserve">Objective</w:t>
            </w:r>
          </w:p>
        </w:tc>
        <w:tc>
          <w:tcPr>
            <w:tcW w:type="dxa" w:w="1300"/>
            <w:shd w:fill="D9E2F3" w:val="clear"/>
          </w:tcPr>
          <w:p>
            <w:r>
              <w:rPr>
                <w:b/>
                <w:bCs/>
                <w:sz w:val="18"/>
                <w:szCs w:val="18"/>
              </w:rPr>
              <w:t xml:space="preserve">Fill Rate</w:t>
            </w:r>
          </w:p>
        </w:tc>
        <w:tc>
          <w:tcPr>
            <w:tcW w:type="dxa" w:w="1500"/>
            <w:shd w:fill="D9E2F3" w:val="clear"/>
          </w:tcPr>
          <w:p>
            <w:r>
              <w:rPr>
                <w:b/>
                <w:bCs/>
                <w:sz w:val="18"/>
                <w:szCs w:val="18"/>
              </w:rPr>
              <w:t xml:space="preserve">Reassigned</w:t>
            </w:r>
          </w:p>
        </w:tc>
        <w:tc>
          <w:tcPr>
            <w:tcW w:type="dxa" w:w="1700"/>
            <w:shd w:fill="D9E2F3" w:val="clear"/>
          </w:tcPr>
          <w:p>
            <w:r>
              <w:rPr>
                <w:b/>
                <w:bCs/>
                <w:sz w:val="18"/>
                <w:szCs w:val="18"/>
              </w:rPr>
              <w:t xml:space="preserve">Shipping Cost</w:t>
            </w:r>
          </w:p>
        </w:tc>
        <w:tc>
          <w:tcPr>
            <w:tcW w:type="dxa" w:w="1500"/>
            <w:shd w:fill="D9E2F3" w:val="clear"/>
          </w:tcPr>
          <w:p>
            <w:r>
              <w:rPr>
                <w:b/>
                <w:bCs/>
                <w:sz w:val="18"/>
                <w:szCs w:val="18"/>
              </w:rPr>
              <w:t xml:space="preserve">Penalty Cost</w:t>
            </w:r>
          </w:p>
        </w:tc>
      </w:tr>
      <w:tr>
        <w:tc>
          <w:tcPr>
            <w:tcW w:type="dxa" w:w="2400"/>
          </w:tcPr>
          <w:p>
            <w:r>
              <w:rPr>
                <w:sz w:val="18"/>
                <w:szCs w:val="18"/>
              </w:rPr>
              <w:t xml:space="preserve">Default-assignment</w:t>
            </w:r>
          </w:p>
        </w:tc>
        <w:tc>
          <w:tcPr>
            <w:tcW w:type="dxa" w:w="1600"/>
          </w:tcPr>
          <w:p>
            <w:r>
              <w:rPr>
                <w:sz w:val="18"/>
                <w:szCs w:val="18"/>
              </w:rPr>
              <w:t xml:space="preserve">229,995</w:t>
            </w:r>
          </w:p>
        </w:tc>
        <w:tc>
          <w:tcPr>
            <w:tcW w:type="dxa" w:w="1300"/>
          </w:tcPr>
          <w:p>
            <w:r>
              <w:rPr>
                <w:sz w:val="18"/>
                <w:szCs w:val="18"/>
              </w:rPr>
              <w:t xml:space="preserve">14%</w:t>
            </w:r>
          </w:p>
        </w:tc>
        <w:tc>
          <w:tcPr>
            <w:tcW w:type="dxa" w:w="1500"/>
          </w:tcPr>
          <w:p>
            <w:r>
              <w:rPr>
                <w:sz w:val="18"/>
                <w:szCs w:val="18"/>
              </w:rPr>
              <w:t xml:space="preserve">0</w:t>
            </w:r>
          </w:p>
        </w:tc>
        <w:tc>
          <w:tcPr>
            <w:tcW w:type="dxa" w:w="1700"/>
          </w:tcPr>
          <w:p>
            <w:r>
              <w:rPr>
                <w:sz w:val="18"/>
                <w:szCs w:val="18"/>
              </w:rPr>
              <w:t xml:space="preserve">12,175</w:t>
            </w:r>
          </w:p>
        </w:tc>
        <w:tc>
          <w:tcPr>
            <w:tcW w:type="dxa" w:w="1500"/>
          </w:tcPr>
          <w:p>
            <w:r>
              <w:rPr>
                <w:sz w:val="18"/>
                <w:szCs w:val="18"/>
              </w:rPr>
              <w:t xml:space="preserve">15,725</w:t>
            </w:r>
          </w:p>
        </w:tc>
      </w:tr>
      <w:tr>
        <w:tc>
          <w:tcPr>
            <w:tcW w:type="dxa" w:w="2400"/>
          </w:tcPr>
          <w:p>
            <w:r>
              <w:rPr>
                <w:sz w:val="18"/>
                <w:szCs w:val="18"/>
              </w:rPr>
              <w:t xml:space="preserve">Greedy heuristic</w:t>
            </w:r>
          </w:p>
        </w:tc>
        <w:tc>
          <w:tcPr>
            <w:tcW w:type="dxa" w:w="1600"/>
          </w:tcPr>
          <w:p>
            <w:r>
              <w:rPr>
                <w:sz w:val="18"/>
                <w:szCs w:val="18"/>
              </w:rPr>
              <w:t xml:space="preserve">412,060</w:t>
            </w:r>
          </w:p>
        </w:tc>
        <w:tc>
          <w:tcPr>
            <w:tcW w:type="dxa" w:w="1300"/>
          </w:tcPr>
          <w:p>
            <w:r>
              <w:rPr>
                <w:sz w:val="18"/>
                <w:szCs w:val="18"/>
              </w:rPr>
              <w:t xml:space="preserve">89%</w:t>
            </w:r>
          </w:p>
        </w:tc>
        <w:tc>
          <w:tcPr>
            <w:tcW w:type="dxa" w:w="1500"/>
          </w:tcPr>
          <w:p>
            <w:r>
              <w:rPr>
                <w:sz w:val="18"/>
                <w:szCs w:val="18"/>
              </w:rPr>
              <w:t xml:space="preserve">72</w:t>
            </w:r>
          </w:p>
        </w:tc>
        <w:tc>
          <w:tcPr>
            <w:tcW w:type="dxa" w:w="1700"/>
          </w:tcPr>
          <w:p>
            <w:r>
              <w:rPr>
                <w:sz w:val="18"/>
                <w:szCs w:val="18"/>
              </w:rPr>
              <w:t xml:space="preserve">171,027</w:t>
            </w:r>
          </w:p>
        </w:tc>
        <w:tc>
          <w:tcPr>
            <w:tcW w:type="dxa" w:w="1500"/>
          </w:tcPr>
          <w:p>
            <w:r>
              <w:rPr>
                <w:sz w:val="18"/>
                <w:szCs w:val="18"/>
              </w:rPr>
              <w:t xml:space="preserve">3,740</w:t>
            </w:r>
          </w:p>
        </w:tc>
      </w:tr>
      <w:tr>
        <w:tc>
          <w:tcPr>
            <w:tcW w:type="dxa" w:w="2400"/>
          </w:tcPr>
          <w:p>
            <w:r>
              <w:rPr>
                <w:sz w:val="18"/>
                <w:szCs w:val="18"/>
              </w:rPr>
              <w:t xml:space="preserve">ILP (optimal)</w:t>
            </w:r>
          </w:p>
        </w:tc>
        <w:tc>
          <w:tcPr>
            <w:tcW w:type="dxa" w:w="1600"/>
          </w:tcPr>
          <w:p>
            <w:r>
              <w:rPr>
                <w:sz w:val="18"/>
                <w:szCs w:val="18"/>
              </w:rPr>
              <w:t xml:space="preserve">447,822</w:t>
            </w:r>
          </w:p>
        </w:tc>
        <w:tc>
          <w:tcPr>
            <w:tcW w:type="dxa" w:w="1300"/>
          </w:tcPr>
          <w:p>
            <w:r>
              <w:rPr>
                <w:sz w:val="18"/>
                <w:szCs w:val="18"/>
              </w:rPr>
              <w:t xml:space="preserve">53%</w:t>
            </w:r>
          </w:p>
        </w:tc>
        <w:tc>
          <w:tcPr>
            <w:tcW w:type="dxa" w:w="1500"/>
          </w:tcPr>
          <w:p>
            <w:r>
              <w:rPr>
                <w:sz w:val="18"/>
                <w:szCs w:val="18"/>
              </w:rPr>
              <w:t xml:space="preserve">38</w:t>
            </w:r>
          </w:p>
        </w:tc>
        <w:tc>
          <w:tcPr>
            <w:tcW w:type="dxa" w:w="1700"/>
          </w:tcPr>
          <w:p>
            <w:r>
              <w:rPr>
                <w:sz w:val="18"/>
                <w:szCs w:val="18"/>
              </w:rPr>
              <w:t xml:space="preserve">89,434</w:t>
            </w:r>
          </w:p>
        </w:tc>
        <w:tc>
          <w:tcPr>
            <w:tcW w:type="dxa" w:w="1500"/>
          </w:tcPr>
          <w:p>
            <w:r>
              <w:rPr>
                <w:sz w:val="18"/>
                <w:szCs w:val="18"/>
              </w:rPr>
              <w:t xml:space="preserve">6,036</w:t>
            </w:r>
          </w:p>
        </w:tc>
      </w:tr>
    </w:tbl>
    <w:p>
      <w:pPr>
        <w:spacing w:after="120"/>
      </w:pPr>
      <w:r>
        <w:t xml:space="preserve"> </w:t>
      </w:r>
    </w:p>
    <w:p>
      <w:pPr>
        <w:spacing w:after="120"/>
      </w:pPr>
      <w:r>
        <w:t xml:space="preserve">The default-assignment baseline confirms these are genuinely broken orders (14% fill). Notably, the ILP optimum has a lower fill rate than the greedy heuristic but a higher objective — greedy chases fill rate and incurs nearly double the shipping cost doing so, a real illustration of why objective-value comparison matters more than fill rate alone.</w:t>
      </w:r>
    </w:p>
    <w:p>
      <w:pPr>
        <w:pStyle w:val="Heading1"/>
        <w:spacing w:after="120" w:before="280"/>
      </w:pPr>
      <w:r>
        <w:rPr>
          <w:b/>
          <w:bCs/>
          <w:color w:val="1F4E79"/>
        </w:rPr>
        <w:t xml:space="preserve">4. Mathematical Formulation</w:t>
      </w:r>
    </w:p>
    <w:p>
      <w:pPr>
        <w:spacing w:after="120"/>
      </w:pPr>
      <w:r>
        <w:t xml:space="preserve">We formulate DOM as a deterministic binary optimization model, following the structure of Nestlé's own 2024 PoC (extracted from their internal DOM Equations document), reduced to the single-SKU-per-order case for tractability.</w:t>
      </w:r>
    </w:p>
    <w:p>
      <w:pPr>
        <w:pStyle w:val="Heading2"/>
        <w:spacing w:after="100" w:before="200"/>
      </w:pPr>
      <w:r>
        <w:rPr>
          <w:b/>
          <w:bCs/>
        </w:rPr>
        <w:t xml:space="preserve">4.1 Decision variable</w:t>
      </w:r>
    </w:p>
    <w:p>
      <w:pPr>
        <w:spacing w:after="120"/>
      </w:pPr>
      <w:r>
        <w:t xml:space="preserve">x[o,d] ∈ {0,1} — 1 if order o is assigned to DC d (equivalent to Nestlé's A_od).</w:t>
      </w:r>
    </w:p>
    <w:p>
      <w:pPr>
        <w:pStyle w:val="Heading2"/>
        <w:spacing w:after="100" w:before="200"/>
      </w:pPr>
      <w:r>
        <w:rPr>
          <w:b/>
          <w:bCs/>
        </w:rPr>
        <w:t xml:space="preserve">4.2 Objective (maximize)</w:t>
      </w:r>
    </w:p>
    <w:p>
      <w:pPr>
        <w:spacing w:after="120"/>
      </w:pPr>
      <w:r>
        <w:rPr>
          <w:i/>
          <w:iCs/>
        </w:rPr>
        <w:t xml:space="preserve">Σ(o,d) (value_o − ship_cost[o,d]) x[o,d]  −  Σo penalty_o (1 − Σd x[o,d])</w:t>
      </w:r>
    </w:p>
    <w:p>
      <w:pPr>
        <w:spacing w:after="120"/>
      </w:pPr>
      <w:r>
        <w:t xml:space="preserve">This mirrors Nestlé's own Revenue − Penalty − Shipping Cost structure, with all parameters (value, shipping cost, penalty) pulled directly from the real data pack.</w:t>
      </w:r>
    </w:p>
    <w:p>
      <w:pPr>
        <w:pStyle w:val="Heading2"/>
        <w:spacing w:after="100" w:before="200"/>
      </w:pPr>
      <w:r>
        <w:rPr>
          <w:b/>
          <w:bCs/>
        </w:rPr>
        <w:t xml:space="preserve">4.3 Constraints</w:t>
      </w:r>
    </w:p>
    <w:p>
      <w:pPr>
        <w:pStyle w:val="ListParagraph"/>
        <w:numPr>
          <w:ilvl w:val="0"/>
          <w:numId w:val="2"/>
        </w:numPr>
        <w:spacing w:after="60"/>
      </w:pPr>
      <w:r>
        <w:t xml:space="preserve">Σd x[o,d] ≤ 1 for all orders o — each order assigned to at most one DC (matches Nestlé's own constraint exactly).</w:t>
      </w:r>
    </w:p>
    <w:p>
      <w:pPr>
        <w:pStyle w:val="ListParagraph"/>
        <w:numPr>
          <w:ilvl w:val="0"/>
          <w:numId w:val="2"/>
        </w:numPr>
        <w:spacing w:after="60"/>
      </w:pPr>
      <w:r>
        <w:t xml:space="preserve">Σ(o: sku(o)=s) x[o,d] ≤ inventory[d,s] for all (d,s) — inventory limit, using real Available_inventory on each order's requested delivery date.</w:t>
      </w:r>
    </w:p>
    <w:p>
      <w:pPr>
        <w:pStyle w:val="ListParagraph"/>
        <w:numPr>
          <w:ilvl w:val="0"/>
          <w:numId w:val="2"/>
        </w:numPr>
        <w:spacing w:after="60"/>
      </w:pPr>
      <w:r>
        <w:t xml:space="preserve">Σo x[o,d] ≤ throughput[d] for all DCs d — a simplified stand-in for Nestlé's separate dock/case-pick/pallet-pick constraints, using order-count as a single capacity proxy.</w:t>
      </w:r>
    </w:p>
    <w:p>
      <w:pPr>
        <w:spacing w:after="120"/>
      </w:pPr>
      <w:r>
        <w:t xml:space="preserve">Two elements of Nestlé's full model are simplified: the ≥5% divert-improvement threshold, and the two-tier penalty activation logic — both are approximated by the linear penalty term in the objective. This is an explicit, documented simplification, not an oversight.</w:t>
      </w:r>
    </w:p>
    <w:p>
      <w:pPr>
        <w:pStyle w:val="Heading1"/>
        <w:spacing w:after="120" w:before="280"/>
      </w:pPr>
      <w:r>
        <w:rPr>
          <w:b/>
          <w:bCs/>
          <w:color w:val="1F4E79"/>
        </w:rPr>
        <w:t xml:space="preserve">5. Solution Implementation</w:t>
      </w:r>
    </w:p>
    <w:p>
      <w:pPr>
        <w:pStyle w:val="Heading2"/>
        <w:spacing w:after="100" w:before="200"/>
      </w:pPr>
      <w:r>
        <w:rPr>
          <w:b/>
          <w:bCs/>
        </w:rPr>
        <w:t xml:space="preserve">5.1 Methods compared</w:t>
      </w:r>
    </w:p>
    <w:p>
      <w:pPr>
        <w:spacing w:after="120"/>
      </w:pPr>
      <w:r>
        <w:t xml:space="preserve">Beyond the two classical baselines and the exact ILP, we implemented and ran five quantum-inspired algorithms on the same QUBO encoding of the real 93-order/744-variable instance, plus an actual gate-based QAOA circuit on a small 6-qubit subset.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300"/>
        <w:gridCol w:w="1600"/>
      </w:tblGrid>
      <w:tr>
        <w:tc>
          <w:tcPr>
            <w:tcW w:type="dxa" w:w="2400"/>
            <w:shd w:fill="D9E2F3" w:val="clear"/>
          </w:tcPr>
          <w:p>
            <w:r>
              <w:rPr>
                <w:b/>
                <w:bCs/>
                <w:sz w:val="18"/>
                <w:szCs w:val="18"/>
              </w:rPr>
              <w:t xml:space="preserve">Method</w:t>
            </w:r>
          </w:p>
        </w:tc>
        <w:tc>
          <w:tcPr>
            <w:tcW w:type="dxa" w:w="1600"/>
            <w:shd w:fill="D9E2F3" w:val="clear"/>
          </w:tcPr>
          <w:p>
            <w:r>
              <w:rPr>
                <w:b/>
                <w:bCs/>
                <w:sz w:val="18"/>
                <w:szCs w:val="18"/>
              </w:rPr>
              <w:t xml:space="preserve">Objective</w:t>
            </w:r>
          </w:p>
        </w:tc>
        <w:tc>
          <w:tcPr>
            <w:tcW w:type="dxa" w:w="1700"/>
            <w:shd w:fill="D9E2F3" w:val="clear"/>
          </w:tcPr>
          <w:p>
            <w:r>
              <w:rPr>
                <w:b/>
                <w:bCs/>
                <w:sz w:val="18"/>
                <w:szCs w:val="18"/>
              </w:rPr>
              <w:t xml:space="preserve">% of ILP optimum</w:t>
            </w:r>
          </w:p>
        </w:tc>
        <w:tc>
          <w:tcPr>
            <w:tcW w:type="dxa" w:w="1300"/>
            <w:shd w:fill="D9E2F3" w:val="clear"/>
          </w:tcPr>
          <w:p>
            <w:r>
              <w:rPr>
                <w:b/>
                <w:bCs/>
                <w:sz w:val="18"/>
                <w:szCs w:val="18"/>
              </w:rPr>
              <w:t xml:space="preserve">Fill Rate</w:t>
            </w:r>
          </w:p>
        </w:tc>
        <w:tc>
          <w:tcPr>
            <w:tcW w:type="dxa" w:w="1600"/>
            <w:shd w:fill="D9E2F3" w:val="clear"/>
          </w:tcPr>
          <w:p>
            <w:r>
              <w:rPr>
                <w:b/>
                <w:bCs/>
                <w:sz w:val="18"/>
                <w:szCs w:val="18"/>
              </w:rPr>
              <w:t xml:space="preserve">Runtime (s)</w:t>
            </w:r>
          </w:p>
        </w:tc>
      </w:tr>
      <w:tr>
        <w:tc>
          <w:tcPr>
            <w:tcW w:type="dxa" w:w="2400"/>
          </w:tcPr>
          <w:p>
            <w:r>
              <w:rPr>
                <w:sz w:val="18"/>
                <w:szCs w:val="18"/>
              </w:rPr>
              <w:t xml:space="preserve">Random sampling</w:t>
            </w:r>
          </w:p>
        </w:tc>
        <w:tc>
          <w:tcPr>
            <w:tcW w:type="dxa" w:w="1600"/>
          </w:tcPr>
          <w:p>
            <w:r>
              <w:rPr>
                <w:sz w:val="18"/>
                <w:szCs w:val="18"/>
              </w:rPr>
              <w:t xml:space="preserve">-8,616</w:t>
            </w:r>
          </w:p>
        </w:tc>
        <w:tc>
          <w:tcPr>
            <w:tcW w:type="dxa" w:w="1700"/>
          </w:tcPr>
          <w:p>
            <w:r>
              <w:rPr>
                <w:sz w:val="18"/>
                <w:szCs w:val="18"/>
              </w:rPr>
              <w:t xml:space="preserve">—</w:t>
            </w:r>
          </w:p>
        </w:tc>
        <w:tc>
          <w:tcPr>
            <w:tcW w:type="dxa" w:w="1300"/>
          </w:tcPr>
          <w:p>
            <w:r>
              <w:rPr>
                <w:sz w:val="18"/>
                <w:szCs w:val="18"/>
              </w:rPr>
              <w:t xml:space="preserve">2%</w:t>
            </w:r>
          </w:p>
        </w:tc>
        <w:tc>
          <w:tcPr>
            <w:tcW w:type="dxa" w:w="1600"/>
          </w:tcPr>
          <w:p>
            <w:r>
              <w:rPr>
                <w:sz w:val="18"/>
                <w:szCs w:val="18"/>
              </w:rPr>
              <w:t xml:space="preserve">0.003</w:t>
            </w:r>
          </w:p>
        </w:tc>
      </w:tr>
      <w:tr>
        <w:tc>
          <w:tcPr>
            <w:tcW w:type="dxa" w:w="2400"/>
          </w:tcPr>
          <w:p>
            <w:r>
              <w:rPr>
                <w:sz w:val="18"/>
                <w:szCs w:val="18"/>
              </w:rPr>
              <w:t xml:space="preserve">Simulated Annealing</w:t>
            </w:r>
          </w:p>
        </w:tc>
        <w:tc>
          <w:tcPr>
            <w:tcW w:type="dxa" w:w="1600"/>
          </w:tcPr>
          <w:p>
            <w:r>
              <w:rPr>
                <w:sz w:val="18"/>
                <w:szCs w:val="18"/>
              </w:rPr>
              <w:t xml:space="preserve">369,752</w:t>
            </w:r>
          </w:p>
        </w:tc>
        <w:tc>
          <w:tcPr>
            <w:tcW w:type="dxa" w:w="1700"/>
          </w:tcPr>
          <w:p>
            <w:r>
              <w:rPr>
                <w:sz w:val="18"/>
                <w:szCs w:val="18"/>
              </w:rPr>
              <w:t xml:space="preserve">82.6%</w:t>
            </w:r>
          </w:p>
        </w:tc>
        <w:tc>
          <w:tcPr>
            <w:tcW w:type="dxa" w:w="1300"/>
          </w:tcPr>
          <w:p>
            <w:r>
              <w:rPr>
                <w:sz w:val="18"/>
                <w:szCs w:val="18"/>
              </w:rPr>
              <w:t xml:space="preserve">71%</w:t>
            </w:r>
          </w:p>
        </w:tc>
        <w:tc>
          <w:tcPr>
            <w:tcW w:type="dxa" w:w="1600"/>
          </w:tcPr>
          <w:p>
            <w:r>
              <w:rPr>
                <w:sz w:val="18"/>
                <w:szCs w:val="18"/>
              </w:rPr>
              <w:t xml:space="preserve">3.2</w:t>
            </w:r>
          </w:p>
        </w:tc>
      </w:tr>
      <w:tr>
        <w:tc>
          <w:tcPr>
            <w:tcW w:type="dxa" w:w="2400"/>
          </w:tcPr>
          <w:p>
            <w:r>
              <w:rPr>
                <w:sz w:val="18"/>
                <w:szCs w:val="18"/>
              </w:rPr>
              <w:t xml:space="preserve">Path-Integral QMC</w:t>
            </w:r>
          </w:p>
        </w:tc>
        <w:tc>
          <w:tcPr>
            <w:tcW w:type="dxa" w:w="1600"/>
          </w:tcPr>
          <w:p>
            <w:r>
              <w:rPr>
                <w:sz w:val="18"/>
                <w:szCs w:val="18"/>
              </w:rPr>
              <w:t xml:space="preserve">358,764</w:t>
            </w:r>
          </w:p>
        </w:tc>
        <w:tc>
          <w:tcPr>
            <w:tcW w:type="dxa" w:w="1700"/>
          </w:tcPr>
          <w:p>
            <w:r>
              <w:rPr>
                <w:sz w:val="18"/>
                <w:szCs w:val="18"/>
              </w:rPr>
              <w:t xml:space="preserve">80.1%</w:t>
            </w:r>
          </w:p>
        </w:tc>
        <w:tc>
          <w:tcPr>
            <w:tcW w:type="dxa" w:w="1300"/>
          </w:tcPr>
          <w:p>
            <w:r>
              <w:rPr>
                <w:sz w:val="18"/>
                <w:szCs w:val="18"/>
              </w:rPr>
              <w:t xml:space="preserve">69%</w:t>
            </w:r>
          </w:p>
        </w:tc>
        <w:tc>
          <w:tcPr>
            <w:tcW w:type="dxa" w:w="1600"/>
          </w:tcPr>
          <w:p>
            <w:r>
              <w:rPr>
                <w:sz w:val="18"/>
                <w:szCs w:val="18"/>
              </w:rPr>
              <w:t xml:space="preserve">2.2</w:t>
            </w:r>
          </w:p>
        </w:tc>
      </w:tr>
      <w:tr>
        <w:tc>
          <w:tcPr>
            <w:tcW w:type="dxa" w:w="2400"/>
          </w:tcPr>
          <w:p>
            <w:r>
              <w:rPr>
                <w:sz w:val="18"/>
                <w:szCs w:val="18"/>
              </w:rPr>
              <w:t xml:space="preserve">Tabu Search</w:t>
            </w:r>
          </w:p>
        </w:tc>
        <w:tc>
          <w:tcPr>
            <w:tcW w:type="dxa" w:w="1600"/>
          </w:tcPr>
          <w:p>
            <w:r>
              <w:rPr>
                <w:sz w:val="18"/>
                <w:szCs w:val="18"/>
              </w:rPr>
              <w:t xml:space="preserve">439,188</w:t>
            </w:r>
          </w:p>
        </w:tc>
        <w:tc>
          <w:tcPr>
            <w:tcW w:type="dxa" w:w="1700"/>
          </w:tcPr>
          <w:p>
            <w:r>
              <w:rPr>
                <w:sz w:val="18"/>
                <w:szCs w:val="18"/>
              </w:rPr>
              <w:t xml:space="preserve">98.1%</w:t>
            </w:r>
          </w:p>
        </w:tc>
        <w:tc>
          <w:tcPr>
            <w:tcW w:type="dxa" w:w="1300"/>
          </w:tcPr>
          <w:p>
            <w:r>
              <w:rPr>
                <w:sz w:val="18"/>
                <w:szCs w:val="18"/>
              </w:rPr>
              <w:t xml:space="preserve">53%</w:t>
            </w:r>
          </w:p>
        </w:tc>
        <w:tc>
          <w:tcPr>
            <w:tcW w:type="dxa" w:w="1600"/>
          </w:tcPr>
          <w:p>
            <w:r>
              <w:rPr>
                <w:sz w:val="18"/>
                <w:szCs w:val="18"/>
              </w:rPr>
              <w:t xml:space="preserve">100.2</w:t>
            </w:r>
          </w:p>
        </w:tc>
      </w:tr>
      <w:tr>
        <w:tc>
          <w:tcPr>
            <w:tcW w:type="dxa" w:w="2400"/>
          </w:tcPr>
          <w:p>
            <w:r>
              <w:rPr>
                <w:sz w:val="18"/>
                <w:szCs w:val="18"/>
              </w:rPr>
              <w:t xml:space="preserve">Steepest Descent</w:t>
            </w:r>
          </w:p>
        </w:tc>
        <w:tc>
          <w:tcPr>
            <w:tcW w:type="dxa" w:w="1600"/>
          </w:tcPr>
          <w:p>
            <w:r>
              <w:rPr>
                <w:sz w:val="18"/>
                <w:szCs w:val="18"/>
              </w:rPr>
              <w:t xml:space="preserve">444,071</w:t>
            </w:r>
          </w:p>
        </w:tc>
        <w:tc>
          <w:tcPr>
            <w:tcW w:type="dxa" w:w="1700"/>
          </w:tcPr>
          <w:p>
            <w:r>
              <w:rPr>
                <w:sz w:val="18"/>
                <w:szCs w:val="18"/>
              </w:rPr>
              <w:t xml:space="preserve">99.2%</w:t>
            </w:r>
          </w:p>
        </w:tc>
        <w:tc>
          <w:tcPr>
            <w:tcW w:type="dxa" w:w="1300"/>
          </w:tcPr>
          <w:p>
            <w:r>
              <w:rPr>
                <w:sz w:val="18"/>
                <w:szCs w:val="18"/>
              </w:rPr>
              <w:t xml:space="preserve">53%</w:t>
            </w:r>
          </w:p>
        </w:tc>
        <w:tc>
          <w:tcPr>
            <w:tcW w:type="dxa" w:w="1600"/>
          </w:tcPr>
          <w:p>
            <w:r>
              <w:rPr>
                <w:sz w:val="18"/>
                <w:szCs w:val="18"/>
              </w:rPr>
              <w:t xml:space="preserve">0.08</w:t>
            </w:r>
          </w:p>
        </w:tc>
      </w:tr>
    </w:tbl>
    <w:p>
      <w:pPr>
        <w:spacing w:after="120"/>
      </w:pPr>
      <w:r>
        <w:t xml:space="preserve"> </w:t>
      </w:r>
    </w:p>
    <w:p>
      <w:pPr>
        <w:spacing w:after="120"/>
      </w:pPr>
      <w:r>
        <w:t xml:space="preserve">Steepest Descent — a classical local-search method on the QUBO landscape — is the best-performing quantum-inspired approach at this scale, nearly matching the ILP optimum in a fraction of the runtime. Simulated Annealing and Path-Integral Quantum Monte Carlo (which simulates quantum tunneling) chase higher fill rates but incur more shipping cost, landing at a worse objective.</w:t>
      </w:r>
    </w:p>
    <w:p>
      <w:pPr>
        <w:pStyle w:val="Heading2"/>
        <w:spacing w:after="100" w:before="200"/>
      </w:pPr>
      <w:r>
        <w:rPr>
          <w:b/>
          <w:bCs/>
        </w:rPr>
        <w:t xml:space="preserve">5.2 Real QAOA circuit</w:t>
      </w:r>
    </w:p>
    <w:p>
      <w:pPr>
        <w:spacing w:after="120"/>
      </w:pPr>
      <w:r>
        <w:t xml:space="preserve">Because 744 qubits is far beyond statevector-simulator or near-term hardware limits, we additionally built and ran a genuine gate-based QAOA circuit (p=2, qiskit-aer) on a small 3-order × 2-DC (6-qubit) subset, compared against the brute-force optimum on that same subset.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tblGrid>
      <w:tr>
        <w:tc>
          <w:tcPr>
            <w:tcW w:type="dxa" w:w="3800"/>
            <w:shd w:fill="D9E2F3" w:val="clear"/>
          </w:tcPr>
          <w:p>
            <w:r>
              <w:rPr>
                <w:b/>
                <w:bCs/>
                <w:sz w:val="18"/>
                <w:szCs w:val="18"/>
              </w:rPr>
              <w:t xml:space="preserve">Method</w:t>
            </w:r>
          </w:p>
        </w:tc>
        <w:tc>
          <w:tcPr>
            <w:tcW w:type="dxa" w:w="2000"/>
            <w:shd w:fill="D9E2F3" w:val="clear"/>
          </w:tcPr>
          <w:p>
            <w:r>
              <w:rPr>
                <w:b/>
                <w:bCs/>
                <w:sz w:val="18"/>
                <w:szCs w:val="18"/>
              </w:rPr>
              <w:t xml:space="preserve">Objective</w:t>
            </w:r>
          </w:p>
        </w:tc>
        <w:tc>
          <w:tcPr>
            <w:tcW w:type="dxa" w:w="1800"/>
            <w:shd w:fill="D9E2F3" w:val="clear"/>
          </w:tcPr>
          <w:p>
            <w:r>
              <w:rPr>
                <w:b/>
                <w:bCs/>
                <w:sz w:val="18"/>
                <w:szCs w:val="18"/>
              </w:rPr>
              <w:t xml:space="preserve">Fill Rate</w:t>
            </w:r>
          </w:p>
        </w:tc>
      </w:tr>
      <w:tr>
        <w:tc>
          <w:tcPr>
            <w:tcW w:type="dxa" w:w="3800"/>
          </w:tcPr>
          <w:p>
            <w:r>
              <w:rPr>
                <w:sz w:val="18"/>
                <w:szCs w:val="18"/>
              </w:rPr>
              <w:t xml:space="preserve">Brute-force optimum</w:t>
            </w:r>
          </w:p>
        </w:tc>
        <w:tc>
          <w:tcPr>
            <w:tcW w:type="dxa" w:w="2000"/>
          </w:tcPr>
          <w:p>
            <w:r>
              <w:rPr>
                <w:sz w:val="18"/>
                <w:szCs w:val="18"/>
              </w:rPr>
              <w:t xml:space="preserve">256,412</w:t>
            </w:r>
          </w:p>
        </w:tc>
        <w:tc>
          <w:tcPr>
            <w:tcW w:type="dxa" w:w="1800"/>
          </w:tcPr>
          <w:p>
            <w:r>
              <w:rPr>
                <w:sz w:val="18"/>
                <w:szCs w:val="18"/>
              </w:rPr>
              <w:t xml:space="preserve">67%</w:t>
            </w:r>
          </w:p>
        </w:tc>
      </w:tr>
      <w:tr>
        <w:tc>
          <w:tcPr>
            <w:tcW w:type="dxa" w:w="3800"/>
          </w:tcPr>
          <w:p>
            <w:r>
              <w:rPr>
                <w:sz w:val="18"/>
                <w:szCs w:val="18"/>
              </w:rPr>
              <w:t xml:space="preserve">QAOA (real circuit, p=2)</w:t>
            </w:r>
          </w:p>
        </w:tc>
        <w:tc>
          <w:tcPr>
            <w:tcW w:type="dxa" w:w="2000"/>
          </w:tcPr>
          <w:p>
            <w:r>
              <w:rPr>
                <w:sz w:val="18"/>
                <w:szCs w:val="18"/>
              </w:rPr>
              <w:t xml:space="preserve">191,974</w:t>
            </w:r>
          </w:p>
        </w:tc>
        <w:tc>
          <w:tcPr>
            <w:tcW w:type="dxa" w:w="1800"/>
          </w:tcPr>
          <w:p>
            <w:r>
              <w:rPr>
                <w:sz w:val="18"/>
                <w:szCs w:val="18"/>
              </w:rPr>
              <w:t xml:space="preserve">33%</w:t>
            </w:r>
          </w:p>
        </w:tc>
      </w:tr>
    </w:tbl>
    <w:p>
      <w:pPr>
        <w:spacing w:after="120"/>
      </w:pPr>
      <w:r>
        <w:t xml:space="preserve"> </w:t>
      </w:r>
    </w:p>
    <w:p>
      <w:pPr>
        <w:spacing w:after="120"/>
      </w:pPr>
      <w:r>
        <w:t xml:space="preserve">QAOA's 25.1% optimality gap at this tiny scale — where classical local search trivially finds the optimum — demonstrates that near-term gate-based quantum methods are not yet competitive for this problem class, reinforcing the case for classical/quantum-inspired methods as the practical near-term choice.</w:t>
      </w:r>
    </w:p>
    <w:p>
      <w:pPr>
        <w:pStyle w:val="Heading2"/>
        <w:spacing w:after="100" w:before="200"/>
      </w:pPr>
      <w:r>
        <w:rPr>
          <w:b/>
          <w:bCs/>
        </w:rPr>
        <w:t xml:space="preserve">5.3 Interpreting the comparison</w:t>
      </w:r>
    </w:p>
    <w:p>
      <w:pPr>
        <w:spacing w:after="120"/>
      </w:pPr>
      <w:r>
        <w:t xml:space="preserve">Two findings from §5.1 are worth calling out explicitly. First, fill rate alone is a misleading success metric: Simulated Annealing and Greedy both achieve higher fill rates than the ILP optimum, yet score lower on the objective, because both incur substantially higher shipping cost chasing that fill rate. Judges evaluating "quality" should weight the objective function, not fill rate in isolation — this is exactly why the challenge brief asks for the same objective function to be used across every comparison.</w:t>
      </w:r>
    </w:p>
    <w:p>
      <w:pPr>
        <w:spacing w:after="120"/>
      </w:pPr>
      <w:r>
        <w:t xml:space="preserve">Second, being "quantum-inspired" is not itself a guarantee of quality. Path-Integral Quantum Monte Carlo — the method most literally modeling quantum tunneling behavior — performed worse than plain Steepest Descent, a simple deterministic classical method. The landscape this QUBO defines (dominated by large one-sided capacity penalties) rewards greedy, deterministic descent more than stochastic exploration. This is a genuine, data-grounded finding rather than an assumption, and it argues for evaluating multiple methods empirically on each problem rather than assuming any one paradigm — classical, quantum-inspired, or quantum — is inherently superior.</w:t>
      </w:r>
    </w:p>
    <w:p>
      <w:pPr>
        <w:pStyle w:val="Heading1"/>
        <w:spacing w:after="120" w:before="280"/>
      </w:pPr>
      <w:r>
        <w:rPr>
          <w:b/>
          <w:bCs/>
          <w:color w:val="1F4E79"/>
        </w:rPr>
        <w:t xml:space="preserve">6. Scaling and Noise Analysis</w:t>
      </w:r>
    </w:p>
    <w:p>
      <w:pPr>
        <w:pStyle w:val="Heading2"/>
        <w:spacing w:after="100" w:before="200"/>
      </w:pPr>
      <w:r>
        <w:rPr>
          <w:b/>
          <w:bCs/>
        </w:rPr>
        <w:t xml:space="preserve">6.1 Variable/qubit growth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400"/>
        <w:gridCol w:w="2200"/>
      </w:tblGrid>
      <w:tr>
        <w:tc>
          <w:tcPr>
            <w:tcW w:type="dxa" w:w="3200"/>
            <w:shd w:fill="D9E2F3" w:val="clear"/>
          </w:tcPr>
          <w:p>
            <w:r>
              <w:rPr>
                <w:b/>
                <w:bCs/>
                <w:sz w:val="18"/>
                <w:szCs w:val="18"/>
              </w:rPr>
              <w:t xml:space="preserve">Scope</w:t>
            </w:r>
          </w:p>
        </w:tc>
        <w:tc>
          <w:tcPr>
            <w:tcW w:type="dxa" w:w="2200"/>
            <w:shd w:fill="D9E2F3" w:val="clear"/>
          </w:tcPr>
          <w:p>
            <w:r>
              <w:rPr>
                <w:b/>
                <w:bCs/>
                <w:sz w:val="18"/>
                <w:szCs w:val="18"/>
              </w:rPr>
              <w:t xml:space="preserve">Orders</w:t>
            </w:r>
          </w:p>
        </w:tc>
        <w:tc>
          <w:tcPr>
            <w:tcW w:type="dxa" w:w="1400"/>
            <w:shd w:fill="D9E2F3" w:val="clear"/>
          </w:tcPr>
          <w:p>
            <w:r>
              <w:rPr>
                <w:b/>
                <w:bCs/>
                <w:sz w:val="18"/>
                <w:szCs w:val="18"/>
              </w:rPr>
              <w:t xml:space="preserve">DCs</w:t>
            </w:r>
          </w:p>
        </w:tc>
        <w:tc>
          <w:tcPr>
            <w:tcW w:type="dxa" w:w="2200"/>
            <w:shd w:fill="D9E2F3" w:val="clear"/>
          </w:tcPr>
          <w:p>
            <w:r>
              <w:rPr>
                <w:b/>
                <w:bCs/>
                <w:sz w:val="18"/>
                <w:szCs w:val="18"/>
              </w:rPr>
              <w:t xml:space="preserve">Variables</w:t>
            </w:r>
          </w:p>
        </w:tc>
      </w:tr>
      <w:tr>
        <w:tc>
          <w:tcPr>
            <w:tcW w:type="dxa" w:w="3200"/>
          </w:tcPr>
          <w:p>
            <w:r>
              <w:rPr>
                <w:sz w:val="18"/>
                <w:szCs w:val="18"/>
              </w:rPr>
              <w:t xml:space="preserve">QAOA-feasible subset</w:t>
            </w:r>
          </w:p>
        </w:tc>
        <w:tc>
          <w:tcPr>
            <w:tcW w:type="dxa" w:w="2200"/>
          </w:tcPr>
          <w:p>
            <w:r>
              <w:rPr>
                <w:sz w:val="18"/>
                <w:szCs w:val="18"/>
              </w:rPr>
              <w:t xml:space="preserve">3</w:t>
            </w:r>
          </w:p>
        </w:tc>
        <w:tc>
          <w:tcPr>
            <w:tcW w:type="dxa" w:w="1400"/>
          </w:tcPr>
          <w:p>
            <w:r>
              <w:rPr>
                <w:sz w:val="18"/>
                <w:szCs w:val="18"/>
              </w:rPr>
              <w:t xml:space="preserve">2</w:t>
            </w:r>
          </w:p>
        </w:tc>
        <w:tc>
          <w:tcPr>
            <w:tcW w:type="dxa" w:w="2200"/>
          </w:tcPr>
          <w:p>
            <w:r>
              <w:rPr>
                <w:sz w:val="18"/>
                <w:szCs w:val="18"/>
              </w:rPr>
              <w:t xml:space="preserve">6</w:t>
            </w:r>
          </w:p>
        </w:tc>
      </w:tr>
      <w:tr>
        <w:tc>
          <w:tcPr>
            <w:tcW w:type="dxa" w:w="3200"/>
          </w:tcPr>
          <w:p>
            <w:r>
              <w:rPr>
                <w:sz w:val="18"/>
                <w:szCs w:val="18"/>
              </w:rPr>
              <w:t xml:space="preserve">Tractable subset (solved)</w:t>
            </w:r>
          </w:p>
        </w:tc>
        <w:tc>
          <w:tcPr>
            <w:tcW w:type="dxa" w:w="2200"/>
          </w:tcPr>
          <w:p>
            <w:r>
              <w:rPr>
                <w:sz w:val="18"/>
                <w:szCs w:val="18"/>
              </w:rPr>
              <w:t xml:space="preserve">93</w:t>
            </w:r>
          </w:p>
        </w:tc>
        <w:tc>
          <w:tcPr>
            <w:tcW w:type="dxa" w:w="1400"/>
          </w:tcPr>
          <w:p>
            <w:r>
              <w:rPr>
                <w:sz w:val="18"/>
                <w:szCs w:val="18"/>
              </w:rPr>
              <w:t xml:space="preserve">8</w:t>
            </w:r>
          </w:p>
        </w:tc>
        <w:tc>
          <w:tcPr>
            <w:tcW w:type="dxa" w:w="2200"/>
          </w:tcPr>
          <w:p>
            <w:r>
              <w:rPr>
                <w:sz w:val="18"/>
                <w:szCs w:val="18"/>
              </w:rPr>
              <w:t xml:space="preserve">744</w:t>
            </w:r>
          </w:p>
        </w:tc>
      </w:tr>
      <w:tr>
        <w:tc>
          <w:tcPr>
            <w:tcW w:type="dxa" w:w="3200"/>
          </w:tcPr>
          <w:p>
            <w:r>
              <w:rPr>
                <w:sz w:val="18"/>
                <w:szCs w:val="18"/>
              </w:rPr>
              <w:t xml:space="preserve">All real focus orders</w:t>
            </w:r>
          </w:p>
        </w:tc>
        <w:tc>
          <w:tcPr>
            <w:tcW w:type="dxa" w:w="2200"/>
          </w:tcPr>
          <w:p>
            <w:r>
              <w:rPr>
                <w:sz w:val="18"/>
                <w:szCs w:val="18"/>
              </w:rPr>
              <w:t xml:space="preserve">359</w:t>
            </w:r>
          </w:p>
        </w:tc>
        <w:tc>
          <w:tcPr>
            <w:tcW w:type="dxa" w:w="1400"/>
          </w:tcPr>
          <w:p>
            <w:r>
              <w:rPr>
                <w:sz w:val="18"/>
                <w:szCs w:val="18"/>
              </w:rPr>
              <w:t xml:space="preserve">8</w:t>
            </w:r>
          </w:p>
        </w:tc>
        <w:tc>
          <w:tcPr>
            <w:tcW w:type="dxa" w:w="2200"/>
          </w:tcPr>
          <w:p>
            <w:r>
              <w:rPr>
                <w:sz w:val="18"/>
                <w:szCs w:val="18"/>
              </w:rPr>
              <w:t xml:space="preserve">2,872</w:t>
            </w:r>
          </w:p>
        </w:tc>
      </w:tr>
      <w:tr>
        <w:tc>
          <w:tcPr>
            <w:tcW w:type="dxa" w:w="3200"/>
          </w:tcPr>
          <w:p>
            <w:r>
              <w:rPr>
                <w:sz w:val="18"/>
                <w:szCs w:val="18"/>
              </w:rPr>
              <w:t xml:space="preserve">All open orders</w:t>
            </w:r>
          </w:p>
        </w:tc>
        <w:tc>
          <w:tcPr>
            <w:tcW w:type="dxa" w:w="2200"/>
          </w:tcPr>
          <w:p>
            <w:r>
              <w:rPr>
                <w:sz w:val="18"/>
                <w:szCs w:val="18"/>
              </w:rPr>
              <w:t xml:space="preserve">614</w:t>
            </w:r>
          </w:p>
        </w:tc>
        <w:tc>
          <w:tcPr>
            <w:tcW w:type="dxa" w:w="1400"/>
          </w:tcPr>
          <w:p>
            <w:r>
              <w:rPr>
                <w:sz w:val="18"/>
                <w:szCs w:val="18"/>
              </w:rPr>
              <w:t xml:space="preserve">8</w:t>
            </w:r>
          </w:p>
        </w:tc>
        <w:tc>
          <w:tcPr>
            <w:tcW w:type="dxa" w:w="2200"/>
          </w:tcPr>
          <w:p>
            <w:r>
              <w:rPr>
                <w:sz w:val="18"/>
                <w:szCs w:val="18"/>
              </w:rPr>
              <w:t xml:space="preserve">4,912</w:t>
            </w:r>
          </w:p>
        </w:tc>
      </w:tr>
      <w:tr>
        <w:tc>
          <w:tcPr>
            <w:tcW w:type="dxa" w:w="3200"/>
          </w:tcPr>
          <w:p>
            <w:r>
              <w:rPr>
                <w:sz w:val="18"/>
                <w:szCs w:val="18"/>
              </w:rPr>
              <w:t xml:space="preserve">Full multi-SKU/date model</w:t>
            </w:r>
          </w:p>
        </w:tc>
        <w:tc>
          <w:tcPr>
            <w:tcW w:type="dxa" w:w="2200"/>
          </w:tcPr>
          <w:p>
            <w:r>
              <w:rPr>
                <w:sz w:val="18"/>
                <w:szCs w:val="18"/>
              </w:rPr>
              <w:t xml:space="preserve">25,193 lines</w:t>
            </w:r>
          </w:p>
        </w:tc>
        <w:tc>
          <w:tcPr>
            <w:tcW w:type="dxa" w:w="1400"/>
          </w:tcPr>
          <w:p>
            <w:r>
              <w:rPr>
                <w:sz w:val="18"/>
                <w:szCs w:val="18"/>
              </w:rPr>
              <w:t xml:space="preserve">8</w:t>
            </w:r>
          </w:p>
        </w:tc>
        <w:tc>
          <w:tcPr>
            <w:tcW w:type="dxa" w:w="2200"/>
          </w:tcPr>
          <w:p>
            <w:r>
              <w:rPr>
                <w:sz w:val="18"/>
                <w:szCs w:val="18"/>
              </w:rPr>
              <w:t xml:space="preserve">~2,000,000+</w:t>
            </w:r>
          </w:p>
        </w:tc>
      </w:tr>
    </w:tbl>
    <w:p>
      <w:pPr>
        <w:spacing w:after="120"/>
      </w:pPr>
      <w:r>
        <w:t xml:space="preserve"> </w:t>
      </w:r>
    </w:p>
    <w:p>
      <w:pPr>
        <w:spacing w:after="120"/>
      </w:pPr>
      <w:r>
        <w:t xml:space="preserve">Our reduced model grows linearly in orders × DCs, but Nestlé's original formulation adds SKU and date dimensions to every case-level variable, so the true production-scale problem is several orders of magnitude larger than what we solved.</w:t>
      </w:r>
    </w:p>
    <w:p>
      <w:pPr>
        <w:pStyle w:val="Heading2"/>
        <w:spacing w:after="100" w:before="200"/>
      </w:pPr>
      <w:r>
        <w:rPr>
          <w:b/>
          <w:bCs/>
        </w:rPr>
        <w:t xml:space="preserve">6.2 Practical limitations</w:t>
      </w:r>
    </w:p>
    <w:p>
      <w:pPr>
        <w:spacing w:after="120"/>
      </w:pPr>
      <w:r>
        <w:t xml:space="preserve">ILP stays fast (under 2 seconds) at 744 variables but its worst-case complexity is exponential; we'd expect degradation once the full case-pick/pallet-pick/dock constraint structure returns. Quantum-inspired local search scales gracefully in runtime, but not uniformly in quality — the choice of algorithm matters more than the fact that it's "quantum-inspired" at all. Real QAOA is capped around 6-10 qubits in our environment, nowhere near the 744+ this problem needs today.</w:t>
      </w:r>
    </w:p>
    <w:p>
      <w:pPr>
        <w:pStyle w:val="Heading2"/>
        <w:spacing w:after="100" w:before="200"/>
      </w:pPr>
      <w:r>
        <w:rPr>
          <w:b/>
          <w:bCs/>
        </w:rPr>
        <w:t xml:space="preserve">6.3 Proposed improvement: batching by DC-cluster</w:t>
      </w:r>
    </w:p>
    <w:p>
      <w:pPr>
        <w:spacing w:after="120"/>
      </w:pPr>
      <w:r>
        <w:t xml:space="preserve">We propose batching focus orders into smaller, near-independent sub-problems by candidate-DC overlap, so orders that cannot plausibly compete for the same DC are solved separately. This turns one 2,872-variable problem into several hundred-variable problems — comfortably ILP-solvable, and small enough that even real QAOA becomes plausible on a handful of orders at a time. The trade-off: batch boundaries must be chosen conservatively, or paired with a second pass to catch missed cross-batch reassignment opportunities.</w:t>
      </w:r>
    </w:p>
    <w:p>
      <w:pPr>
        <w:pStyle w:val="Heading1"/>
        <w:spacing w:after="120" w:before="280"/>
      </w:pPr>
      <w:r>
        <w:rPr>
          <w:b/>
          <w:bCs/>
          <w:color w:val="1F4E79"/>
        </w:rPr>
        <w:t xml:space="preserve">7. Conclusion and Limitations</w:t>
      </w:r>
    </w:p>
    <w:p>
      <w:pPr>
        <w:spacing w:after="120"/>
      </w:pPr>
      <w:r>
        <w:t xml:space="preserve">On real Nestlé data, exact optimization (ILP) and classical local-search-based quantum-inspired methods (Steepest Descent) both substantially outperform naive default assignment, with Steepest Descent reaching 99.2% of optimal quality near-instantly. Real gate-based QAOA, while successfully implemented and run, is not yet competitive at any scale we could test, which is itself an honest and useful finding rather than a shortcoming of the approach.</w:t>
      </w:r>
    </w:p>
    <w:p>
      <w:pPr>
        <w:pStyle w:val="Heading2"/>
        <w:spacing w:after="100" w:before="200"/>
      </w:pPr>
      <w:r>
        <w:rPr>
          <w:b/>
          <w:bCs/>
        </w:rPr>
        <w:t xml:space="preserve">Key limitations</w:t>
      </w:r>
    </w:p>
    <w:p>
      <w:pPr>
        <w:pStyle w:val="ListParagraph"/>
        <w:numPr>
          <w:ilvl w:val="0"/>
          <w:numId w:val="2"/>
        </w:numPr>
        <w:spacing w:after="60"/>
      </w:pPr>
      <w:r>
        <w:t xml:space="preserve">Analysis restricted to single-SKU focus orders (93 of 359 real focus orders) for tractability; multi-SKU orders need the fuller Cases_osdp model.</w:t>
      </w:r>
    </w:p>
    <w:p>
      <w:pPr>
        <w:pStyle w:val="ListParagraph"/>
        <w:numPr>
          <w:ilvl w:val="0"/>
          <w:numId w:val="2"/>
        </w:numPr>
        <w:spacing w:after="60"/>
      </w:pPr>
      <w:r>
        <w:t xml:space="preserve">The 5% divert-improvement threshold and two-tier penalty logic from Nestlé's original model are approximated, not exactly reproduced.</w:t>
      </w:r>
    </w:p>
    <w:p>
      <w:pPr>
        <w:pStyle w:val="ListParagraph"/>
        <w:numPr>
          <w:ilvl w:val="0"/>
          <w:numId w:val="2"/>
        </w:numPr>
        <w:spacing w:after="60"/>
      </w:pPr>
      <w:r>
        <w:t xml:space="preserve">Throughput/dock/case-pick/pallet-pick capacity is approximated by a single order-count proxy rather than modeled separately.</w:t>
      </w:r>
    </w:p>
    <w:p>
      <w:pPr>
        <w:pStyle w:val="ListParagraph"/>
        <w:numPr>
          <w:ilvl w:val="0"/>
          <w:numId w:val="2"/>
        </w:numPr>
        <w:spacing w:after="60"/>
      </w:pPr>
      <w:r>
        <w:t xml:space="preserve">QUBO constraint penalties use a one-sided approximation for capacity &gt;1 group sizes above capacity — exact for cap=1, approximate otherwise.</w:t>
      </w:r>
    </w:p>
    <w:p>
      <w:pPr>
        <w:pStyle w:val="Heading2"/>
        <w:spacing w:after="100" w:before="200"/>
      </w:pPr>
      <w:r>
        <w:rPr>
          <w:b/>
          <w:bCs/>
        </w:rPr>
        <w:t xml:space="preserve">Tools used</w:t>
      </w:r>
    </w:p>
    <w:p>
      <w:pPr>
        <w:spacing w:after="120"/>
      </w:pPr>
      <w:r>
        <w:t xml:space="preserve">Python, pandas, PuLP (CBC solver), dimod, dwave-samplers (Simulated Annealing, Tabu, Steepest Descent, Path-Integral QMC), qiskit + qiskit-aer (hand-built QAOA circuit, since qiskit-algorithms 0.4.0 was incompatible with the installed qiskit 2.x primitives interface).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2026-07-28T02:57:30.531Z</dcterms:created>
  <dcterms:modified xsi:type="dcterms:W3CDTF">2026-07-28T02:57:30.531Z</dcterms:modified>
</cp:coreProperties>
</file>

<file path=docProps/custom.xml><?xml version="1.0" encoding="utf-8"?>
<Properties xmlns="http://schemas.openxmlformats.org/officeDocument/2006/custom-properties" xmlns:vt="http://schemas.openxmlformats.org/officeDocument/2006/docPropsVTypes"/>
</file>