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176212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62125" cy="533400"/>
                    </a:xfrm>
                    <a:prstGeom prst="rect">
                      <a:avLst/>
                    </a:prstGeom>
                  </pic:spPr>
                </pic:pic>
              </a:graphicData>
            </a:graphic>
          </wp:inline>
        </w:drawing>
      </w:r>
    </w:p>
    <w:p>
      <w:pPr>
        <w:spacing w:after="40"/>
      </w:pPr>
      <w:r>
        <w:rPr>
          <w:rFonts w:ascii="Sarabun" w:cs="Sarabun" w:eastAsia="Sarabun" w:hAnsi="Sarabun"/>
          <w:b/>
          <w:bCs/>
          <w:color w:val="D1108A"/>
          <w:sz w:val="19"/>
          <w:szCs w:val="19"/>
        </w:rPr>
        <w:t xml:space="preserve">▲  AMS-WELD-001 · บทที่ 4 / CHAPTER 4 · เอกสารบทเรียน LESSON</w:t>
      </w:r>
    </w:p>
    <w:p>
      <w:pPr>
        <w:spacing w:after="30"/>
      </w:pPr>
      <w:r>
        <w:rPr>
          <w:rFonts w:ascii="Sarabun" w:cs="Sarabun" w:eastAsia="Sarabun" w:hAnsi="Sarabun"/>
          <w:b/>
          <w:bCs/>
          <w:color w:val="16243D"/>
          <w:sz w:val="38"/>
          <w:szCs w:val="38"/>
        </w:rPr>
        <w:t xml:space="preserve">เครื่องมือวัดและการเตรียมรอยต่อ</w:t>
      </w:r>
    </w:p>
    <w:p>
      <w:pPr>
        <w:pBdr>
          <w:bottom w:val="single" w:color="0E5FA8" w:sz="28" w:space="6"/>
        </w:pBdr>
        <w:spacing w:after="80"/>
      </w:pPr>
      <w:r>
        <w:rPr>
          <w:rFonts w:ascii="Sarabun" w:cs="Sarabun" w:eastAsia="Sarabun" w:hAnsi="Sarabun"/>
          <w:b/>
          <w:bCs/>
          <w:color w:val="5C6B7C"/>
          <w:sz w:val="23"/>
          <w:szCs w:val="23"/>
        </w:rPr>
        <w:t xml:space="preserve">Measuring Tools &amp; Joint Preparation</w:t>
      </w:r>
    </w:p>
    <w:p>
      <w:pPr>
        <w:spacing w:after="160"/>
      </w:pPr>
      <w:r>
        <w:rPr>
          <w:rFonts w:ascii="Sarabun" w:cs="Sarabun" w:eastAsia="Sarabun" w:hAnsi="Sarabun"/>
          <w:color w:val="5C6B7C"/>
          <w:sz w:val="18"/>
          <w:szCs w:val="18"/>
        </w:rPr>
        <w:t xml:space="preserve">ระยะเวลา 1.0 ชั่วโมง · รูปแบบ e-Learning · เกณฑ์ผ่านจุดตรวจสอบ ≥ 70%</w:t>
      </w:r>
      <w:r>
        <w:rPr>
          <w:rFonts w:ascii="Sarabun" w:cs="Sarabun" w:eastAsia="Sarabun" w:hAnsi="Sarabun"/>
          <w:color w:val="5C6B7C"/>
          <w:sz w:val="15"/>
          <w:szCs w:val="15"/>
        </w:rPr>
        <w:br/>
        <w:t xml:space="preserve">Duration 1.0 hour · e-Learning · checkpoint pass ≥ 70%</w:t>
      </w:r>
    </w:p>
    <w:p>
      <w:pPr>
        <w:pStyle w:val="Heading1"/>
      </w:pPr>
      <w:r>
        <w:rPr>
          <w:rFonts w:ascii="Sarabun" w:cs="Sarabun" w:eastAsia="Sarabun" w:hAnsi="Sarabun"/>
          <w:b/>
          <w:bCs/>
          <w:color w:val="D1108A"/>
          <w:sz w:val="28"/>
          <w:szCs w:val="28"/>
        </w:rPr>
        <w:t xml:space="preserve">4.0  </w:t>
      </w:r>
      <w:r>
        <w:rPr>
          <w:rFonts w:ascii="Sarabun" w:cs="Sarabun" w:eastAsia="Sarabun" w:hAnsi="Sarabun"/>
          <w:b/>
          <w:bCs/>
          <w:color w:val="16243D"/>
          <w:sz w:val="28"/>
          <w:szCs w:val="28"/>
        </w:rPr>
        <w:t xml:space="preserve">ภาพรวมบทเรียน</w:t>
      </w:r>
      <w:r>
        <w:rPr>
          <w:rFonts w:ascii="Sarabun" w:cs="Sarabun" w:eastAsia="Sarabun" w:hAnsi="Sarabun"/>
          <w:b/>
          <w:bCs/>
          <w:color w:val="5C6B7C"/>
          <w:sz w:val="19"/>
          <w:szCs w:val="19"/>
        </w:rPr>
        <w:t xml:space="preserve">   Lesson overview</w:t>
      </w:r>
    </w:p>
    <w:p>
      <w:pPr>
        <w:spacing w:after="80"/>
      </w:pPr>
      <w:r>
        <w:rPr>
          <w:rFonts w:ascii="Sarabun" w:cs="Sarabun" w:eastAsia="Sarabun" w:hAnsi="Sarabun"/>
        </w:rPr>
        <w:t xml:space="preserve">งานเชื่อมที่ดีต้องวัดแม่นและเตรียมรอยต่อให้ถูกต้อง บทนี้อธิบายเครื่องมือวัดและการขีดชิ้นงาน การอ่านเวอร์เนีย การทำความสะอาดผิว การเตรียมรอยต่อแบบบากร่อง และการประกอบจัดแนว เมื่อจบบทนี้ผู้เรียนจะสามารถ</w:t>
      </w:r>
      <w:r>
        <w:rPr>
          <w:rFonts w:ascii="Sarabun" w:cs="Sarabun" w:eastAsia="Sarabun" w:hAnsi="Sarabun"/>
          <w:color w:val="5C6B7C"/>
          <w:sz w:val="18"/>
          <w:szCs w:val="18"/>
        </w:rPr>
        <w:br/>
        <w:t xml:space="preserve">Good welding needs accurate measuring and correct joint preparation. This chapter covers measuring/marking tools, reading a vernier, surface cleaning, groove preparation and fit-up. On completion you will be able to:</w:t>
      </w:r>
    </w:p>
    <w:p>
      <w:pPr>
        <w:pStyle w:val="ListParagraph"/>
        <w:numPr>
          <w:ilvl w:val="0"/>
          <w:numId w:val="2"/>
        </w:numPr>
        <w:spacing w:after="30"/>
      </w:pPr>
      <w:r>
        <w:rPr>
          <w:rFonts w:ascii="Sarabun" w:cs="Sarabun" w:eastAsia="Sarabun" w:hAnsi="Sarabun"/>
          <w:b/>
          <w:bCs/>
        </w:rPr>
        <w:t xml:space="preserve">เลือกใช้เครื่องมือวัดให้เหมาะกับงานและอ่านค่าได้ถูกต้อง</w:t>
      </w:r>
      <w:r>
        <w:rPr>
          <w:rFonts w:ascii="Sarabun" w:cs="Sarabun" w:eastAsia="Sarabun" w:hAnsi="Sarabun"/>
          <w:color w:val="5C6B7C"/>
          <w:sz w:val="18"/>
          <w:szCs w:val="18"/>
        </w:rPr>
        <w:br/>
        <w:t xml:space="preserve">Choose the right measuring tool and read it correctly</w:t>
      </w:r>
    </w:p>
    <w:p>
      <w:pPr>
        <w:pStyle w:val="ListParagraph"/>
        <w:numPr>
          <w:ilvl w:val="0"/>
          <w:numId w:val="2"/>
        </w:numPr>
        <w:spacing w:after="30"/>
      </w:pPr>
      <w:r>
        <w:rPr>
          <w:rFonts w:ascii="Sarabun" w:cs="Sarabun" w:eastAsia="Sarabun" w:hAnsi="Sarabun"/>
          <w:b/>
          <w:bCs/>
        </w:rPr>
        <w:t xml:space="preserve">อ่านค่าจากเวอร์เนียคาลิปเปอร์</w:t>
      </w:r>
      <w:r>
        <w:rPr>
          <w:rFonts w:ascii="Sarabun" w:cs="Sarabun" w:eastAsia="Sarabun" w:hAnsi="Sarabun"/>
          <w:color w:val="5C6B7C"/>
          <w:sz w:val="18"/>
          <w:szCs w:val="18"/>
        </w:rPr>
        <w:br/>
        <w:t xml:space="preserve">Read a vernier caliper</w:t>
      </w:r>
    </w:p>
    <w:p>
      <w:pPr>
        <w:pStyle w:val="ListParagraph"/>
        <w:numPr>
          <w:ilvl w:val="0"/>
          <w:numId w:val="2"/>
        </w:numPr>
        <w:spacing w:after="30"/>
      </w:pPr>
      <w:r>
        <w:rPr>
          <w:rFonts w:ascii="Sarabun" w:cs="Sarabun" w:eastAsia="Sarabun" w:hAnsi="Sarabun"/>
          <w:b/>
          <w:bCs/>
        </w:rPr>
        <w:t xml:space="preserve">เตรียมและทำความสะอาดรอยต่อ พร้อมเข้าใจศัพท์การบากร่อง</w:t>
      </w:r>
      <w:r>
        <w:rPr>
          <w:rFonts w:ascii="Sarabun" w:cs="Sarabun" w:eastAsia="Sarabun" w:hAnsi="Sarabun"/>
          <w:color w:val="5C6B7C"/>
          <w:sz w:val="18"/>
          <w:szCs w:val="18"/>
        </w:rPr>
        <w:br/>
        <w:t xml:space="preserve">Clean and prepare joints, and understand groove terms</w:t>
      </w:r>
    </w:p>
    <w:p>
      <w:pPr>
        <w:pStyle w:val="ListParagraph"/>
        <w:numPr>
          <w:ilvl w:val="0"/>
          <w:numId w:val="2"/>
        </w:numPr>
        <w:spacing w:after="30"/>
      </w:pPr>
      <w:r>
        <w:rPr>
          <w:rFonts w:ascii="Sarabun" w:cs="Sarabun" w:eastAsia="Sarabun" w:hAnsi="Sarabun"/>
          <w:b/>
          <w:bCs/>
        </w:rPr>
        <w:t xml:space="preserve">ประกอบและจัดแนวชิ้นงาน พร้อมยึดด้วยรอยเชื่อมยึด</w:t>
      </w:r>
      <w:r>
        <w:rPr>
          <w:rFonts w:ascii="Sarabun" w:cs="Sarabun" w:eastAsia="Sarabun" w:hAnsi="Sarabun"/>
          <w:color w:val="5C6B7C"/>
          <w:sz w:val="18"/>
          <w:szCs w:val="18"/>
        </w:rPr>
        <w:br/>
        <w:t xml:space="preserve">Fit up, align and tack the workpieces</w:t>
      </w:r>
    </w:p>
    <w:p>
      <w:pPr>
        <w:spacing w:before="60"/>
      </w:pPr>
      <w:r>
        <w:rPr>
          <w:rFonts w:ascii="Sarabun" w:cs="Sarabun" w:eastAsia="Sarabun" w:hAnsi="Sarabun"/>
          <w:sz w:val="18"/>
          <w:szCs w:val="18"/>
        </w:rPr>
        <w:t xml:space="preserve">ลำดับการเรียน: ดูวิดีโอช่วงสั้น ➜ ทำกิจกรรมจับคู่ (เกมฝึก) ➜ ทำแบบทดสอบจุดตรวจสอบให้ผ่าน ≥ 70% จึงจะปลดบทถัดไป</w:t>
      </w:r>
      <w:r>
        <w:rPr>
          <w:rFonts w:ascii="Sarabun" w:cs="Sarabun" w:eastAsia="Sarabun" w:hAnsi="Sarabun"/>
          <w:color w:val="5C6B7C"/>
          <w:sz w:val="15"/>
          <w:szCs w:val="15"/>
        </w:rPr>
        <w:br/>
        <w:t xml:space="preserve">Flow: short video ➜ matching activity ➜ checkpoint test, pass ≥ 70% to unlock the next chapter.</w:t>
      </w:r>
    </w:p>
    <w:p>
      <w:pPr>
        <w:pStyle w:val="Heading1"/>
      </w:pPr>
      <w:r>
        <w:rPr>
          <w:rFonts w:ascii="Sarabun" w:cs="Sarabun" w:eastAsia="Sarabun" w:hAnsi="Sarabun"/>
          <w:b/>
          <w:bCs/>
          <w:color w:val="D1108A"/>
          <w:sz w:val="28"/>
          <w:szCs w:val="28"/>
        </w:rPr>
        <w:t xml:space="preserve">4.1  </w:t>
      </w:r>
      <w:r>
        <w:rPr>
          <w:rFonts w:ascii="Sarabun" w:cs="Sarabun" w:eastAsia="Sarabun" w:hAnsi="Sarabun"/>
          <w:b/>
          <w:bCs/>
          <w:color w:val="16243D"/>
          <w:sz w:val="28"/>
          <w:szCs w:val="28"/>
        </w:rPr>
        <w:t xml:space="preserve">เครื่องมือวัดและการขีดชิ้นงาน</w:t>
      </w:r>
      <w:r>
        <w:rPr>
          <w:rFonts w:ascii="Sarabun" w:cs="Sarabun" w:eastAsia="Sarabun" w:hAnsi="Sarabun"/>
          <w:b/>
          <w:bCs/>
          <w:color w:val="5C6B7C"/>
          <w:sz w:val="19"/>
          <w:szCs w:val="19"/>
        </w:rPr>
        <w:t xml:space="preserve">   Measuring &amp; marking tools</w:t>
      </w:r>
    </w:p>
    <w:p>
      <w:pPr>
        <w:spacing w:after="80"/>
      </w:pPr>
      <w:r>
        <w:rPr>
          <w:rFonts w:ascii="Sarabun" w:cs="Sarabun" w:eastAsia="Sarabun" w:hAnsi="Sarabun"/>
        </w:rPr>
        <w:t xml:space="preserve">ก่อนและระหว่างการเชื่อม ช่างต้องวัดและขีดชิ้นงานให้แม่นยำ เครื่องมือพื้นฐานได้แก่ ตลับเมตรสำหรับระยะยาว เวอร์เนียคาลิปเปอร์สำหรับขนาดละเอียด ฉากเหล็กตรวจมุมฉาก เกจวัดมุม/บีเวลเกจสำหรับมุมบาก เกจวัดแนวเชื่อมสำหรับขนาดรอยเชื่อม และฟีลเลอร์เกจสำหรับวัดช่องว่าง</w:t>
      </w:r>
      <w:r>
        <w:rPr>
          <w:rFonts w:ascii="Sarabun" w:cs="Sarabun" w:eastAsia="Sarabun" w:hAnsi="Sarabun"/>
          <w:color w:val="5C6B7C"/>
          <w:sz w:val="18"/>
          <w:szCs w:val="18"/>
        </w:rPr>
        <w:br/>
        <w:t xml:space="preserve">Before and during welding you must measure and mark accurately. Basic tools: a tape measure for long distances, a vernier caliper for precise sizes, a steel square to check right angles, a protractor/bevel gauge for bevel angles, a weld gauge for weld size, and a feeler gauge for gaps.</w:t>
      </w:r>
    </w:p>
    <w:p>
      <w:pPr>
        <w:spacing w:after="20" w:before="60"/>
        <w:jc w:val="center"/>
      </w:pPr>
      <w:r>
        <w:drawing>
          <wp:inline distT="0" distB="0" distL="0" distR="0">
            <wp:extent cx="5334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85975"/>
                    </a:xfrm>
                    <a:prstGeom prst="rect">
                      <a:avLst/>
                    </a:prstGeom>
                  </pic:spPr>
                </pic:pic>
              </a:graphicData>
            </a:graphic>
          </wp:inline>
        </w:drawing>
      </w:r>
    </w:p>
    <w:p>
      <w:pPr>
        <w:spacing w:after="120"/>
        <w:jc w:val="center"/>
      </w:pPr>
      <w:r>
        <w:rPr>
          <w:rFonts w:ascii="Sarabun" w:cs="Sarabun" w:eastAsia="Sarabun" w:hAnsi="Sarabun"/>
          <w:i/>
          <w:iCs/>
          <w:color w:val="5C6B7C"/>
          <w:sz w:val="16"/>
          <w:szCs w:val="16"/>
        </w:rPr>
        <w:t xml:space="preserve">รูปที่ 4.1 · เครื่องมือวัดและขีดชิ้นงาน</w:t>
      </w:r>
      <w:r>
        <w:rPr>
          <w:rFonts w:ascii="Sarabun" w:cs="Sarabun" w:eastAsia="Sarabun" w:hAnsi="Sarabun"/>
          <w:i/>
          <w:iCs/>
          <w:color w:val="5C6B7C"/>
          <w:sz w:val="15"/>
          <w:szCs w:val="15"/>
        </w:rPr>
        <w:t xml:space="preserve">  ·  Figure 4.1 · Measuring &amp; marking tools</w:t>
      </w:r>
    </w:p>
    <w:tbl>
      <w:tblPr>
        <w:tblW w:type="dxa" w:w="9026"/>
        <w:tblBorders>
          <w:top w:val="single" w:color="E2E7EE" w:sz="4"/>
          <w:left w:val="single" w:color="E2E7EE" w:sz="4"/>
          <w:bottom w:val="single" w:color="E2E7EE" w:sz="4"/>
          <w:right w:val="single" w:color="E2E7EE" w:sz="4"/>
          <w:insideH w:val="single" w:color="E2E7EE" w:sz="4"/>
          <w:insideV w:val="single" w:color="E2E7EE" w:sz="4"/>
        </w:tblBorders>
      </w:tblPr>
      <w:tblGrid>
        <w:gridCol w:w="3500"/>
        <w:gridCol w:w="5526"/>
      </w:tblGrid>
      <w:tr>
        <w:trPr>
          <w:tblHeader/>
        </w:trPr>
        <w:tc>
          <w:tcPr>
            <w:tcW w:type="dxa" w:w="3500"/>
            <w:shd w:fill="16243D" w:val="clear"/>
            <w:tcMar>
              <w:top w:type="dxa" w:w="70"/>
              <w:left w:type="dxa" w:w="110"/>
              <w:bottom w:type="dxa" w:w="70"/>
              <w:right w:type="dxa" w:w="110"/>
            </w:tcMar>
          </w:tcPr>
          <w:p>
            <w:r>
              <w:rPr>
                <w:rFonts w:ascii="Sarabun" w:cs="Sarabun" w:eastAsia="Sarabun" w:hAnsi="Sarabun"/>
                <w:b/>
                <w:bCs/>
                <w:color w:val="FFFFFF"/>
                <w:sz w:val="18"/>
                <w:szCs w:val="18"/>
              </w:rPr>
              <w:t xml:space="preserve">เครื่องมือ / Tool</w:t>
            </w:r>
          </w:p>
        </w:tc>
        <w:tc>
          <w:tcPr>
            <w:tcW w:type="dxa" w:w="5526"/>
            <w:shd w:fill="16243D" w:val="clear"/>
            <w:tcMar>
              <w:top w:type="dxa" w:w="70"/>
              <w:left w:type="dxa" w:w="110"/>
              <w:bottom w:type="dxa" w:w="70"/>
              <w:right w:type="dxa" w:w="110"/>
            </w:tcMar>
          </w:tcPr>
          <w:p>
            <w:r>
              <w:rPr>
                <w:rFonts w:ascii="Sarabun" w:cs="Sarabun" w:eastAsia="Sarabun" w:hAnsi="Sarabun"/>
                <w:b/>
                <w:bCs/>
                <w:color w:val="FFFFFF"/>
                <w:sz w:val="18"/>
                <w:szCs w:val="18"/>
              </w:rPr>
              <w:t xml:space="preserve">ใช้วัดอะไร / What it measures</w:t>
            </w:r>
          </w:p>
        </w:tc>
      </w:tr>
      <w:tr>
        <w:tc>
          <w:tcPr>
            <w:tcW w:type="dxa" w:w="3500"/>
            <w:shd w:fill="F4F6F9" w:val="clear"/>
            <w:tcMar>
              <w:top w:type="dxa" w:w="70"/>
              <w:left w:type="dxa" w:w="110"/>
              <w:bottom w:type="dxa" w:w="70"/>
              <w:right w:type="dxa" w:w="110"/>
            </w:tcMar>
            <w:vAlign w:val="center"/>
          </w:tcPr>
          <w:p>
            <w:r>
              <w:rPr>
                <w:rFonts w:ascii="Sarabun" w:cs="Sarabun" w:eastAsia="Sarabun" w:hAnsi="Sarabun"/>
                <w:b/>
                <w:bCs/>
                <w:sz w:val="19"/>
                <w:szCs w:val="19"/>
              </w:rPr>
              <w:t xml:space="preserve">ตลับเมตร</w:t>
            </w:r>
            <w:r>
              <w:rPr>
                <w:rFonts w:ascii="Sarabun" w:cs="Sarabun" w:eastAsia="Sarabun" w:hAnsi="Sarabun"/>
                <w:color w:val="5C6B7C"/>
                <w:sz w:val="16"/>
                <w:szCs w:val="16"/>
              </w:rPr>
              <w:br/>
              <w:t xml:space="preserve">Tape measure</w:t>
            </w:r>
          </w:p>
        </w:tc>
        <w:tc>
          <w:tcPr>
            <w:tcW w:type="dxa" w:w="5526"/>
            <w:shd w:fill="F4F6F9" w:val="clear"/>
            <w:tcMar>
              <w:top w:type="dxa" w:w="70"/>
              <w:left w:type="dxa" w:w="110"/>
              <w:bottom w:type="dxa" w:w="70"/>
              <w:right w:type="dxa" w:w="110"/>
            </w:tcMar>
            <w:vAlign w:val="center"/>
          </w:tcPr>
          <w:p>
            <w:r>
              <w:rPr>
                <w:rFonts w:ascii="Sarabun" w:cs="Sarabun" w:eastAsia="Sarabun" w:hAnsi="Sarabun"/>
                <w:sz w:val="19"/>
                <w:szCs w:val="19"/>
              </w:rPr>
              <w:t xml:space="preserve">วัดระยะยาวและความยาวชิ้นงาน</w:t>
            </w:r>
          </w:p>
        </w:tc>
      </w:tr>
      <w:tr>
        <w:tc>
          <w:tcPr>
            <w:tcW w:type="dxa" w:w="3500"/>
            <w:tcMar>
              <w:top w:type="dxa" w:w="70"/>
              <w:left w:type="dxa" w:w="110"/>
              <w:bottom w:type="dxa" w:w="70"/>
              <w:right w:type="dxa" w:w="110"/>
            </w:tcMar>
            <w:vAlign w:val="center"/>
          </w:tcPr>
          <w:p>
            <w:r>
              <w:rPr>
                <w:rFonts w:ascii="Sarabun" w:cs="Sarabun" w:eastAsia="Sarabun" w:hAnsi="Sarabun"/>
                <w:b/>
                <w:bCs/>
                <w:sz w:val="19"/>
                <w:szCs w:val="19"/>
              </w:rPr>
              <w:t xml:space="preserve">เวอร์เนียคาลิปเปอร์</w:t>
            </w:r>
            <w:r>
              <w:rPr>
                <w:rFonts w:ascii="Sarabun" w:cs="Sarabun" w:eastAsia="Sarabun" w:hAnsi="Sarabun"/>
                <w:color w:val="5C6B7C"/>
                <w:sz w:val="16"/>
                <w:szCs w:val="16"/>
              </w:rPr>
              <w:br/>
              <w:t xml:space="preserve">Vernier caliper</w:t>
            </w:r>
          </w:p>
        </w:tc>
        <w:tc>
          <w:tcPr>
            <w:tcW w:type="dxa" w:w="5526"/>
            <w:tcMar>
              <w:top w:type="dxa" w:w="70"/>
              <w:left w:type="dxa" w:w="110"/>
              <w:bottom w:type="dxa" w:w="70"/>
              <w:right w:type="dxa" w:w="110"/>
            </w:tcMar>
            <w:vAlign w:val="center"/>
          </w:tcPr>
          <w:p>
            <w:r>
              <w:rPr>
                <w:rFonts w:ascii="Sarabun" w:cs="Sarabun" w:eastAsia="Sarabun" w:hAnsi="Sarabun"/>
                <w:sz w:val="19"/>
                <w:szCs w:val="19"/>
              </w:rPr>
              <w:t xml:space="preserve">วัดขนาดละเอียด (นอก/ใน/ลึก) ถึง 0.02–0.05 มม.</w:t>
            </w:r>
          </w:p>
        </w:tc>
      </w:tr>
      <w:tr>
        <w:tc>
          <w:tcPr>
            <w:tcW w:type="dxa" w:w="3500"/>
            <w:shd w:fill="F4F6F9" w:val="clear"/>
            <w:tcMar>
              <w:top w:type="dxa" w:w="70"/>
              <w:left w:type="dxa" w:w="110"/>
              <w:bottom w:type="dxa" w:w="70"/>
              <w:right w:type="dxa" w:w="110"/>
            </w:tcMar>
            <w:vAlign w:val="center"/>
          </w:tcPr>
          <w:p>
            <w:r>
              <w:rPr>
                <w:rFonts w:ascii="Sarabun" w:cs="Sarabun" w:eastAsia="Sarabun" w:hAnsi="Sarabun"/>
                <w:b/>
                <w:bCs/>
                <w:sz w:val="19"/>
                <w:szCs w:val="19"/>
              </w:rPr>
              <w:t xml:space="preserve">ฉากเหล็ก (ฉากตาย)</w:t>
            </w:r>
            <w:r>
              <w:rPr>
                <w:rFonts w:ascii="Sarabun" w:cs="Sarabun" w:eastAsia="Sarabun" w:hAnsi="Sarabun"/>
                <w:color w:val="5C6B7C"/>
                <w:sz w:val="16"/>
                <w:szCs w:val="16"/>
              </w:rPr>
              <w:br/>
              <w:t xml:space="preserve">Steel / try square</w:t>
            </w:r>
          </w:p>
        </w:tc>
        <w:tc>
          <w:tcPr>
            <w:tcW w:type="dxa" w:w="5526"/>
            <w:shd w:fill="F4F6F9" w:val="clear"/>
            <w:tcMar>
              <w:top w:type="dxa" w:w="70"/>
              <w:left w:type="dxa" w:w="110"/>
              <w:bottom w:type="dxa" w:w="70"/>
              <w:right w:type="dxa" w:w="110"/>
            </w:tcMar>
            <w:vAlign w:val="center"/>
          </w:tcPr>
          <w:p>
            <w:r>
              <w:rPr>
                <w:rFonts w:ascii="Sarabun" w:cs="Sarabun" w:eastAsia="Sarabun" w:hAnsi="Sarabun"/>
                <w:sz w:val="19"/>
                <w:szCs w:val="19"/>
              </w:rPr>
              <w:t xml:space="preserve">ตรวจและตั้งมุมฉาก 90°</w:t>
            </w:r>
          </w:p>
        </w:tc>
      </w:tr>
      <w:tr>
        <w:tc>
          <w:tcPr>
            <w:tcW w:type="dxa" w:w="3500"/>
            <w:tcMar>
              <w:top w:type="dxa" w:w="70"/>
              <w:left w:type="dxa" w:w="110"/>
              <w:bottom w:type="dxa" w:w="70"/>
              <w:right w:type="dxa" w:w="110"/>
            </w:tcMar>
            <w:vAlign w:val="center"/>
          </w:tcPr>
          <w:p>
            <w:r>
              <w:rPr>
                <w:rFonts w:ascii="Sarabun" w:cs="Sarabun" w:eastAsia="Sarabun" w:hAnsi="Sarabun"/>
                <w:b/>
                <w:bCs/>
                <w:sz w:val="19"/>
                <w:szCs w:val="19"/>
              </w:rPr>
              <w:t xml:space="preserve">เกจวัดมุม / บีเวลเกจ</w:t>
            </w:r>
            <w:r>
              <w:rPr>
                <w:rFonts w:ascii="Sarabun" w:cs="Sarabun" w:eastAsia="Sarabun" w:hAnsi="Sarabun"/>
                <w:color w:val="5C6B7C"/>
                <w:sz w:val="16"/>
                <w:szCs w:val="16"/>
              </w:rPr>
              <w:br/>
              <w:t xml:space="preserve">Protractor / bevel gauge</w:t>
            </w:r>
          </w:p>
        </w:tc>
        <w:tc>
          <w:tcPr>
            <w:tcW w:type="dxa" w:w="5526"/>
            <w:tcMar>
              <w:top w:type="dxa" w:w="70"/>
              <w:left w:type="dxa" w:w="110"/>
              <w:bottom w:type="dxa" w:w="70"/>
              <w:right w:type="dxa" w:w="110"/>
            </w:tcMar>
            <w:vAlign w:val="center"/>
          </w:tcPr>
          <w:p>
            <w:r>
              <w:rPr>
                <w:rFonts w:ascii="Sarabun" w:cs="Sarabun" w:eastAsia="Sarabun" w:hAnsi="Sarabun"/>
                <w:sz w:val="19"/>
                <w:szCs w:val="19"/>
              </w:rPr>
              <w:t xml:space="preserve">วัดและตั้งมุมบาก</w:t>
            </w:r>
          </w:p>
        </w:tc>
      </w:tr>
      <w:tr>
        <w:tc>
          <w:tcPr>
            <w:tcW w:type="dxa" w:w="3500"/>
            <w:shd w:fill="F4F6F9" w:val="clear"/>
            <w:tcMar>
              <w:top w:type="dxa" w:w="70"/>
              <w:left w:type="dxa" w:w="110"/>
              <w:bottom w:type="dxa" w:w="70"/>
              <w:right w:type="dxa" w:w="110"/>
            </w:tcMar>
            <w:vAlign w:val="center"/>
          </w:tcPr>
          <w:p>
            <w:r>
              <w:rPr>
                <w:rFonts w:ascii="Sarabun" w:cs="Sarabun" w:eastAsia="Sarabun" w:hAnsi="Sarabun"/>
                <w:b/>
                <w:bCs/>
                <w:sz w:val="19"/>
                <w:szCs w:val="19"/>
              </w:rPr>
              <w:t xml:space="preserve">เกจวัดแนวเชื่อม</w:t>
            </w:r>
            <w:r>
              <w:rPr>
                <w:rFonts w:ascii="Sarabun" w:cs="Sarabun" w:eastAsia="Sarabun" w:hAnsi="Sarabun"/>
                <w:color w:val="5C6B7C"/>
                <w:sz w:val="16"/>
                <w:szCs w:val="16"/>
              </w:rPr>
              <w:br/>
              <w:t xml:space="preserve">Weld (fillet) gauge</w:t>
            </w:r>
          </w:p>
        </w:tc>
        <w:tc>
          <w:tcPr>
            <w:tcW w:type="dxa" w:w="5526"/>
            <w:shd w:fill="F4F6F9" w:val="clear"/>
            <w:tcMar>
              <w:top w:type="dxa" w:w="70"/>
              <w:left w:type="dxa" w:w="110"/>
              <w:bottom w:type="dxa" w:w="70"/>
              <w:right w:type="dxa" w:w="110"/>
            </w:tcMar>
            <w:vAlign w:val="center"/>
          </w:tcPr>
          <w:p>
            <w:r>
              <w:rPr>
                <w:rFonts w:ascii="Sarabun" w:cs="Sarabun" w:eastAsia="Sarabun" w:hAnsi="Sarabun"/>
                <w:sz w:val="19"/>
                <w:szCs w:val="19"/>
              </w:rPr>
              <w:t xml:space="preserve">วัดขนาดขาและคอของรอยเชื่อม</w:t>
            </w:r>
          </w:p>
        </w:tc>
      </w:tr>
      <w:tr>
        <w:tc>
          <w:tcPr>
            <w:tcW w:type="dxa" w:w="3500"/>
            <w:tcMar>
              <w:top w:type="dxa" w:w="70"/>
              <w:left w:type="dxa" w:w="110"/>
              <w:bottom w:type="dxa" w:w="70"/>
              <w:right w:type="dxa" w:w="110"/>
            </w:tcMar>
            <w:vAlign w:val="center"/>
          </w:tcPr>
          <w:p>
            <w:r>
              <w:rPr>
                <w:rFonts w:ascii="Sarabun" w:cs="Sarabun" w:eastAsia="Sarabun" w:hAnsi="Sarabun"/>
                <w:b/>
                <w:bCs/>
                <w:sz w:val="19"/>
                <w:szCs w:val="19"/>
              </w:rPr>
              <w:t xml:space="preserve">ฟีลเลอร์เกจ</w:t>
            </w:r>
            <w:r>
              <w:rPr>
                <w:rFonts w:ascii="Sarabun" w:cs="Sarabun" w:eastAsia="Sarabun" w:hAnsi="Sarabun"/>
                <w:color w:val="5C6B7C"/>
                <w:sz w:val="16"/>
                <w:szCs w:val="16"/>
              </w:rPr>
              <w:br/>
              <w:t xml:space="preserve">Feeler gauge</w:t>
            </w:r>
          </w:p>
        </w:tc>
        <w:tc>
          <w:tcPr>
            <w:tcW w:type="dxa" w:w="5526"/>
            <w:tcMar>
              <w:top w:type="dxa" w:w="70"/>
              <w:left w:type="dxa" w:w="110"/>
              <w:bottom w:type="dxa" w:w="70"/>
              <w:right w:type="dxa" w:w="110"/>
            </w:tcMar>
            <w:vAlign w:val="center"/>
          </w:tcPr>
          <w:p>
            <w:r>
              <w:rPr>
                <w:rFonts w:ascii="Sarabun" w:cs="Sarabun" w:eastAsia="Sarabun" w:hAnsi="Sarabun"/>
                <w:sz w:val="19"/>
                <w:szCs w:val="19"/>
              </w:rPr>
              <w:t xml:space="preserve">วัดช่องว่าง เช่น ระยะห่างราก</w:t>
            </w:r>
          </w:p>
        </w:tc>
      </w:tr>
    </w:tbl>
    <w:p>
      <w:pPr>
        <w:pStyle w:val="Heading1"/>
      </w:pPr>
      <w:r>
        <w:rPr>
          <w:rFonts w:ascii="Sarabun" w:cs="Sarabun" w:eastAsia="Sarabun" w:hAnsi="Sarabun"/>
          <w:b/>
          <w:bCs/>
          <w:color w:val="D1108A"/>
          <w:sz w:val="28"/>
          <w:szCs w:val="28"/>
        </w:rPr>
        <w:t xml:space="preserve">4.2  </w:t>
      </w:r>
      <w:r>
        <w:rPr>
          <w:rFonts w:ascii="Sarabun" w:cs="Sarabun" w:eastAsia="Sarabun" w:hAnsi="Sarabun"/>
          <w:b/>
          <w:bCs/>
          <w:color w:val="16243D"/>
          <w:sz w:val="28"/>
          <w:szCs w:val="28"/>
        </w:rPr>
        <w:t xml:space="preserve">การอ่านเวอร์เนียคาลิปเปอร์</w:t>
      </w:r>
      <w:r>
        <w:rPr>
          <w:rFonts w:ascii="Sarabun" w:cs="Sarabun" w:eastAsia="Sarabun" w:hAnsi="Sarabun"/>
          <w:b/>
          <w:bCs/>
          <w:color w:val="5C6B7C"/>
          <w:sz w:val="19"/>
          <w:szCs w:val="19"/>
        </w:rPr>
        <w:t xml:space="preserve">   Reading a vernier caliper</w:t>
      </w:r>
    </w:p>
    <w:p>
      <w:pPr>
        <w:spacing w:after="80"/>
      </w:pPr>
      <w:r>
        <w:rPr>
          <w:rFonts w:ascii="Sarabun" w:cs="Sarabun" w:eastAsia="Sarabun" w:hAnsi="Sarabun"/>
        </w:rPr>
        <w:t xml:space="preserve">เวอร์เนียคาลิปเปอร์วัดได้ละเอียดถึง 0.02–0.05 มม. อ่านค่าโดยดูจำนวนเต็มจากสเกลหลักที่ตำแหน่ง “0” ของเวอร์เนีย แล้วบวกด้วยขีดเวอร์เนียที่ตรงแนวกับสเกลหลักคูณความละเอียด</w:t>
      </w:r>
      <w:r>
        <w:rPr>
          <w:rFonts w:ascii="Sarabun" w:cs="Sarabun" w:eastAsia="Sarabun" w:hAnsi="Sarabun"/>
          <w:color w:val="5C6B7C"/>
          <w:sz w:val="18"/>
          <w:szCs w:val="18"/>
        </w:rPr>
        <w:br/>
        <w:t xml:space="preserve">A vernier caliper reads to 0.02–0.05 mm. Read the whole number on the main scale at the vernier “0”, then add the vernier line that aligns with the main scale, multiplied by the resolution.</w:t>
      </w:r>
    </w:p>
    <w:p>
      <w:pPr>
        <w:spacing w:after="20" w:before="60"/>
        <w:jc w:val="center"/>
      </w:pPr>
      <w:r>
        <w:drawing>
          <wp:inline distT="0" distB="0" distL="0" distR="0">
            <wp:extent cx="5334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857375"/>
                    </a:xfrm>
                    <a:prstGeom prst="rect">
                      <a:avLst/>
                    </a:prstGeom>
                  </pic:spPr>
                </pic:pic>
              </a:graphicData>
            </a:graphic>
          </wp:inline>
        </w:drawing>
      </w:r>
    </w:p>
    <w:p>
      <w:pPr>
        <w:spacing w:after="120"/>
        <w:jc w:val="center"/>
      </w:pPr>
      <w:r>
        <w:rPr>
          <w:rFonts w:ascii="Sarabun" w:cs="Sarabun" w:eastAsia="Sarabun" w:hAnsi="Sarabun"/>
          <w:i/>
          <w:iCs/>
          <w:color w:val="5C6B7C"/>
          <w:sz w:val="16"/>
          <w:szCs w:val="16"/>
        </w:rPr>
        <w:t xml:space="preserve">รูปที่ 4.2 · การอ่านเวอร์เนีย (ตัวอย่าง 24.30 มม.)</w:t>
      </w:r>
      <w:r>
        <w:rPr>
          <w:rFonts w:ascii="Sarabun" w:cs="Sarabun" w:eastAsia="Sarabun" w:hAnsi="Sarabun"/>
          <w:i/>
          <w:iCs/>
          <w:color w:val="5C6B7C"/>
          <w:sz w:val="15"/>
          <w:szCs w:val="15"/>
        </w:rPr>
        <w:t xml:space="preserve">  ·  Figure 4.2 · Reading a vernier (example 24.30 mm)</w:t>
      </w:r>
    </w:p>
    <w:p>
      <w:pPr>
        <w:pStyle w:val="Heading1"/>
      </w:pPr>
      <w:r>
        <w:rPr>
          <w:rFonts w:ascii="Sarabun" w:cs="Sarabun" w:eastAsia="Sarabun" w:hAnsi="Sarabun"/>
          <w:b/>
          <w:bCs/>
          <w:color w:val="D1108A"/>
          <w:sz w:val="28"/>
          <w:szCs w:val="28"/>
        </w:rPr>
        <w:t xml:space="preserve">4.3  </w:t>
      </w:r>
      <w:r>
        <w:rPr>
          <w:rFonts w:ascii="Sarabun" w:cs="Sarabun" w:eastAsia="Sarabun" w:hAnsi="Sarabun"/>
          <w:b/>
          <w:bCs/>
          <w:color w:val="16243D"/>
          <w:sz w:val="28"/>
          <w:szCs w:val="28"/>
        </w:rPr>
        <w:t xml:space="preserve">การทำความสะอาดผิวก่อนเชื่อม</w:t>
      </w:r>
      <w:r>
        <w:rPr>
          <w:rFonts w:ascii="Sarabun" w:cs="Sarabun" w:eastAsia="Sarabun" w:hAnsi="Sarabun"/>
          <w:b/>
          <w:bCs/>
          <w:color w:val="5C6B7C"/>
          <w:sz w:val="19"/>
          <w:szCs w:val="19"/>
        </w:rPr>
        <w:t xml:space="preserve">   Cleaning the joint</w:t>
      </w:r>
    </w:p>
    <w:p>
      <w:pPr>
        <w:spacing w:after="80"/>
      </w:pPr>
      <w:r>
        <w:rPr>
          <w:rFonts w:ascii="Sarabun" w:cs="Sarabun" w:eastAsia="Sarabun" w:hAnsi="Sarabun"/>
        </w:rPr>
        <w:t xml:space="preserve">ผิวงานต้องสะอาดก่อนเชื่อม กำจัดสนิม สี น้ำมัน จาระบี สเกล/ออกไซด์ และความชื้น เพราะสิ่งสกปรกทำให้เกิดรูพรุนและการหลอมไม่สมบูรณ์ ควรทำความสะอาดจนเห็นเนื้อโลหะ</w:t>
      </w:r>
      <w:r>
        <w:rPr>
          <w:rFonts w:ascii="Sarabun" w:cs="Sarabun" w:eastAsia="Sarabun" w:hAnsi="Sarabun"/>
          <w:color w:val="5C6B7C"/>
          <w:sz w:val="18"/>
          <w:szCs w:val="18"/>
        </w:rPr>
        <w:br/>
        <w:t xml:space="preserve">The joint must be clean before welding — remove rust, paint, oil, grease, mill scale/oxide and moisture, because contamination causes porosity and lack of fusion. Clean down to bright metal.</w:t>
      </w:r>
    </w:p>
    <w:p>
      <w:pPr>
        <w:spacing w:after="20" w:before="60"/>
        <w:jc w:val="center"/>
      </w:pPr>
      <w:r>
        <w:drawing>
          <wp:inline distT="0" distB="0" distL="0" distR="0">
            <wp:extent cx="5334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628775"/>
                    </a:xfrm>
                    <a:prstGeom prst="rect">
                      <a:avLst/>
                    </a:prstGeom>
                  </pic:spPr>
                </pic:pic>
              </a:graphicData>
            </a:graphic>
          </wp:inline>
        </w:drawing>
      </w:r>
    </w:p>
    <w:p>
      <w:pPr>
        <w:spacing w:after="120"/>
        <w:jc w:val="center"/>
      </w:pPr>
      <w:r>
        <w:rPr>
          <w:rFonts w:ascii="Sarabun" w:cs="Sarabun" w:eastAsia="Sarabun" w:hAnsi="Sarabun"/>
          <w:i/>
          <w:iCs/>
          <w:color w:val="5C6B7C"/>
          <w:sz w:val="16"/>
          <w:szCs w:val="16"/>
        </w:rPr>
        <w:t xml:space="preserve">รูปที่ 4.3 · สิ่งที่ต้องกำจัดก่อนเชื่อม</w:t>
      </w:r>
      <w:r>
        <w:rPr>
          <w:rFonts w:ascii="Sarabun" w:cs="Sarabun" w:eastAsia="Sarabun" w:hAnsi="Sarabun"/>
          <w:i/>
          <w:iCs/>
          <w:color w:val="5C6B7C"/>
          <w:sz w:val="15"/>
          <w:szCs w:val="15"/>
        </w:rPr>
        <w:t xml:space="preserve">  ·  Figure 4.3 · What to remove before welding</w:t>
      </w:r>
    </w:p>
    <w:p>
      <w:pPr>
        <w:pStyle w:val="Heading1"/>
      </w:pPr>
      <w:r>
        <w:rPr>
          <w:rFonts w:ascii="Sarabun" w:cs="Sarabun" w:eastAsia="Sarabun" w:hAnsi="Sarabun"/>
          <w:b/>
          <w:bCs/>
          <w:color w:val="D1108A"/>
          <w:sz w:val="28"/>
          <w:szCs w:val="28"/>
        </w:rPr>
        <w:t xml:space="preserve">4.4  </w:t>
      </w:r>
      <w:r>
        <w:rPr>
          <w:rFonts w:ascii="Sarabun" w:cs="Sarabun" w:eastAsia="Sarabun" w:hAnsi="Sarabun"/>
          <w:b/>
          <w:bCs/>
          <w:color w:val="16243D"/>
          <w:sz w:val="28"/>
          <w:szCs w:val="28"/>
        </w:rPr>
        <w:t xml:space="preserve">การเตรียมรอยต่อแบบบากร่อง</w:t>
      </w:r>
      <w:r>
        <w:rPr>
          <w:rFonts w:ascii="Sarabun" w:cs="Sarabun" w:eastAsia="Sarabun" w:hAnsi="Sarabun"/>
          <w:b/>
          <w:bCs/>
          <w:color w:val="5C6B7C"/>
          <w:sz w:val="19"/>
          <w:szCs w:val="19"/>
        </w:rPr>
        <w:t xml:space="preserve">   Groove joint preparation</w:t>
      </w:r>
    </w:p>
    <w:p>
      <w:pPr>
        <w:spacing w:after="80"/>
      </w:pPr>
      <w:r>
        <w:rPr>
          <w:rFonts w:ascii="Sarabun" w:cs="Sarabun" w:eastAsia="Sarabun" w:hAnsi="Sarabun"/>
        </w:rPr>
        <w:t xml:space="preserve">สำหรับแผ่นหนา รอยต่อชนมักต้องบากร่อง (เช่น ตัววี) เพื่อให้เชื่อมทะลุถึงราก ศัพท์สำคัญได้แก่ มุมบาก มุมรวม หน้าราก และระยะห่างราก โดยค่าจริงให้เป็นไปตามใบกำหนดการเชื่อม (WPS) ของงานนั้น ๆ</w:t>
      </w:r>
      <w:r>
        <w:rPr>
          <w:rFonts w:ascii="Sarabun" w:cs="Sarabun" w:eastAsia="Sarabun" w:hAnsi="Sarabun"/>
          <w:color w:val="5C6B7C"/>
          <w:sz w:val="18"/>
          <w:szCs w:val="18"/>
        </w:rPr>
        <w:br/>
        <w:t xml:space="preserve">For thicker plate, butt joints are usually grooved (e.g. a V) so the weld reaches the root. Key terms: bevel angle, included angle, root face and root gap — with actual values set by the job's WPS.</w:t>
      </w:r>
    </w:p>
    <w:p>
      <w:pPr>
        <w:spacing w:after="20" w:before="60"/>
        <w:jc w:val="center"/>
      </w:pPr>
      <w:r>
        <w:drawing>
          <wp:inline distT="0" distB="0" distL="0" distR="0">
            <wp:extent cx="5334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76475"/>
                    </a:xfrm>
                    <a:prstGeom prst="rect">
                      <a:avLst/>
                    </a:prstGeom>
                  </pic:spPr>
                </pic:pic>
              </a:graphicData>
            </a:graphic>
          </wp:inline>
        </w:drawing>
      </w:r>
    </w:p>
    <w:p>
      <w:pPr>
        <w:spacing w:after="120"/>
        <w:jc w:val="center"/>
      </w:pPr>
      <w:r>
        <w:rPr>
          <w:rFonts w:ascii="Sarabun" w:cs="Sarabun" w:eastAsia="Sarabun" w:hAnsi="Sarabun"/>
          <w:i/>
          <w:iCs/>
          <w:color w:val="5C6B7C"/>
          <w:sz w:val="16"/>
          <w:szCs w:val="16"/>
        </w:rPr>
        <w:t xml:space="preserve">รูปที่ 4.4 · การเตรียมรอยต่อแบบบากร่องตัววี</w:t>
      </w:r>
      <w:r>
        <w:rPr>
          <w:rFonts w:ascii="Sarabun" w:cs="Sarabun" w:eastAsia="Sarabun" w:hAnsi="Sarabun"/>
          <w:i/>
          <w:iCs/>
          <w:color w:val="5C6B7C"/>
          <w:sz w:val="15"/>
          <w:szCs w:val="15"/>
        </w:rPr>
        <w:t xml:space="preserve">  ·  Figure 4.4 · V-groove joint preparation</w:t>
      </w:r>
    </w:p>
    <w:tbl>
      <w:tblPr>
        <w:tblW w:type="dxa" w:w="9026"/>
        <w:tblBorders>
          <w:top w:val="single" w:color="E2E7EE" w:sz="4"/>
          <w:left w:val="single" w:color="E2E7EE" w:sz="4"/>
          <w:bottom w:val="single" w:color="E2E7EE" w:sz="4"/>
          <w:right w:val="single" w:color="E2E7EE" w:sz="4"/>
          <w:insideH w:val="single" w:color="E2E7EE" w:sz="4"/>
          <w:insideV w:val="single" w:color="E2E7EE" w:sz="4"/>
        </w:tblBorders>
      </w:tblPr>
      <w:tblGrid>
        <w:gridCol w:w="3000"/>
        <w:gridCol w:w="6026"/>
      </w:tblGrid>
      <w:tr>
        <w:trPr>
          <w:tblHeader/>
        </w:trPr>
        <w:tc>
          <w:tcPr>
            <w:tcW w:type="dxa" w:w="3000"/>
            <w:shd w:fill="16243D" w:val="clear"/>
            <w:tcMar>
              <w:top w:type="dxa" w:w="70"/>
              <w:left w:type="dxa" w:w="110"/>
              <w:bottom w:type="dxa" w:w="70"/>
              <w:right w:type="dxa" w:w="110"/>
            </w:tcMar>
          </w:tcPr>
          <w:p>
            <w:r>
              <w:rPr>
                <w:rFonts w:ascii="Sarabun" w:cs="Sarabun" w:eastAsia="Sarabun" w:hAnsi="Sarabun"/>
                <w:b/>
                <w:bCs/>
                <w:color w:val="FFFFFF"/>
                <w:sz w:val="18"/>
                <w:szCs w:val="18"/>
              </w:rPr>
              <w:t xml:space="preserve">ศัพท์ / Term</w:t>
            </w:r>
          </w:p>
        </w:tc>
        <w:tc>
          <w:tcPr>
            <w:tcW w:type="dxa" w:w="6026"/>
            <w:shd w:fill="16243D" w:val="clear"/>
            <w:tcMar>
              <w:top w:type="dxa" w:w="70"/>
              <w:left w:type="dxa" w:w="110"/>
              <w:bottom w:type="dxa" w:w="70"/>
              <w:right w:type="dxa" w:w="110"/>
            </w:tcMar>
          </w:tcPr>
          <w:p>
            <w:r>
              <w:rPr>
                <w:rFonts w:ascii="Sarabun" w:cs="Sarabun" w:eastAsia="Sarabun" w:hAnsi="Sarabun"/>
                <w:b/>
                <w:bCs/>
                <w:color w:val="FFFFFF"/>
                <w:sz w:val="18"/>
                <w:szCs w:val="18"/>
              </w:rPr>
              <w:t xml:space="preserve">ความหมายและค่าโดยทั่วไป / Meaning &amp; typical value</w:t>
            </w:r>
          </w:p>
        </w:tc>
      </w:tr>
      <w:tr>
        <w:tc>
          <w:tcPr>
            <w:tcW w:type="dxa" w:w="3000"/>
            <w:shd w:fill="F4F6F9" w:val="clear"/>
            <w:tcMar>
              <w:top w:type="dxa" w:w="70"/>
              <w:left w:type="dxa" w:w="110"/>
              <w:bottom w:type="dxa" w:w="70"/>
              <w:right w:type="dxa" w:w="110"/>
            </w:tcMar>
            <w:vAlign w:val="center"/>
          </w:tcPr>
          <w:p>
            <w:r>
              <w:rPr>
                <w:rFonts w:ascii="Sarabun" w:cs="Sarabun" w:eastAsia="Sarabun" w:hAnsi="Sarabun"/>
                <w:b/>
                <w:bCs/>
                <w:sz w:val="19"/>
                <w:szCs w:val="19"/>
              </w:rPr>
              <w:t xml:space="preserve">มุมบาก</w:t>
            </w:r>
            <w:r>
              <w:rPr>
                <w:rFonts w:ascii="Sarabun" w:cs="Sarabun" w:eastAsia="Sarabun" w:hAnsi="Sarabun"/>
                <w:color w:val="5C6B7C"/>
                <w:sz w:val="16"/>
                <w:szCs w:val="16"/>
              </w:rPr>
              <w:br/>
              <w:t xml:space="preserve">Bevel angle</w:t>
            </w:r>
          </w:p>
        </w:tc>
        <w:tc>
          <w:tcPr>
            <w:tcW w:type="dxa" w:w="6026"/>
            <w:shd w:fill="F4F6F9" w:val="clear"/>
            <w:tcMar>
              <w:top w:type="dxa" w:w="70"/>
              <w:left w:type="dxa" w:w="110"/>
              <w:bottom w:type="dxa" w:w="70"/>
              <w:right w:type="dxa" w:w="110"/>
            </w:tcMar>
            <w:vAlign w:val="center"/>
          </w:tcPr>
          <w:p>
            <w:r>
              <w:rPr>
                <w:rFonts w:ascii="Sarabun" w:cs="Sarabun" w:eastAsia="Sarabun" w:hAnsi="Sarabun"/>
                <w:sz w:val="19"/>
                <w:szCs w:val="19"/>
              </w:rPr>
              <w:t xml:space="preserve">มุมที่บากขอบแต่ละแผ่นจากแนวตั้ง</w:t>
            </w:r>
          </w:p>
        </w:tc>
      </w:tr>
      <w:tr>
        <w:tc>
          <w:tcPr>
            <w:tcW w:type="dxa" w:w="3000"/>
            <w:tcMar>
              <w:top w:type="dxa" w:w="70"/>
              <w:left w:type="dxa" w:w="110"/>
              <w:bottom w:type="dxa" w:w="70"/>
              <w:right w:type="dxa" w:w="110"/>
            </w:tcMar>
            <w:vAlign w:val="center"/>
          </w:tcPr>
          <w:p>
            <w:r>
              <w:rPr>
                <w:rFonts w:ascii="Sarabun" w:cs="Sarabun" w:eastAsia="Sarabun" w:hAnsi="Sarabun"/>
                <w:b/>
                <w:bCs/>
                <w:sz w:val="19"/>
                <w:szCs w:val="19"/>
              </w:rPr>
              <w:t xml:space="preserve">มุมรวม</w:t>
            </w:r>
            <w:r>
              <w:rPr>
                <w:rFonts w:ascii="Sarabun" w:cs="Sarabun" w:eastAsia="Sarabun" w:hAnsi="Sarabun"/>
                <w:color w:val="5C6B7C"/>
                <w:sz w:val="16"/>
                <w:szCs w:val="16"/>
              </w:rPr>
              <w:br/>
              <w:t xml:space="preserve">Included angle</w:t>
            </w:r>
          </w:p>
        </w:tc>
        <w:tc>
          <w:tcPr>
            <w:tcW w:type="dxa" w:w="6026"/>
            <w:tcMar>
              <w:top w:type="dxa" w:w="70"/>
              <w:left w:type="dxa" w:w="110"/>
              <w:bottom w:type="dxa" w:w="70"/>
              <w:right w:type="dxa" w:w="110"/>
            </w:tcMar>
            <w:vAlign w:val="center"/>
          </w:tcPr>
          <w:p>
            <w:r>
              <w:rPr>
                <w:rFonts w:ascii="Sarabun" w:cs="Sarabun" w:eastAsia="Sarabun" w:hAnsi="Sarabun"/>
                <w:sz w:val="19"/>
                <w:szCs w:val="19"/>
              </w:rPr>
              <w:t xml:space="preserve">มุมรวมของร่อง (สองด้านรวมกัน) เช่น ~60°</w:t>
            </w:r>
          </w:p>
        </w:tc>
      </w:tr>
      <w:tr>
        <w:tc>
          <w:tcPr>
            <w:tcW w:type="dxa" w:w="3000"/>
            <w:shd w:fill="F4F6F9" w:val="clear"/>
            <w:tcMar>
              <w:top w:type="dxa" w:w="70"/>
              <w:left w:type="dxa" w:w="110"/>
              <w:bottom w:type="dxa" w:w="70"/>
              <w:right w:type="dxa" w:w="110"/>
            </w:tcMar>
            <w:vAlign w:val="center"/>
          </w:tcPr>
          <w:p>
            <w:r>
              <w:rPr>
                <w:rFonts w:ascii="Sarabun" w:cs="Sarabun" w:eastAsia="Sarabun" w:hAnsi="Sarabun"/>
                <w:b/>
                <w:bCs/>
                <w:sz w:val="19"/>
                <w:szCs w:val="19"/>
              </w:rPr>
              <w:t xml:space="preserve">หน้าราก</w:t>
            </w:r>
            <w:r>
              <w:rPr>
                <w:rFonts w:ascii="Sarabun" w:cs="Sarabun" w:eastAsia="Sarabun" w:hAnsi="Sarabun"/>
                <w:color w:val="5C6B7C"/>
                <w:sz w:val="16"/>
                <w:szCs w:val="16"/>
              </w:rPr>
              <w:br/>
              <w:t xml:space="preserve">Root face / land</w:t>
            </w:r>
          </w:p>
        </w:tc>
        <w:tc>
          <w:tcPr>
            <w:tcW w:type="dxa" w:w="6026"/>
            <w:shd w:fill="F4F6F9" w:val="clear"/>
            <w:tcMar>
              <w:top w:type="dxa" w:w="70"/>
              <w:left w:type="dxa" w:w="110"/>
              <w:bottom w:type="dxa" w:w="70"/>
              <w:right w:type="dxa" w:w="110"/>
            </w:tcMar>
            <w:vAlign w:val="center"/>
          </w:tcPr>
          <w:p>
            <w:r>
              <w:rPr>
                <w:rFonts w:ascii="Sarabun" w:cs="Sarabun" w:eastAsia="Sarabun" w:hAnsi="Sarabun"/>
                <w:sz w:val="19"/>
                <w:szCs w:val="19"/>
              </w:rPr>
              <w:t xml:space="preserve">ส่วนขอบตรงที่ไม่บาก ที่ก้นร่อง (~1–2 มม.)</w:t>
            </w:r>
          </w:p>
        </w:tc>
      </w:tr>
      <w:tr>
        <w:tc>
          <w:tcPr>
            <w:tcW w:type="dxa" w:w="3000"/>
            <w:tcMar>
              <w:top w:type="dxa" w:w="70"/>
              <w:left w:type="dxa" w:w="110"/>
              <w:bottom w:type="dxa" w:w="70"/>
              <w:right w:type="dxa" w:w="110"/>
            </w:tcMar>
            <w:vAlign w:val="center"/>
          </w:tcPr>
          <w:p>
            <w:r>
              <w:rPr>
                <w:rFonts w:ascii="Sarabun" w:cs="Sarabun" w:eastAsia="Sarabun" w:hAnsi="Sarabun"/>
                <w:b/>
                <w:bCs/>
                <w:sz w:val="19"/>
                <w:szCs w:val="19"/>
              </w:rPr>
              <w:t xml:space="preserve">ระยะห่างราก</w:t>
            </w:r>
            <w:r>
              <w:rPr>
                <w:rFonts w:ascii="Sarabun" w:cs="Sarabun" w:eastAsia="Sarabun" w:hAnsi="Sarabun"/>
                <w:color w:val="5C6B7C"/>
                <w:sz w:val="16"/>
                <w:szCs w:val="16"/>
              </w:rPr>
              <w:br/>
              <w:t xml:space="preserve">Root gap / opening</w:t>
            </w:r>
          </w:p>
        </w:tc>
        <w:tc>
          <w:tcPr>
            <w:tcW w:type="dxa" w:w="6026"/>
            <w:tcMar>
              <w:top w:type="dxa" w:w="70"/>
              <w:left w:type="dxa" w:w="110"/>
              <w:bottom w:type="dxa" w:w="70"/>
              <w:right w:type="dxa" w:w="110"/>
            </w:tcMar>
            <w:vAlign w:val="center"/>
          </w:tcPr>
          <w:p>
            <w:r>
              <w:rPr>
                <w:rFonts w:ascii="Sarabun" w:cs="Sarabun" w:eastAsia="Sarabun" w:hAnsi="Sarabun"/>
                <w:sz w:val="19"/>
                <w:szCs w:val="19"/>
              </w:rPr>
              <w:t xml:space="preserve">ช่องว่างระหว่างหน้ารากสองด้าน (~1–3 มม.)</w:t>
            </w:r>
          </w:p>
        </w:tc>
      </w:tr>
      <w:tr>
        <w:tc>
          <w:tcPr>
            <w:tcW w:type="dxa" w:w="3000"/>
            <w:shd w:fill="F4F6F9" w:val="clear"/>
            <w:tcMar>
              <w:top w:type="dxa" w:w="70"/>
              <w:left w:type="dxa" w:w="110"/>
              <w:bottom w:type="dxa" w:w="70"/>
              <w:right w:type="dxa" w:w="110"/>
            </w:tcMar>
            <w:vAlign w:val="center"/>
          </w:tcPr>
          <w:p>
            <w:r>
              <w:rPr>
                <w:rFonts w:ascii="Sarabun" w:cs="Sarabun" w:eastAsia="Sarabun" w:hAnsi="Sarabun"/>
                <w:b/>
                <w:bCs/>
                <w:sz w:val="19"/>
                <w:szCs w:val="19"/>
              </w:rPr>
              <w:t xml:space="preserve">การบาก / เจียรร่อง</w:t>
            </w:r>
            <w:r>
              <w:rPr>
                <w:rFonts w:ascii="Sarabun" w:cs="Sarabun" w:eastAsia="Sarabun" w:hAnsi="Sarabun"/>
                <w:color w:val="5C6B7C"/>
                <w:sz w:val="16"/>
                <w:szCs w:val="16"/>
              </w:rPr>
              <w:br/>
              <w:t xml:space="preserve">Beveling</w:t>
            </w:r>
          </w:p>
        </w:tc>
        <w:tc>
          <w:tcPr>
            <w:tcW w:type="dxa" w:w="6026"/>
            <w:shd w:fill="F4F6F9" w:val="clear"/>
            <w:tcMar>
              <w:top w:type="dxa" w:w="70"/>
              <w:left w:type="dxa" w:w="110"/>
              <w:bottom w:type="dxa" w:w="70"/>
              <w:right w:type="dxa" w:w="110"/>
            </w:tcMar>
            <w:vAlign w:val="center"/>
          </w:tcPr>
          <w:p>
            <w:r>
              <w:rPr>
                <w:rFonts w:ascii="Sarabun" w:cs="Sarabun" w:eastAsia="Sarabun" w:hAnsi="Sarabun"/>
                <w:sz w:val="19"/>
                <w:szCs w:val="19"/>
              </w:rPr>
              <w:t xml:space="preserve">การเตรียมขอบให้เป็นร่องด้วยการเจียรหรือตัด</w:t>
            </w:r>
          </w:p>
        </w:tc>
      </w:tr>
    </w:tbl>
    <w:p>
      <w:pPr>
        <w:pStyle w:val="Heading1"/>
      </w:pPr>
      <w:r>
        <w:rPr>
          <w:rFonts w:ascii="Sarabun" w:cs="Sarabun" w:eastAsia="Sarabun" w:hAnsi="Sarabun"/>
          <w:b/>
          <w:bCs/>
          <w:color w:val="D1108A"/>
          <w:sz w:val="28"/>
          <w:szCs w:val="28"/>
        </w:rPr>
        <w:t xml:space="preserve">4.5  </w:t>
      </w:r>
      <w:r>
        <w:rPr>
          <w:rFonts w:ascii="Sarabun" w:cs="Sarabun" w:eastAsia="Sarabun" w:hAnsi="Sarabun"/>
          <w:b/>
          <w:bCs/>
          <w:color w:val="16243D"/>
          <w:sz w:val="28"/>
          <w:szCs w:val="28"/>
        </w:rPr>
        <w:t xml:space="preserve">การประกอบและจัดแนว (Fit-up)</w:t>
      </w:r>
      <w:r>
        <w:rPr>
          <w:rFonts w:ascii="Sarabun" w:cs="Sarabun" w:eastAsia="Sarabun" w:hAnsi="Sarabun"/>
          <w:b/>
          <w:bCs/>
          <w:color w:val="5C6B7C"/>
          <w:sz w:val="19"/>
          <w:szCs w:val="19"/>
        </w:rPr>
        <w:t xml:space="preserve">   Fit-up &amp; tack welds</w:t>
      </w:r>
    </w:p>
    <w:p>
      <w:pPr>
        <w:spacing w:after="80"/>
      </w:pPr>
      <w:r>
        <w:rPr>
          <w:rFonts w:ascii="Sarabun" w:cs="Sarabun" w:eastAsia="Sarabun" w:hAnsi="Sarabun"/>
        </w:rPr>
        <w:t xml:space="preserve">การประกอบชิ้นงานที่ดีคือจัดแนวให้ตรง ระยะห่างรากสม่ำเสมอตลอดแนว หลีกเลี่ยงการเหลื่อม (hi-lo) แล้วยึดด้วยรอยเชื่อมยึด (tack) เป็นระยะก่อนเชื่อมจริง เพื่อคงรูปและระยะไว้</w:t>
      </w:r>
      <w:r>
        <w:rPr>
          <w:rFonts w:ascii="Sarabun" w:cs="Sarabun" w:eastAsia="Sarabun" w:hAnsi="Sarabun"/>
          <w:color w:val="5C6B7C"/>
          <w:sz w:val="18"/>
          <w:szCs w:val="18"/>
        </w:rPr>
        <w:br/>
        <w:t xml:space="preserve">Good fit-up means aligning straight, keeping an even root gap along the joint, avoiding hi-lo misalignment, and tacking at intervals to hold the shape and gap before final welding.</w:t>
      </w:r>
    </w:p>
    <w:p>
      <w:pPr>
        <w:spacing w:after="20" w:before="60"/>
        <w:jc w:val="center"/>
      </w:pPr>
      <w:r>
        <w:drawing>
          <wp:inline distT="0" distB="0" distL="0" distR="0">
            <wp:extent cx="5334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743075"/>
                    </a:xfrm>
                    <a:prstGeom prst="rect">
                      <a:avLst/>
                    </a:prstGeom>
                  </pic:spPr>
                </pic:pic>
              </a:graphicData>
            </a:graphic>
          </wp:inline>
        </w:drawing>
      </w:r>
    </w:p>
    <w:p>
      <w:pPr>
        <w:spacing w:after="120"/>
        <w:jc w:val="center"/>
      </w:pPr>
      <w:r>
        <w:rPr>
          <w:rFonts w:ascii="Sarabun" w:cs="Sarabun" w:eastAsia="Sarabun" w:hAnsi="Sarabun"/>
          <w:i/>
          <w:iCs/>
          <w:color w:val="5C6B7C"/>
          <w:sz w:val="16"/>
          <w:szCs w:val="16"/>
        </w:rPr>
        <w:t xml:space="preserve">รูปที่ 4.5 · การประกอบ จัดแนว และเชื่อมยึด</w:t>
      </w:r>
      <w:r>
        <w:rPr>
          <w:rFonts w:ascii="Sarabun" w:cs="Sarabun" w:eastAsia="Sarabun" w:hAnsi="Sarabun"/>
          <w:i/>
          <w:iCs/>
          <w:color w:val="5C6B7C"/>
          <w:sz w:val="15"/>
          <w:szCs w:val="15"/>
        </w:rPr>
        <w:t xml:space="preserve">  ·  Figure 4.5 · Fit-up, alignment &amp; tack welds</w:t>
      </w:r>
    </w:p>
    <w:p>
      <w:pPr>
        <w:pStyle w:val="Heading1"/>
      </w:pPr>
      <w:r>
        <w:rPr>
          <w:rFonts w:ascii="Sarabun" w:cs="Sarabun" w:eastAsia="Sarabun" w:hAnsi="Sarabun"/>
          <w:b/>
          <w:bCs/>
          <w:color w:val="D1108A"/>
          <w:sz w:val="28"/>
          <w:szCs w:val="28"/>
        </w:rPr>
        <w:t xml:space="preserve">4.6  </w:t>
      </w:r>
      <w:r>
        <w:rPr>
          <w:rFonts w:ascii="Sarabun" w:cs="Sarabun" w:eastAsia="Sarabun" w:hAnsi="Sarabun"/>
          <w:b/>
          <w:bCs/>
          <w:color w:val="16243D"/>
          <w:sz w:val="28"/>
          <w:szCs w:val="28"/>
        </w:rPr>
        <w:t xml:space="preserve">คำศัพท์สำคัญ</w:t>
      </w:r>
      <w:r>
        <w:rPr>
          <w:rFonts w:ascii="Sarabun" w:cs="Sarabun" w:eastAsia="Sarabun" w:hAnsi="Sarabun"/>
          <w:b/>
          <w:bCs/>
          <w:color w:val="5C6B7C"/>
          <w:sz w:val="19"/>
          <w:szCs w:val="19"/>
        </w:rPr>
        <w:t xml:space="preserve">   Key terms</w:t>
      </w:r>
    </w:p>
    <w:tbl>
      <w:tblPr>
        <w:tblW w:type="dxa" w:w="9026"/>
        <w:tblBorders>
          <w:top w:val="single" w:color="E2E7EE" w:sz="4"/>
          <w:left w:val="single" w:color="E2E7EE" w:sz="4"/>
          <w:bottom w:val="single" w:color="E2E7EE" w:sz="4"/>
          <w:right w:val="single" w:color="E2E7EE" w:sz="4"/>
          <w:insideH w:val="single" w:color="E2E7EE" w:sz="4"/>
          <w:insideV w:val="single" w:color="E2E7EE" w:sz="4"/>
        </w:tblBorders>
      </w:tblPr>
      <w:tblGrid>
        <w:gridCol w:w="4513"/>
        <w:gridCol w:w="4513"/>
      </w:tblGrid>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เครื่องมือวัด</w:t>
            </w:r>
            <w:r>
              <w:rPr>
                <w:rFonts w:ascii="Sarabun" w:cs="Sarabun" w:eastAsia="Sarabun" w:hAnsi="Sarabun"/>
                <w:color w:val="5C6B7C"/>
                <w:sz w:val="16"/>
                <w:szCs w:val="16"/>
              </w:rPr>
              <w:t xml:space="preserve">  —  Measuring tool</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เวอร์เนียคาลิปเปอร์</w:t>
            </w:r>
            <w:r>
              <w:rPr>
                <w:rFonts w:ascii="Sarabun" w:cs="Sarabun" w:eastAsia="Sarabun" w:hAnsi="Sarabun"/>
                <w:color w:val="5C6B7C"/>
                <w:sz w:val="16"/>
                <w:szCs w:val="16"/>
              </w:rPr>
              <w:t xml:space="preserve">  —  Vernier caliper</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ความละเอียด</w:t>
            </w:r>
            <w:r>
              <w:rPr>
                <w:rFonts w:ascii="Sarabun" w:cs="Sarabun" w:eastAsia="Sarabun" w:hAnsi="Sarabun"/>
                <w:color w:val="5C6B7C"/>
                <w:sz w:val="16"/>
                <w:szCs w:val="16"/>
              </w:rPr>
              <w:t xml:space="preserve">  —  Resolution</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ฉากตาย</w:t>
            </w:r>
            <w:r>
              <w:rPr>
                <w:rFonts w:ascii="Sarabun" w:cs="Sarabun" w:eastAsia="Sarabun" w:hAnsi="Sarabun"/>
                <w:color w:val="5C6B7C"/>
                <w:sz w:val="16"/>
                <w:szCs w:val="16"/>
              </w:rPr>
              <w:t xml:space="preserve">  —  Try square</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เกจวัดมุม</w:t>
            </w:r>
            <w:r>
              <w:rPr>
                <w:rFonts w:ascii="Sarabun" w:cs="Sarabun" w:eastAsia="Sarabun" w:hAnsi="Sarabun"/>
                <w:color w:val="5C6B7C"/>
                <w:sz w:val="16"/>
                <w:szCs w:val="16"/>
              </w:rPr>
              <w:t xml:space="preserve">  —  Protractor</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เกจวัดแนวเชื่อม</w:t>
            </w:r>
            <w:r>
              <w:rPr>
                <w:rFonts w:ascii="Sarabun" w:cs="Sarabun" w:eastAsia="Sarabun" w:hAnsi="Sarabun"/>
                <w:color w:val="5C6B7C"/>
                <w:sz w:val="16"/>
                <w:szCs w:val="16"/>
              </w:rPr>
              <w:t xml:space="preserve">  —  Weld gauge</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ฟีลเลอร์เกจ</w:t>
            </w:r>
            <w:r>
              <w:rPr>
                <w:rFonts w:ascii="Sarabun" w:cs="Sarabun" w:eastAsia="Sarabun" w:hAnsi="Sarabun"/>
                <w:color w:val="5C6B7C"/>
                <w:sz w:val="16"/>
                <w:szCs w:val="16"/>
              </w:rPr>
              <w:t xml:space="preserve">  —  Feeler gauge</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การเตรียมรอยต่อ</w:t>
            </w:r>
            <w:r>
              <w:rPr>
                <w:rFonts w:ascii="Sarabun" w:cs="Sarabun" w:eastAsia="Sarabun" w:hAnsi="Sarabun"/>
                <w:color w:val="5C6B7C"/>
                <w:sz w:val="16"/>
                <w:szCs w:val="16"/>
              </w:rPr>
              <w:t xml:space="preserve">  —  Joint preparation</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มุมบาก</w:t>
            </w:r>
            <w:r>
              <w:rPr>
                <w:rFonts w:ascii="Sarabun" w:cs="Sarabun" w:eastAsia="Sarabun" w:hAnsi="Sarabun"/>
                <w:color w:val="5C6B7C"/>
                <w:sz w:val="16"/>
                <w:szCs w:val="16"/>
              </w:rPr>
              <w:t xml:space="preserve">  —  Bevel angle</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มุมรวม</w:t>
            </w:r>
            <w:r>
              <w:rPr>
                <w:rFonts w:ascii="Sarabun" w:cs="Sarabun" w:eastAsia="Sarabun" w:hAnsi="Sarabun"/>
                <w:color w:val="5C6B7C"/>
                <w:sz w:val="16"/>
                <w:szCs w:val="16"/>
              </w:rPr>
              <w:t xml:space="preserve">  —  Included angle</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หน้าราก</w:t>
            </w:r>
            <w:r>
              <w:rPr>
                <w:rFonts w:ascii="Sarabun" w:cs="Sarabun" w:eastAsia="Sarabun" w:hAnsi="Sarabun"/>
                <w:color w:val="5C6B7C"/>
                <w:sz w:val="16"/>
                <w:szCs w:val="16"/>
              </w:rPr>
              <w:t xml:space="preserve">  —  Root face (land)</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ระยะห่างราก</w:t>
            </w:r>
            <w:r>
              <w:rPr>
                <w:rFonts w:ascii="Sarabun" w:cs="Sarabun" w:eastAsia="Sarabun" w:hAnsi="Sarabun"/>
                <w:color w:val="5C6B7C"/>
                <w:sz w:val="16"/>
                <w:szCs w:val="16"/>
              </w:rPr>
              <w:t xml:space="preserve">  —  Root gap (opening)</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การประกอบ / จัดแนว</w:t>
            </w:r>
            <w:r>
              <w:rPr>
                <w:rFonts w:ascii="Sarabun" w:cs="Sarabun" w:eastAsia="Sarabun" w:hAnsi="Sarabun"/>
                <w:color w:val="5C6B7C"/>
                <w:sz w:val="16"/>
                <w:szCs w:val="16"/>
              </w:rPr>
              <w:t xml:space="preserve">  —  Fit-up</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รอยเชื่อมยึด</w:t>
            </w:r>
            <w:r>
              <w:rPr>
                <w:rFonts w:ascii="Sarabun" w:cs="Sarabun" w:eastAsia="Sarabun" w:hAnsi="Sarabun"/>
                <w:color w:val="5C6B7C"/>
                <w:sz w:val="16"/>
                <w:szCs w:val="16"/>
              </w:rPr>
              <w:t xml:space="preserve">  —  Tack weld</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ใบกำหนดการเชื่อม</w:t>
            </w:r>
            <w:r>
              <w:rPr>
                <w:rFonts w:ascii="Sarabun" w:cs="Sarabun" w:eastAsia="Sarabun" w:hAnsi="Sarabun"/>
                <w:color w:val="5C6B7C"/>
                <w:sz w:val="16"/>
                <w:szCs w:val="16"/>
              </w:rPr>
              <w:t xml:space="preserve">  —  WPS (procedure spec.)</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การหลอมไม่สมบูรณ์</w:t>
            </w:r>
            <w:r>
              <w:rPr>
                <w:rFonts w:ascii="Sarabun" w:cs="Sarabun" w:eastAsia="Sarabun" w:hAnsi="Sarabun"/>
                <w:color w:val="5C6B7C"/>
                <w:sz w:val="16"/>
                <w:szCs w:val="16"/>
              </w:rPr>
              <w:t xml:space="preserve">  —  Lack of fusion</w:t>
            </w:r>
          </w:p>
        </w:tc>
      </w:tr>
    </w:tbl>
    <w:p>
      <w:pPr>
        <w:pStyle w:val="Heading1"/>
      </w:pPr>
      <w:r>
        <w:rPr>
          <w:rFonts w:ascii="Sarabun" w:cs="Sarabun" w:eastAsia="Sarabun" w:hAnsi="Sarabun"/>
          <w:b/>
          <w:bCs/>
          <w:color w:val="D1108A"/>
          <w:sz w:val="28"/>
          <w:szCs w:val="28"/>
        </w:rPr>
        <w:t xml:space="preserve">4.7  </w:t>
      </w:r>
      <w:r>
        <w:rPr>
          <w:rFonts w:ascii="Sarabun" w:cs="Sarabun" w:eastAsia="Sarabun" w:hAnsi="Sarabun"/>
          <w:b/>
          <w:bCs/>
          <w:color w:val="16243D"/>
          <w:sz w:val="28"/>
          <w:szCs w:val="28"/>
        </w:rPr>
        <w:t xml:space="preserve">สรุปและขั้นต่อไป</w:t>
      </w:r>
      <w:r>
        <w:rPr>
          <w:rFonts w:ascii="Sarabun" w:cs="Sarabun" w:eastAsia="Sarabun" w:hAnsi="Sarabun"/>
          <w:b/>
          <w:bCs/>
          <w:color w:val="5C6B7C"/>
          <w:sz w:val="19"/>
          <w:szCs w:val="19"/>
        </w:rPr>
        <w:t xml:space="preserve">   Recap &amp; next step</w:t>
      </w:r>
    </w:p>
    <w:p>
      <w:pPr>
        <w:pStyle w:val="ListParagraph"/>
        <w:numPr>
          <w:ilvl w:val="0"/>
          <w:numId w:val="2"/>
        </w:numPr>
        <w:spacing w:after="30"/>
      </w:pPr>
      <w:r>
        <w:rPr>
          <w:rFonts w:ascii="Sarabun" w:cs="Sarabun" w:eastAsia="Sarabun" w:hAnsi="Sarabun"/>
          <w:b/>
          <w:bCs/>
        </w:rPr>
        <w:t xml:space="preserve">เลือกเครื่องมือวัดให้เหมาะ: ตลับเมตร เวอร์เนีย ฉาก เกจมุม เกจแนวเชื่อม ฟีลเลอร์เกจ</w:t>
      </w:r>
      <w:r>
        <w:rPr>
          <w:rFonts w:ascii="Sarabun" w:cs="Sarabun" w:eastAsia="Sarabun" w:hAnsi="Sarabun"/>
          <w:color w:val="5C6B7C"/>
          <w:sz w:val="18"/>
          <w:szCs w:val="18"/>
        </w:rPr>
        <w:br/>
        <w:t xml:space="preserve">Pick the right tool: tape, vernier, square, angle/weld/feeler gauges</w:t>
      </w:r>
    </w:p>
    <w:p>
      <w:pPr>
        <w:pStyle w:val="ListParagraph"/>
        <w:numPr>
          <w:ilvl w:val="0"/>
          <w:numId w:val="2"/>
        </w:numPr>
        <w:spacing w:after="30"/>
      </w:pPr>
      <w:r>
        <w:rPr>
          <w:rFonts w:ascii="Sarabun" w:cs="Sarabun" w:eastAsia="Sarabun" w:hAnsi="Sarabun"/>
          <w:b/>
          <w:bCs/>
        </w:rPr>
        <w:t xml:space="preserve">อ่านเวอร์เนีย: สเกลหลัก + (ขีดเวอร์เนียที่ตรง × ความละเอียด)</w:t>
      </w:r>
      <w:r>
        <w:rPr>
          <w:rFonts w:ascii="Sarabun" w:cs="Sarabun" w:eastAsia="Sarabun" w:hAnsi="Sarabun"/>
          <w:color w:val="5C6B7C"/>
          <w:sz w:val="18"/>
          <w:szCs w:val="18"/>
        </w:rPr>
        <w:br/>
        <w:t xml:space="preserve">Vernier: main scale + (aligning vernier line × resolution)</w:t>
      </w:r>
    </w:p>
    <w:p>
      <w:pPr>
        <w:pStyle w:val="ListParagraph"/>
        <w:numPr>
          <w:ilvl w:val="0"/>
          <w:numId w:val="2"/>
        </w:numPr>
        <w:spacing w:after="30"/>
      </w:pPr>
      <w:r>
        <w:rPr>
          <w:rFonts w:ascii="Sarabun" w:cs="Sarabun" w:eastAsia="Sarabun" w:hAnsi="Sarabun"/>
          <w:b/>
          <w:bCs/>
        </w:rPr>
        <w:t xml:space="preserve">ทำความสะอาดจนเห็นเนื้อโลหะ และเตรียมร่องตาม WPS</w:t>
      </w:r>
      <w:r>
        <w:rPr>
          <w:rFonts w:ascii="Sarabun" w:cs="Sarabun" w:eastAsia="Sarabun" w:hAnsi="Sarabun"/>
          <w:color w:val="5C6B7C"/>
          <w:sz w:val="18"/>
          <w:szCs w:val="18"/>
        </w:rPr>
        <w:br/>
        <w:t xml:space="preserve">Clean to bright metal; prepare the groove per the WPS</w:t>
      </w:r>
    </w:p>
    <w:p>
      <w:pPr>
        <w:pStyle w:val="ListParagraph"/>
        <w:numPr>
          <w:ilvl w:val="0"/>
          <w:numId w:val="2"/>
        </w:numPr>
        <w:spacing w:after="30"/>
      </w:pPr>
      <w:r>
        <w:rPr>
          <w:rFonts w:ascii="Sarabun" w:cs="Sarabun" w:eastAsia="Sarabun" w:hAnsi="Sarabun"/>
          <w:b/>
          <w:bCs/>
        </w:rPr>
        <w:t xml:space="preserve">จัดแนวตรง ระยะห่างสม่ำเสมอ แล้วยึดด้วย tack ก่อนเชื่อมจริง</w:t>
      </w:r>
      <w:r>
        <w:rPr>
          <w:rFonts w:ascii="Sarabun" w:cs="Sarabun" w:eastAsia="Sarabun" w:hAnsi="Sarabun"/>
          <w:color w:val="5C6B7C"/>
          <w:sz w:val="18"/>
          <w:szCs w:val="18"/>
        </w:rPr>
        <w:br/>
        <w:t xml:space="preserve">Align straight, even gap, then tack before final welding</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0E5FA8" w:sz="20"/>
              <w:bottom w:val="none" w:color="FFFFFF" w:sz="0"/>
              <w:right w:val="none" w:color="FFFFFF" w:sz="0"/>
            </w:tcBorders>
            <w:shd w:fill="EAF2FA" w:val="clear"/>
            <w:tcMar>
              <w:top w:type="dxa" w:w="110"/>
              <w:left w:type="dxa" w:w="170"/>
              <w:bottom w:type="dxa" w:w="110"/>
              <w:right w:type="dxa" w:w="160"/>
            </w:tcMar>
          </w:tcPr>
          <w:p>
            <w:pPr>
              <w:spacing w:after="0"/>
            </w:pPr>
            <w:r>
              <w:rPr>
                <w:rFonts w:ascii="Sarabun" w:cs="Sarabun" w:eastAsia="Sarabun" w:hAnsi="Sarabun"/>
                <w:b/>
                <w:bCs/>
                <w:color w:val="0E5FA8"/>
              </w:rPr>
              <w:t xml:space="preserve">ขั้นต่อไป / Next. </w:t>
            </w:r>
            <w:r>
              <w:rPr>
                <w:rFonts w:ascii="Sarabun" w:cs="Sarabun" w:eastAsia="Sarabun" w:hAnsi="Sarabun"/>
              </w:rPr>
              <w:t xml:space="preserve">เปิดกิจกรรมฝึกของบทที่ 4 ในระบบ M Training แล้วทำแบบทดสอบจุดตรวจสอบให้ได้ ≥ 70% เพื่อปลดบทที่ 5 (การเชื่อม MIG/MAG)</w:t>
            </w:r>
            <w:r>
              <w:rPr>
                <w:rFonts w:ascii="Sarabun" w:cs="Sarabun" w:eastAsia="Sarabun" w:hAnsi="Sarabun"/>
                <w:color w:val="5C6B7C"/>
                <w:sz w:val="18"/>
                <w:szCs w:val="18"/>
              </w:rPr>
              <w:br/>
              <w:t xml:space="preserve">Open the Chapter 4 trainer in M Training, then pass the checkpoint test (≥ 70%) to unlock Chapter 5 (MIG/MAG welding).</w:t>
            </w:r>
          </w:p>
        </w:tc>
      </w:tr>
    </w:tbl>
    <w:sectPr>
      <w:headerReference w:type="default" r:id="rId7"/>
      <w:headerReference w:type="first" r:id="rId8"/>
      <w:footerReference w:type="default" r:id="rId9"/>
      <w:footerReference w:type="first" r:id="rId10"/>
      <w:pgSz w:w="11906" w:h="16838" w:orient="portrait"/>
      <w:pgMar w:top="1440" w:right="1440" w:bottom="1440" w:left="1440" w:header="72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Sarabun" w:cs="Sarabun" w:eastAsia="Sarabun" w:hAnsi="Sarabun"/>
        <w:color w:val="5C6B7C"/>
        <w:sz w:val="15"/>
        <w:szCs w:val="15"/>
      </w:rPr>
      <w:t xml:space="preserve">เอกสารบทเรียน / Lesson · เอกสารภายใน—ความลับของบริษัท</w:t>
    </w:r>
    <w:r>
      <w:rPr>
        <w:rFonts w:ascii="Sarabun" w:cs="Sarabun" w:eastAsia="Sarabun" w:hAnsi="Sarabun"/>
        <w:color w:val="5C6B7C"/>
        <w:sz w:val="15"/>
        <w:szCs w:val="15"/>
      </w:rPr>
      <w:t xml:space="preserve">	</w:t>
      <w:t xml:space="preserve">หน้า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arabun" w:cs="Sarabun" w:eastAsia="Sarabun" w:hAnsi="Sarabun"/>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7EE" w:sz="4" w:space="4"/>
      </w:pBdr>
      <w:jc w:val="right"/>
    </w:pPr>
    <w:r>
      <w:rPr>
        <w:rFonts w:ascii="Sarabun" w:cs="Sarabun" w:eastAsia="Sarabun" w:hAnsi="Sarabun"/>
        <w:color w:val="5C6B7C"/>
        <w:sz w:val="15"/>
        <w:szCs w:val="15"/>
      </w:rPr>
      <w:t xml:space="preserve">AMS-WELD-001 · บทที่ 4 / Chapter 4 — เครื่องมือวัดและการเตรียมรอยต่อ</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Sarabun" w:cs="Sarabun" w:eastAsia="Sarabun" w:hAnsi="Sarabun"/>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rPr>
        <w:color w:val="0E5F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rabun" w:cs="Sarabun" w:eastAsia="Sarabun" w:hAnsi="Sarabun"/>
        <w:color w:val="1624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E7EE" w:sz="8" w:space="6"/>
      </w:pBdr>
      <w:spacing w:after="110" w:before="300"/>
      <w:outlineLvl w:val="0"/>
    </w:pPr>
    <w:rPr>
      <w:rFonts w:ascii="Sarabun" w:cs="Sarabun" w:eastAsia="Sarabun" w:hAnsi="Sarabun"/>
      <w:b/>
      <w:bCs/>
      <w:color w:val="16243D"/>
      <w:sz w:val="28"/>
      <w:szCs w:val="28"/>
    </w:rPr>
  </w:style>
  <w:style w:type="paragraph" w:styleId="Heading2">
    <w:name w:val="Heading 2"/>
    <w:basedOn w:val="Normal"/>
    <w:next w:val="Normal"/>
    <w:qFormat/>
    <w:pPr>
      <w:spacing w:after="60" w:before="160"/>
      <w:outlineLvl w:val="1"/>
    </w:pPr>
    <w:rPr>
      <w:rFonts w:ascii="Sarabun" w:cs="Sarabun" w:eastAsia="Sarabun" w:hAnsi="Sarabun"/>
      <w:b/>
      <w:bCs/>
      <w:color w:val="0E5F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f65b9bad2c3c4cd1cd6f4d962f15dfbe765d5a5.png"/><Relationship Id="rId12" Type="http://schemas.openxmlformats.org/officeDocument/2006/relationships/image" Target="media/11e8f14fefeaac4a8ee00b170ecc75b319ff5bb1.png"/><Relationship Id="rId13" Type="http://schemas.openxmlformats.org/officeDocument/2006/relationships/image" Target="media/2453a16b27a19b43563fd85354c4f889e8951ccd.png"/><Relationship Id="rId14" Type="http://schemas.openxmlformats.org/officeDocument/2006/relationships/image" Target="media/81acb9466ee4173eac5fb484e185517c3a0673c7.png"/><Relationship Id="rId15" Type="http://schemas.openxmlformats.org/officeDocument/2006/relationships/image" Target="media/7e699290e32db18de180f229a5cea054abb43886.png"/><Relationship Id="rId16" Type="http://schemas.openxmlformats.org/officeDocument/2006/relationships/image" Target="media/58d191dacefc7112ad4658c421a5005a3c112a4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AMS-WELD-001 Chapter 4 Lesson</dc:title>
  <dc:creator>ANCA Manufacturing Solutions (Thailand)</dc:creator>
  <cp:lastModifiedBy>Un-named</cp:lastModifiedBy>
  <cp:revision>1</cp:revision>
  <dcterms:created xsi:type="dcterms:W3CDTF">2026-06-17T18:53:43.867Z</dcterms:created>
  <dcterms:modified xsi:type="dcterms:W3CDTF">2026-06-17T18:53:43.877Z</dcterms:modified>
</cp:coreProperties>
</file>

<file path=docProps/custom.xml><?xml version="1.0" encoding="utf-8"?>
<Properties xmlns="http://schemas.openxmlformats.org/officeDocument/2006/custom-properties" xmlns:vt="http://schemas.openxmlformats.org/officeDocument/2006/docPropsVTypes"/>
</file>