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305C5" w14:textId="2D1241AD" w:rsidR="00671461" w:rsidRDefault="00671461" w:rsidP="00BA3AA4">
      <w:pPr>
        <w:spacing w:before="240" w:line="276" w:lineRule="auto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1.</w:t>
      </w:r>
    </w:p>
    <w:p w14:paraId="7156E168" w14:textId="533C7F2D" w:rsidR="00671461" w:rsidRDefault="00671461" w:rsidP="00671461">
      <w:pPr>
        <w:rPr>
          <w:rFonts w:ascii="TH Sarabun New" w:hAnsi="TH Sarabun New" w:cs="TH Sarabun New" w:hint="cs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br w:type="page"/>
      </w:r>
    </w:p>
    <w:p w14:paraId="765BED56" w14:textId="77777777" w:rsidR="00671461" w:rsidRDefault="00671461" w:rsidP="00671461">
      <w:pPr>
        <w:spacing w:after="0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>2.</w:t>
      </w:r>
    </w:p>
    <w:p w14:paraId="48DBF986" w14:textId="70292ACD" w:rsidR="00671461" w:rsidRDefault="00671461" w:rsidP="00671461">
      <w:pPr>
        <w:spacing w:after="0"/>
        <w:ind w:firstLine="720"/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</w:pP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นาคารแห่งประเทศไทยสรุปความคิดเห็นที่ได้จากการเปิดรับฟังต่อแนวนโยบายภูมิทัศน์ใหม่ภาคการเงินไทยเพื่อเศรษฐกิจดิจิทัลและการเติบโตอย่างยั่งยืน</w:t>
      </w:r>
    </w:p>
    <w:p w14:paraId="1B25B9FF" w14:textId="77777777" w:rsidR="00671461" w:rsidRDefault="00671461" w:rsidP="00671461">
      <w:pPr>
        <w:spacing w:after="0"/>
        <w:ind w:firstLine="720"/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</w:pP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จากการที่ธนาคารแห่งประเทศไทย (ธปท.) ได้จัดทำแนวนโยบายภูมิทัศน์ใหม่ภาคการเงินไทยเพื่อเศรษฐกิจดิจิทัลและการเติบโตอย่างยั่งยืน (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consultation paper)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และเปิดรับฟังความเห็นจากผู้ที่เกี่ยวข้องและสาธารณชนในช่วงวันที่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1–28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กุมภาพันธ์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2565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นั้น</w:t>
      </w:r>
    </w:p>
    <w:p w14:paraId="3E665E87" w14:textId="77777777" w:rsidR="00671461" w:rsidRDefault="00671461" w:rsidP="00671461">
      <w:pPr>
        <w:spacing w:after="0"/>
        <w:ind w:firstLine="720"/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</w:pP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ในภาพรวม ภาคส่วนต่าง ๆ เห็นด้วยกับหลักคิดของธนาคารแห่งประเทศไทย ในการสร้างสมดุลระหว่างการส่งเสริมนวัตกรรมและการบริหารความเสี่ยง เพื่อสนับสนุนการเปลี่ยนผ่านไปสู่เศรษฐกิจดิจิทัลและการเติบโตอย่างยั่งยืน ผ่าน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3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ทิศทาง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 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คือ</w:t>
      </w:r>
    </w:p>
    <w:p w14:paraId="75B1FCCD" w14:textId="1465D379" w:rsidR="00671461" w:rsidRDefault="00671461" w:rsidP="00671461">
      <w:pPr>
        <w:spacing w:after="0"/>
        <w:ind w:firstLine="720"/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</w:pPr>
      <w:r>
        <w:rPr>
          <w:rStyle w:val="aa"/>
          <w:rFonts w:ascii="TH SarabunPSK" w:hAnsi="TH SarabunPSK" w:cs="TH SarabunPSK" w:hint="cs"/>
          <w:i w:val="0"/>
          <w:iCs w:val="0"/>
          <w:sz w:val="32"/>
          <w:szCs w:val="32"/>
          <w:cs/>
        </w:rPr>
        <w:t xml:space="preserve">1.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เปิดโอกาสให้ภาคการเงินใช้ประโยชน์จากเทคโนโลยีและข้อมูล ภายใต้หลักการ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3 open (open competition, open infrastructure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และ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open data)</w:t>
      </w:r>
    </w:p>
    <w:p w14:paraId="222E015C" w14:textId="00A3F0BE" w:rsidR="00671461" w:rsidRPr="00671461" w:rsidRDefault="00671461" w:rsidP="00671461">
      <w:pPr>
        <w:spacing w:after="0"/>
        <w:ind w:firstLine="720"/>
        <w:rPr>
          <w:rStyle w:val="aa"/>
          <w:rFonts w:ascii="TH SarabunPSK" w:hAnsi="TH SarabunPSK" w:cs="TH SarabunPSK" w:hint="cs"/>
          <w:i w:val="0"/>
          <w:iCs w:val="0"/>
          <w:sz w:val="32"/>
          <w:szCs w:val="32"/>
        </w:rPr>
      </w:pPr>
      <w:r>
        <w:rPr>
          <w:rStyle w:val="aa"/>
          <w:rFonts w:ascii="TH SarabunPSK" w:hAnsi="TH SarabunPSK" w:cs="TH SarabunPSK" w:hint="cs"/>
          <w:i w:val="0"/>
          <w:iCs w:val="0"/>
          <w:sz w:val="32"/>
          <w:szCs w:val="32"/>
          <w:cs/>
        </w:rPr>
        <w:t xml:space="preserve">2.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สนับสนุนให้ภาคธุรกิจและครัวเรือนปรับตัวเข้าสู่เศรษฐกิจการเงินดิจิทัลและรับมือกับความเสี่ยงด้านสิ่งแวดล้อมได้อย่างยั่งยืน</w:t>
      </w:r>
    </w:p>
    <w:p w14:paraId="342D5F48" w14:textId="673E571D" w:rsidR="00671461" w:rsidRDefault="00671461" w:rsidP="00671461">
      <w:pPr>
        <w:spacing w:after="0"/>
        <w:ind w:firstLine="720"/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</w:pPr>
      <w:r>
        <w:rPr>
          <w:rStyle w:val="aa"/>
          <w:rFonts w:ascii="TH SarabunPSK" w:hAnsi="TH SarabunPSK" w:cs="TH SarabunPSK" w:hint="cs"/>
          <w:i w:val="0"/>
          <w:iCs w:val="0"/>
          <w:sz w:val="32"/>
          <w:szCs w:val="32"/>
          <w:cs/>
        </w:rPr>
        <w:t xml:space="preserve">3.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กำกับดูแลอย่างยืดหยุ่นและสร้างภูมิคุ้มกันให้ภาคการเงินรับมือกับความเสี่ยงได้อย่างเท่าทัน</w:t>
      </w:r>
    </w:p>
    <w:p w14:paraId="3907B9C0" w14:textId="23ABDE9C" w:rsidR="00671461" w:rsidRPr="00671461" w:rsidRDefault="00671461" w:rsidP="00671461">
      <w:pPr>
        <w:spacing w:after="0"/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</w:pPr>
      <w:r>
        <w:rPr>
          <w:rFonts w:ascii="DB_Surawong_X" w:hAnsi="DB_Surawong_X"/>
          <w:color w:val="3E3E3E"/>
          <w:sz w:val="20"/>
          <w:szCs w:val="20"/>
        </w:rPr>
        <w:t>​</w:t>
      </w:r>
      <w:r>
        <w:rPr>
          <w:rFonts w:ascii="DB_Surawong_X" w:hAnsi="DB_Surawong_X"/>
          <w:color w:val="3E3E3E"/>
          <w:sz w:val="20"/>
          <w:szCs w:val="20"/>
          <w:cs/>
        </w:rPr>
        <w:tab/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ธปท. ปรับแนวทางดูแลกลุ่ม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. ส่งเสริมการพัฒนาบริการผ่านเทคโนโลยี ยกระดับธุรกิจสินทรัพย์ดิจิทัล ยกเลิกข้อจำกัดการลงทุนในธุรกิจ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FinTech</w:t>
      </w:r>
    </w:p>
    <w:p w14:paraId="786DBD35" w14:textId="77777777" w:rsidR="00671461" w:rsidRPr="00671461" w:rsidRDefault="00671461" w:rsidP="00671461">
      <w:pPr>
        <w:spacing w:after="0"/>
        <w:ind w:firstLine="720"/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</w:pP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นางรุ่ง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มัล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ลิกะมาส ผู้ช่วยผู้ว่าการ สายนโยบายสถาบันการเงิน ธนาคารแห่งประเทศไทย (ธปท.) เปิดเผยว่า ภายใต้แนวนโยบายภูมิทัศน์ใหม่ภาคการเงินไทยเพื่อเศรษฐกิจดิจิทัลและการเติบโตอย่างยั่งยืน (แนวนโยบาย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Financial Landscape)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ที่มุ่งเน้นการสร้างสมดุลระหว่างการส่งเสริมนวัตกรรมและการบริหารความเสี่ยง เพื่อให้ภาคการเงินสามารถใช้ประโยชน์จากเทคโนโลยีในการพัฒนานวัตกรรมและบริการทางการเงินที่ดีขึ้น และสามารถบริหารจัดการความเสี่ยงใหม่ ๆ ได้อย่างเหมาะสมนั้น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 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ที่ผ่านมาเทคโนโลยีในภาคการเงินที่เปลี่ยนแปลงไปอย่างรวดเร็วผลักดันให้ธนาคารพาณิชย์ (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.) เริ่มปรับโครงสร้างกลุ่มธุรกิจทางการเงิน (กลุ่ม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.) และให้ความสนใจกับการเพิ่มบทบาทในธุรกิจสินทรัพย์ดิจิทัล (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digital assets: DA)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มากขึ้น ซึ่งเป็นโอกาสในการยกระดับการให้บริการทางการเงิน แต่ก็อาจทำให้เกิดความเสี่ยงรูปแบบใหม่ ๆ ธปท. จึงได้ปรับปรุงเกณฑ์ให้กลุ่ม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. มีความยืดหยุ่นมากขึ้นในการประกอบธุรกิจ และยกระดับการกำกับกลุ่ม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. ให้สอดคล้องกับความเสี่ยงที่เปลี่ยนไป โดยพิจารณาทั้งประโยชน์ต่อประชาชนและความเสี่ยงต่อเสถียรภาพของระบบการเงินโดยรวม ซึ่งมีสาระสำคัญดังนี้</w:t>
      </w:r>
    </w:p>
    <w:p w14:paraId="25009EE1" w14:textId="77777777" w:rsidR="00671461" w:rsidRPr="00671461" w:rsidRDefault="00671461" w:rsidP="00671461">
      <w:pPr>
        <w:spacing w:after="0"/>
        <w:ind w:firstLine="720"/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</w:pP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• 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ยกเลิกเพดานการลงทุนในธุรกิจ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FinTech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จากเดิมที่เคยกำหนดไว้ที่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3%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ของเงินกองทุน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 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เพื่อให้กลุ่ม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. ใช้ประโยชน์จากเทคโนโลยีทางการเงิน (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FinTech)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ได้มากขึ้น เนื่องจากเห็นประโยชน์ที่ชัดเจน อีกทั้ง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lastRenderedPageBreak/>
        <w:t xml:space="preserve">กลุ่ม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. มีประสบการณ์การลงทุนในธุรกิจ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FinTech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มากขึ้น และหน่วยงานกำกับดูแลมีแนวทางดูแลความเสี่ยงในระดับหนึ่งแล้ว</w:t>
      </w:r>
    </w:p>
    <w:p w14:paraId="23DBE4B3" w14:textId="77777777" w:rsidR="00671461" w:rsidRPr="00671461" w:rsidRDefault="00671461" w:rsidP="00671461">
      <w:pPr>
        <w:spacing w:after="0"/>
        <w:ind w:firstLine="720"/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</w:pP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• 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ให้บริษัทในกลุ่ม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. สามารถลงทุนในกิจการที่ประกอบธุรกิจที่เกี่ยวข้องกับ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DA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ภายใต้เพดานที่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3%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ของเงินกองทุน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 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เพื่อให้การขยายตัวเป็นไปอย่างค่อยเป็นค่อยไป ช่วยจำกัดความเสี่ยงใหม่ ๆ ที่อาจกระทบความเชื่อมั่นต่อ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. และให้กลุ่ม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. พิจารณาการลงทุนหรือจัดสรรทรัพยากรอย่างรอบคอบ โดยเมื่อมีมาตรฐานการกำกับดูแลที่เป็นสากลหรือมีแนวทางการบริหารความเสี่ยงที่ชัดเจนเพียงพอ ก็สามารถปรับเพิ่มหรือยกเลิกเพดานการลงทุนที่กำหนดได้เป็นการทั่วไป เช่นเดียวกับเพดานการลงทุนในธุรกิจ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FinTech</w:t>
      </w:r>
    </w:p>
    <w:p w14:paraId="45E15B07" w14:textId="77777777" w:rsidR="00671461" w:rsidRPr="00671461" w:rsidRDefault="00671461" w:rsidP="00671461">
      <w:pPr>
        <w:spacing w:after="0"/>
        <w:ind w:firstLine="720"/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</w:pP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• 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หาก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. สามารถยกระดับมาตรฐานของกิจการ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DA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ใดให้เป็นไปตามที่กำหนดได้ เช่น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 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เรื่องธรรมา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ภิ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บาล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 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การดูแลความเสี่ยงระบบงาน และการคุ้มครองผู้ใช้บริการ อนุญาตให้ไม่นับเงินลงทุนของกิจการนั้นในเพดานการลงทุน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 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เพื่อสร้างแรงจูงใจในการยกระดับมาตรฐานการดำเนินธุรกิจ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DA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ในกลุ่ม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. อันจะนำไปสู่การยกระดับมาตรฐานธุรกิจ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DA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ของประเทศ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 </w:t>
      </w:r>
    </w:p>
    <w:p w14:paraId="716DF7A1" w14:textId="77777777" w:rsidR="00671461" w:rsidRPr="00671461" w:rsidRDefault="00671461" w:rsidP="00671461">
      <w:pPr>
        <w:spacing w:after="0"/>
        <w:ind w:firstLine="720"/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</w:pP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• 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ให้ธุรกิจที่ยังมีความเสี่ยงหรือยังไม่มีหน่วยงานกำกับดูแล สามารถดำเนินงานในกรอบ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Sandbox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ได้ในวงจำกัดก่อน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 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เพื่อพิจารณาถึงประโยชน์ของประเทศ การดูแลความเสี่ยง และผลกระทบต่อระบบในภาพรวม ก่อนการให้บริการในวงกว้างต่อไป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  </w:t>
      </w:r>
    </w:p>
    <w:p w14:paraId="22C1BE65" w14:textId="77777777" w:rsidR="00671461" w:rsidRPr="00671461" w:rsidRDefault="00671461" w:rsidP="00671461">
      <w:pPr>
        <w:spacing w:after="0"/>
        <w:ind w:firstLine="720"/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</w:pP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• 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ให้กลุ่ม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. จำกัดความเสี่ยงจากความเชื่อมโยงที่อาจเกิดต่อ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.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 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เพื่อให้การดำเนินงานในธุรกิจใหม่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 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ๆ ของกลุ่ม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. ไม่กระทบต่อผู้ฝากเงินและระบบการเงิน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 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โดยยังไม่อนุญาตให้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. ประกอบธุรกิจ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DA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ได้โดยตรง กลุ่ม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. มีโครงสร้างกรรมการที่ไม่มีการขัดกันของผลประโยชน์ มีเงินกองทุนเพียงพอรองรับความเสี่ยงใหม่ ๆ และ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. มีระบบงานต่าง ๆ แยกออกจากธุรกิจที่มีความเสี่ยง</w:t>
      </w:r>
    </w:p>
    <w:p w14:paraId="7DB1F989" w14:textId="77777777" w:rsidR="00671461" w:rsidRPr="00671461" w:rsidRDefault="00671461" w:rsidP="00671461">
      <w:pPr>
        <w:spacing w:after="0"/>
        <w:ind w:firstLine="720"/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</w:pP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นอกจากนี้ กลุ่ม </w:t>
      </w:r>
      <w:proofErr w:type="spellStart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ธพ</w:t>
      </w:r>
      <w:proofErr w:type="spellEnd"/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. ในฐานะที่เป็นกลุ่มธุรกิจที่ถูกกำกับดูแลอย่างเข้มข้น ได้รับความไว้วางใจจากสาธารณชน และสามารถขยายตลาดสำหรับบริการใหม่ ๆ ได้เร็วจากฐานลูกค้าที่กว้างและหลากหลาย ซึ่งรวมถึงประชาชนกลุ่มเปราะบางด้วยนั้น จะต้องให้ความสำคัญกับการคุ้มครองผู้ใช้บริการ การแนะนำผลิตภัณฑ์ใหม่ ๆ โดยเฉพาะ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DA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>ที่มีความเสี่ยงสูงจึงต้องทำอย่างระมัดระวัง พิจารณาถึงความรู้ทางการลงทุนและความสามารถในการรับความเสี่ยงของลูกค้าด้วย</w:t>
      </w:r>
    </w:p>
    <w:p w14:paraId="2FBEFC99" w14:textId="77777777" w:rsidR="00671461" w:rsidRPr="00671461" w:rsidRDefault="00671461" w:rsidP="00671461">
      <w:pPr>
        <w:spacing w:after="0"/>
        <w:ind w:firstLine="720"/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</w:pP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ธปท. เชื่อว่าการปรับเกณฑ์ดังกล่าว จะเอื้อให้ธุรกิจในภาคการเงินสามารถปรับตัวได้เท่าทันการเปลี่ยนแปลงของเทคโนโลยี สามารถดำเนินธุรกิจให้เติบโตได้อย่างยั่งยืน ระบบการเงินได้รับประโยชน์จากการแข่งขัน เกิดการพัฒนาบริการให้มีประสิทธิภาพ เพิ่มการเข้าถึงบริการทางการเงินของประชาชน และทำให้ธุรกิจ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DA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ในประเทศมีมาตรฐานการบริการที่เป็นที่ยอมรับ ภายใต้การบริหารความเสี่ยงที่ดี ผู้บริโภคได้รับการคุ้มครองอย่างเหมาะสม ซึ่งสอดคล้องกับผลลัพธ์ที่คาดหวัง รวมทั้งผลการรับฟังความคิดเห็นต่อแนวนโยบาย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Financial Landscape</w:t>
      </w:r>
    </w:p>
    <w:p w14:paraId="5DA0CEA5" w14:textId="46F9AFAA" w:rsidR="00671461" w:rsidRPr="00671461" w:rsidRDefault="00671461" w:rsidP="00671461">
      <w:pPr>
        <w:spacing w:after="0"/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</w:pP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lastRenderedPageBreak/>
        <w:t xml:space="preserve">ทั้งนี้ ธปท. จะออกร่างหลักเกณฑ์เพื่อรับฟังความเห็นบน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 xml:space="preserve">BOT website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  <w:cs/>
        </w:rPr>
        <w:t xml:space="preserve">ก่อนที่จะออกประกาศหลักเกณฑ์ที่เกี่ยวข้องภายในครึ่งแรกของปี </w:t>
      </w:r>
      <w:r w:rsidRPr="00671461">
        <w:rPr>
          <w:rStyle w:val="aa"/>
          <w:rFonts w:ascii="TH SarabunPSK" w:hAnsi="TH SarabunPSK" w:cs="TH SarabunPSK"/>
          <w:i w:val="0"/>
          <w:iCs w:val="0"/>
          <w:sz w:val="32"/>
          <w:szCs w:val="32"/>
        </w:rPr>
        <w:t>2565</w:t>
      </w:r>
    </w:p>
    <w:sectPr w:rsidR="00671461" w:rsidRPr="00671461" w:rsidSect="00A7571D">
      <w:headerReference w:type="even" r:id="rId8"/>
      <w:headerReference w:type="default" r:id="rId9"/>
      <w:headerReference w:type="first" r:id="rId10"/>
      <w:pgSz w:w="11906" w:h="16838"/>
      <w:pgMar w:top="1081" w:right="1416" w:bottom="709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FAD93" w14:textId="77777777" w:rsidR="007B746E" w:rsidRDefault="007B746E" w:rsidP="006835C8">
      <w:pPr>
        <w:spacing w:after="0" w:line="240" w:lineRule="auto"/>
      </w:pPr>
      <w:r>
        <w:separator/>
      </w:r>
    </w:p>
  </w:endnote>
  <w:endnote w:type="continuationSeparator" w:id="0">
    <w:p w14:paraId="7D1AFDEA" w14:textId="77777777" w:rsidR="007B746E" w:rsidRDefault="007B746E" w:rsidP="006835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  <w:embedRegular r:id="rId1" w:fontKey="{9D3B375C-605F-44B4-91DB-A93B22D3631F}"/>
    <w:embedBold r:id="rId2" w:fontKey="{8880323E-C02C-4C79-848F-B06169B1FF87}"/>
  </w:font>
  <w:font w:name="TH SarabunPSK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801DF281-8296-45A8-9007-860E22373A0A}"/>
    <w:embedBold r:id="rId4" w:fontKey="{2B0A695B-F53D-41E7-8074-2DF4670DFB28}"/>
  </w:font>
  <w:font w:name="DB_Surawong_X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232E9" w14:textId="77777777" w:rsidR="007B746E" w:rsidRDefault="007B746E" w:rsidP="006835C8">
      <w:pPr>
        <w:spacing w:after="0" w:line="240" w:lineRule="auto"/>
      </w:pPr>
      <w:r>
        <w:separator/>
      </w:r>
    </w:p>
  </w:footnote>
  <w:footnote w:type="continuationSeparator" w:id="0">
    <w:p w14:paraId="5A1D37C4" w14:textId="77777777" w:rsidR="007B746E" w:rsidRDefault="007B746E" w:rsidP="006835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03019" w14:textId="77777777" w:rsidR="008C3FB0" w:rsidRDefault="007B746E">
    <w:pPr>
      <w:pStyle w:val="a3"/>
    </w:pPr>
    <w:r>
      <w:rPr>
        <w:noProof/>
      </w:rPr>
      <w:pict w14:anchorId="2DAC33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5032" o:spid="_x0000_s2118" type="#_x0000_t75" style="position:absolute;margin-left:0;margin-top:0;width:226.8pt;height:402.95pt;z-index:-251657216;mso-position-horizontal:center;mso-position-horizontal-relative:margin;mso-position-vertical:center;mso-position-vertical-relative:margin" o:allowincell="f">
          <v:imagedata r:id="rId1" o:title="Th_color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0813843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20"/>
        <w:szCs w:val="24"/>
      </w:rPr>
    </w:sdtEndPr>
    <w:sdtContent>
      <w:p w14:paraId="0C363367" w14:textId="77777777" w:rsidR="00A169BE" w:rsidRDefault="007B746E" w:rsidP="00A169BE">
        <w:pPr>
          <w:pStyle w:val="a3"/>
          <w:jc w:val="right"/>
          <w:rPr>
            <w:rFonts w:ascii="TH SarabunPSK" w:hAnsi="TH SarabunPSK" w:cs="TH SarabunPSK"/>
          </w:rPr>
        </w:pPr>
        <w:r>
          <w:rPr>
            <w:rFonts w:ascii="TH SarabunPSK" w:hAnsi="TH SarabunPSK" w:cs="TH SarabunPSK"/>
            <w:noProof/>
          </w:rPr>
          <w:pict w14:anchorId="423EACBA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6995033" o:spid="_x0000_s2119" type="#_x0000_t75" style="position:absolute;left:0;text-align:left;margin-left:0;margin-top:0;width:226.8pt;height:402.95pt;z-index:-251656192;mso-position-horizontal:center;mso-position-horizontal-relative:margin;mso-position-vertical:center;mso-position-vertical-relative:margin" o:allowincell="f">
              <v:imagedata r:id="rId1" o:title="Th_color-1" gain="19661f" blacklevel="22938f"/>
              <w10:wrap anchorx="margin" anchory="margin"/>
            </v:shape>
          </w:pict>
        </w:r>
        <w:r w:rsidR="00A169BE" w:rsidRPr="00A169BE">
          <w:rPr>
            <w:rFonts w:ascii="TH SarabunPSK" w:hAnsi="TH SarabunPSK" w:cs="TH SarabunPSK"/>
            <w:noProof/>
          </w:rPr>
          <w:t xml:space="preserve"> </w:t>
        </w:r>
        <w:r w:rsidR="00A169BE" w:rsidRPr="00796F77">
          <w:rPr>
            <w:rFonts w:ascii="TH SarabunPSK" w:hAnsi="TH SarabunPSK" w:cs="TH SarabunPSK"/>
            <w:cs/>
            <w:lang w:val="th-TH"/>
          </w:rPr>
          <w:t xml:space="preserve">หน้า </w:t>
        </w:r>
        <w:r w:rsidR="00A169BE" w:rsidRPr="00796F77">
          <w:rPr>
            <w:rFonts w:ascii="TH SarabunPSK" w:hAnsi="TH SarabunPSK" w:cs="TH SarabunPSK"/>
            <w:b/>
            <w:bCs/>
            <w:sz w:val="30"/>
            <w:szCs w:val="30"/>
          </w:rPr>
          <w:fldChar w:fldCharType="begin"/>
        </w:r>
        <w:r w:rsidR="00A169BE" w:rsidRPr="00796F77">
          <w:rPr>
            <w:rFonts w:ascii="TH SarabunPSK" w:hAnsi="TH SarabunPSK" w:cs="TH SarabunPSK"/>
            <w:b/>
            <w:bCs/>
            <w:cs/>
          </w:rPr>
          <w:instrText>PAGE</w:instrText>
        </w:r>
        <w:r w:rsidR="00A169BE" w:rsidRPr="00796F77">
          <w:rPr>
            <w:rFonts w:ascii="TH SarabunPSK" w:hAnsi="TH SarabunPSK" w:cs="TH SarabunPSK"/>
            <w:b/>
            <w:bCs/>
            <w:sz w:val="30"/>
            <w:szCs w:val="30"/>
          </w:rPr>
          <w:fldChar w:fldCharType="separate"/>
        </w:r>
        <w:r w:rsidR="007E2C62">
          <w:rPr>
            <w:rFonts w:ascii="TH SarabunPSK" w:hAnsi="TH SarabunPSK" w:cs="TH SarabunPSK"/>
            <w:b/>
            <w:bCs/>
            <w:noProof/>
            <w:sz w:val="30"/>
            <w:szCs w:val="30"/>
          </w:rPr>
          <w:t>1</w:t>
        </w:r>
        <w:r w:rsidR="00A169BE" w:rsidRPr="00796F77">
          <w:rPr>
            <w:rFonts w:ascii="TH SarabunPSK" w:hAnsi="TH SarabunPSK" w:cs="TH SarabunPSK"/>
            <w:b/>
            <w:bCs/>
            <w:sz w:val="30"/>
            <w:szCs w:val="30"/>
          </w:rPr>
          <w:fldChar w:fldCharType="end"/>
        </w:r>
        <w:r w:rsidR="00A169BE" w:rsidRPr="00796F77">
          <w:rPr>
            <w:rFonts w:ascii="TH SarabunPSK" w:hAnsi="TH SarabunPSK" w:cs="TH SarabunPSK"/>
            <w:cs/>
            <w:lang w:val="th-TH"/>
          </w:rPr>
          <w:t xml:space="preserve"> จาก </w:t>
        </w:r>
        <w:r w:rsidR="00A169BE" w:rsidRPr="00796F77">
          <w:rPr>
            <w:rFonts w:ascii="TH SarabunPSK" w:hAnsi="TH SarabunPSK" w:cs="TH SarabunPSK"/>
            <w:b/>
            <w:bCs/>
            <w:sz w:val="30"/>
            <w:szCs w:val="30"/>
          </w:rPr>
          <w:fldChar w:fldCharType="begin"/>
        </w:r>
        <w:r w:rsidR="00A169BE" w:rsidRPr="00796F77">
          <w:rPr>
            <w:rFonts w:ascii="TH SarabunPSK" w:hAnsi="TH SarabunPSK" w:cs="TH SarabunPSK"/>
            <w:b/>
            <w:bCs/>
            <w:cs/>
          </w:rPr>
          <w:instrText>NUMPAGES</w:instrText>
        </w:r>
        <w:r w:rsidR="00A169BE" w:rsidRPr="00796F77">
          <w:rPr>
            <w:rFonts w:ascii="TH SarabunPSK" w:hAnsi="TH SarabunPSK" w:cs="TH SarabunPSK"/>
            <w:b/>
            <w:bCs/>
            <w:sz w:val="30"/>
            <w:szCs w:val="30"/>
          </w:rPr>
          <w:fldChar w:fldCharType="separate"/>
        </w:r>
        <w:r w:rsidR="007E2C62">
          <w:rPr>
            <w:rFonts w:ascii="TH SarabunPSK" w:hAnsi="TH SarabunPSK" w:cs="TH SarabunPSK"/>
            <w:b/>
            <w:bCs/>
            <w:noProof/>
            <w:sz w:val="30"/>
            <w:szCs w:val="30"/>
          </w:rPr>
          <w:t>2</w:t>
        </w:r>
        <w:r w:rsidR="00A169BE" w:rsidRPr="00796F77">
          <w:rPr>
            <w:rFonts w:ascii="TH SarabunPSK" w:hAnsi="TH SarabunPSK" w:cs="TH SarabunPSK"/>
            <w:b/>
            <w:bCs/>
            <w:sz w:val="30"/>
            <w:szCs w:val="30"/>
          </w:rPr>
          <w:fldChar w:fldCharType="end"/>
        </w:r>
      </w:p>
      <w:p w14:paraId="165E9CC9" w14:textId="5209F31F" w:rsidR="00450F07" w:rsidRDefault="00796F77" w:rsidP="00A169BE">
        <w:pPr>
          <w:pStyle w:val="a3"/>
          <w:jc w:val="center"/>
          <w:rPr>
            <w:rFonts w:ascii="TH Sarabun New" w:hAnsi="TH Sarabun New" w:cs="TH Sarabun New"/>
            <w:b/>
            <w:bCs/>
            <w:sz w:val="36"/>
            <w:szCs w:val="36"/>
            <w:cs/>
          </w:rPr>
        </w:pPr>
        <w:r w:rsidRPr="004E5BA6">
          <w:rPr>
            <w:rFonts w:ascii="TH Sarabun New" w:hAnsi="TH Sarabun New" w:cs="TH Sarabun New"/>
            <w:b/>
            <w:bCs/>
            <w:sz w:val="36"/>
            <w:szCs w:val="36"/>
            <w:cs/>
          </w:rPr>
          <w:t>กระดาษคำตอบ</w:t>
        </w:r>
      </w:p>
      <w:p w14:paraId="46B1957D" w14:textId="44D42572" w:rsidR="00796F77" w:rsidRPr="00BA3AA4" w:rsidRDefault="00C85762" w:rsidP="00D40CCE">
        <w:pPr>
          <w:spacing w:after="0" w:line="276" w:lineRule="auto"/>
          <w:jc w:val="center"/>
          <w:rPr>
            <w:rFonts w:ascii="TH Sarabun New" w:hAnsi="TH Sarabun New" w:cs="TH Sarabun New"/>
            <w:b/>
            <w:bCs/>
            <w:sz w:val="32"/>
            <w:szCs w:val="32"/>
          </w:rPr>
        </w:pPr>
        <w:r>
          <w:rPr>
            <w:rFonts w:ascii="TH Sarabun New" w:hAnsi="TH Sarabun New" w:cs="TH Sarabun New" w:hint="cs"/>
            <w:b/>
            <w:bCs/>
            <w:noProof/>
            <w:sz w:val="32"/>
            <w:szCs w:val="32"/>
            <w:lang w:val="th-TH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19B60E97" wp14:editId="442947C9">
                  <wp:simplePos x="0" y="0"/>
                  <wp:positionH relativeFrom="column">
                    <wp:posOffset>797442</wp:posOffset>
                  </wp:positionH>
                  <wp:positionV relativeFrom="paragraph">
                    <wp:posOffset>239380</wp:posOffset>
                  </wp:positionV>
                  <wp:extent cx="2434856" cy="323850"/>
                  <wp:effectExtent l="0" t="0" r="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34856" cy="3238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E00A01" w14:textId="63D8C55C" w:rsidR="0025531B" w:rsidRPr="00C85762" w:rsidRDefault="00C85762" w:rsidP="00C85762">
                              <w:pPr>
                                <w:rPr>
                                  <w:rStyle w:val="aa"/>
                                  <w:rFonts w:ascii="TH SarabunPSK" w:hAnsi="TH SarabunPSK" w:cs="TH SarabunPSK"/>
                                  <w:i w:val="0"/>
                                  <w:iCs w:val="0"/>
                                  <w:sz w:val="32"/>
                                  <w:szCs w:val="32"/>
                                </w:rPr>
                              </w:pPr>
                              <w:r w:rsidRPr="00C85762">
                                <w:rPr>
                                  <w:rStyle w:val="aa"/>
                                  <w:rFonts w:ascii="TH SarabunPSK" w:hAnsi="TH SarabunPSK" w:cs="TH SarabunPSK"/>
                                  <w:i w:val="0"/>
                                  <w:iCs w:val="0"/>
                                  <w:sz w:val="32"/>
                                  <w:szCs w:val="32"/>
                                </w:rPr>
                                <w:t xml:space="preserve">LW013210 </w:t>
                              </w:r>
                              <w:r w:rsidRPr="00C85762">
                                <w:rPr>
                                  <w:rStyle w:val="aa"/>
                                  <w:rFonts w:ascii="TH SarabunPSK" w:hAnsi="TH SarabunPSK" w:cs="TH SarabunPSK"/>
                                  <w:i w:val="0"/>
                                  <w:iCs w:val="0"/>
                                  <w:sz w:val="32"/>
                                  <w:szCs w:val="32"/>
                                  <w:cs/>
                                </w:rPr>
                                <w:t>กฎหมายการแข่งขันการค้า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19B60E97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26" type="#_x0000_t202" style="position:absolute;left:0;text-align:left;margin-left:62.8pt;margin-top:18.85pt;width:191.7pt;height:25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" filled="f" stroked="f" strokeweight=".5pt">
                  <v:textbox>
                    <w:txbxContent>
                      <w:p w14:paraId="29E00A01" w14:textId="63D8C55C" w:rsidR="0025531B" w:rsidRPr="00C85762" w:rsidRDefault="00C85762" w:rsidP="00C85762">
                        <w:pPr>
                          <w:rPr>
                            <w:rStyle w:val="aa"/>
                            <w:rFonts w:ascii="TH SarabunPSK" w:hAnsi="TH SarabunPSK" w:cs="TH SarabunPSK"/>
                            <w:i w:val="0"/>
                            <w:iCs w:val="0"/>
                            <w:sz w:val="32"/>
                            <w:szCs w:val="32"/>
                          </w:rPr>
                        </w:pPr>
                        <w:r w:rsidRPr="00C85762">
                          <w:rPr>
                            <w:rStyle w:val="aa"/>
                            <w:rFonts w:ascii="TH SarabunPSK" w:hAnsi="TH SarabunPSK" w:cs="TH SarabunPSK"/>
                            <w:i w:val="0"/>
                            <w:iCs w:val="0"/>
                            <w:sz w:val="32"/>
                            <w:szCs w:val="32"/>
                          </w:rPr>
                          <w:t xml:space="preserve">LW013210 </w:t>
                        </w:r>
                        <w:r w:rsidRPr="00C85762">
                          <w:rPr>
                            <w:rStyle w:val="aa"/>
                            <w:rFonts w:ascii="TH SarabunPSK" w:hAnsi="TH SarabunPSK" w:cs="TH SarabunPSK"/>
                            <w:i w:val="0"/>
                            <w:iCs w:val="0"/>
                            <w:sz w:val="32"/>
                            <w:szCs w:val="32"/>
                            <w:cs/>
                          </w:rPr>
                          <w:t>กฎหมายการแข่งขันการค้า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25531B">
          <w:rPr>
            <w:rFonts w:ascii="TH Sarabun New" w:hAnsi="TH Sarabun New" w:cs="TH Sarabun New" w:hint="cs"/>
            <w:b/>
            <w:bCs/>
            <w:noProof/>
            <w:sz w:val="32"/>
            <w:szCs w:val="32"/>
            <w:lang w:val="th-TH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560B59C0" wp14:editId="0ED9317E">
                  <wp:simplePos x="0" y="0"/>
                  <wp:positionH relativeFrom="margin">
                    <wp:posOffset>5124450</wp:posOffset>
                  </wp:positionH>
                  <wp:positionV relativeFrom="paragraph">
                    <wp:posOffset>244475</wp:posOffset>
                  </wp:positionV>
                  <wp:extent cx="342900" cy="352425"/>
                  <wp:effectExtent l="0" t="0" r="0" b="0"/>
                  <wp:wrapNone/>
                  <wp:docPr id="4" name="Text Box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429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678394" w14:textId="0ED3EC51" w:rsidR="0025531B" w:rsidRPr="0025531B" w:rsidRDefault="00C85762" w:rsidP="0025531B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32"/>
                                  <w: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60B59C0" id="Text Box 4" o:spid="_x0000_s1027" type="#_x0000_t202" style="position:absolute;left:0;text-align:left;margin-left:403.5pt;margin-top:19.25pt;width:27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" filled="f" stroked="f" strokeweight=".5pt">
                  <v:textbox>
                    <w:txbxContent>
                      <w:p w14:paraId="3C678394" w14:textId="0ED3EC51" w:rsidR="0025531B" w:rsidRPr="0025531B" w:rsidRDefault="00C85762" w:rsidP="0025531B">
                        <w:pPr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32"/>
                            <w:cs/>
                          </w:rPr>
                          <w:t>1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25531B">
          <w:rPr>
            <w:rFonts w:ascii="TH Sarabun New" w:hAnsi="TH Sarabun New" w:cs="TH Sarabun New" w:hint="cs"/>
            <w:b/>
            <w:bCs/>
            <w:noProof/>
            <w:sz w:val="32"/>
            <w:szCs w:val="32"/>
            <w:lang w:val="th-TH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71986DCC" wp14:editId="113FB5FB">
                  <wp:simplePos x="0" y="0"/>
                  <wp:positionH relativeFrom="margin">
                    <wp:align>right</wp:align>
                  </wp:positionH>
                  <wp:positionV relativeFrom="paragraph">
                    <wp:posOffset>568325</wp:posOffset>
                  </wp:positionV>
                  <wp:extent cx="1000125" cy="352425"/>
                  <wp:effectExtent l="0" t="0" r="0" b="0"/>
                  <wp:wrapNone/>
                  <wp:docPr id="3" name="Text Box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00012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B4F0274" w14:textId="0B74C2F1" w:rsidR="0025531B" w:rsidRPr="0025531B" w:rsidRDefault="0025531B" w:rsidP="0025531B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TH SarabunPSK" w:hAnsi="TH SarabunPSK" w:cs="TH SarabunPSK" w:hint="cs"/>
                                  <w:sz w:val="24"/>
                                  <w:szCs w:val="32"/>
                                  <w:cs/>
                                </w:rPr>
                                <w:t>623270563-8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71986DCC" id="Text Box 3" o:spid="_x0000_s1028" type="#_x0000_t202" style="position:absolute;left:0;text-align:left;margin-left:27.55pt;margin-top:44.75pt;width:78.75pt;height:27.7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" filled="f" stroked="f" strokeweight=".5pt">
                  <v:textbox>
                    <w:txbxContent>
                      <w:p w14:paraId="1B4F0274" w14:textId="0B74C2F1" w:rsidR="0025531B" w:rsidRPr="0025531B" w:rsidRDefault="0025531B" w:rsidP="0025531B">
                        <w:pPr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</w:pPr>
                        <w:r>
                          <w:rPr>
                            <w:rFonts w:ascii="TH SarabunPSK" w:hAnsi="TH SarabunPSK" w:cs="TH SarabunPSK" w:hint="cs"/>
                            <w:sz w:val="24"/>
                            <w:szCs w:val="32"/>
                            <w:cs/>
                          </w:rPr>
                          <w:t>623270563-8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25531B">
          <w:rPr>
            <w:rFonts w:ascii="TH Sarabun New" w:hAnsi="TH Sarabun New" w:cs="TH Sarabun New" w:hint="cs"/>
            <w:b/>
            <w:bCs/>
            <w:noProof/>
            <w:sz w:val="32"/>
            <w:szCs w:val="32"/>
            <w:lang w:val="th-TH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6517C094" wp14:editId="47D221DE">
                  <wp:simplePos x="0" y="0"/>
                  <wp:positionH relativeFrom="column">
                    <wp:posOffset>1047750</wp:posOffset>
                  </wp:positionH>
                  <wp:positionV relativeFrom="paragraph">
                    <wp:posOffset>567690</wp:posOffset>
                  </wp:positionV>
                  <wp:extent cx="1752600" cy="352425"/>
                  <wp:effectExtent l="0" t="0" r="0" b="0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752600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1696BB" w14:textId="4870E5A2" w:rsidR="0025531B" w:rsidRPr="0025531B" w:rsidRDefault="0025531B">
                              <w:pPr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</w:rPr>
                              </w:pPr>
                              <w:r w:rsidRPr="0025531B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>นางสาว</w:t>
                              </w:r>
                              <w:proofErr w:type="spellStart"/>
                              <w:r w:rsidRPr="0025531B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>ธนัช</w:t>
                              </w:r>
                              <w:proofErr w:type="spellEnd"/>
                              <w:r w:rsidRPr="0025531B">
                                <w:rPr>
                                  <w:rFonts w:ascii="TH SarabunPSK" w:hAnsi="TH SarabunPSK" w:cs="TH SarabunPSK"/>
                                  <w:sz w:val="24"/>
                                  <w:szCs w:val="32"/>
                                  <w:cs/>
                                </w:rPr>
                                <w:t>ชา วิลัยฤทธิ์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6517C094" id="Text Box 2" o:spid="_x0000_s1029" type="#_x0000_t202" style="position:absolute;left:0;text-align:left;margin-left:82.5pt;margin-top:44.7pt;width:138pt;height:2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" filled="f" stroked="f" strokeweight=".5pt">
                  <v:textbox>
                    <w:txbxContent>
                      <w:p w14:paraId="4E1696BB" w14:textId="4870E5A2" w:rsidR="0025531B" w:rsidRPr="0025531B" w:rsidRDefault="0025531B">
                        <w:pPr>
                          <w:rPr>
                            <w:rFonts w:ascii="TH SarabunPSK" w:hAnsi="TH SarabunPSK" w:cs="TH SarabunPSK"/>
                            <w:sz w:val="24"/>
                            <w:szCs w:val="32"/>
                          </w:rPr>
                        </w:pPr>
                        <w:r w:rsidRPr="0025531B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>นางสาว</w:t>
                        </w:r>
                        <w:proofErr w:type="spellStart"/>
                        <w:r w:rsidRPr="0025531B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>ธนัช</w:t>
                        </w:r>
                        <w:proofErr w:type="spellEnd"/>
                        <w:r w:rsidRPr="0025531B">
                          <w:rPr>
                            <w:rFonts w:ascii="TH SarabunPSK" w:hAnsi="TH SarabunPSK" w:cs="TH SarabunPSK"/>
                            <w:sz w:val="24"/>
                            <w:szCs w:val="32"/>
                            <w:cs/>
                          </w:rPr>
                          <w:t>ชา วิลัยฤทธิ์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4E5BA6" w:rsidRPr="00D40CCE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>คณะนิติศาสตร์ มหาวิทยาลัยขอนแก่น</w:t>
        </w:r>
        <w:r w:rsidR="00450F07">
          <w:rPr>
            <w:rFonts w:ascii="TH Sarabun New" w:hAnsi="TH Sarabun New" w:cs="TH Sarabun New"/>
            <w:b/>
            <w:bCs/>
            <w:sz w:val="36"/>
            <w:szCs w:val="36"/>
            <w:cs/>
          </w:rPr>
          <w:br/>
        </w:r>
        <w:r w:rsidR="00796F77" w:rsidRPr="00BA3AA4">
          <w:rPr>
            <w:rFonts w:ascii="TH Sarabun New" w:hAnsi="TH Sarabun New" w:cs="TH Sarabun New"/>
            <w:b/>
            <w:bCs/>
            <w:sz w:val="32"/>
            <w:szCs w:val="32"/>
            <w:cs/>
          </w:rPr>
          <w:t>รายวิชา</w:t>
        </w:r>
        <w:r w:rsidR="00BA3AA4" w:rsidRPr="00BA3AA4">
          <w:rPr>
            <w:rFonts w:ascii="TH Sarabun New" w:hAnsi="TH Sarabun New" w:cs="TH Sarabun New"/>
            <w:sz w:val="32"/>
            <w:szCs w:val="32"/>
          </w:rPr>
          <w:t>……………………………..…………………………………………</w:t>
        </w:r>
        <w:r w:rsidR="00796F77" w:rsidRPr="00BA3AA4">
          <w:rPr>
            <w:rFonts w:ascii="TH Sarabun New" w:hAnsi="TH Sarabun New" w:cs="TH Sarabun New"/>
            <w:sz w:val="32"/>
            <w:szCs w:val="32"/>
          </w:rPr>
          <w:t>…………</w:t>
        </w:r>
        <w:r w:rsidR="00BA3AA4">
          <w:rPr>
            <w:rFonts w:ascii="TH Sarabun New" w:hAnsi="TH Sarabun New" w:cs="TH Sarabun New"/>
            <w:sz w:val="32"/>
            <w:szCs w:val="32"/>
          </w:rPr>
          <w:t>…</w:t>
        </w:r>
        <w:r w:rsidR="00796F77" w:rsidRPr="00BA3AA4">
          <w:rPr>
            <w:rFonts w:ascii="TH Sarabun New" w:hAnsi="TH Sarabun New" w:cs="TH Sarabun New"/>
            <w:sz w:val="32"/>
            <w:szCs w:val="32"/>
          </w:rPr>
          <w:t>…..………..……………</w:t>
        </w:r>
        <w:r w:rsidR="00796F77" w:rsidRPr="00BA3AA4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>กลุ่มที่</w:t>
        </w:r>
        <w:r w:rsidR="00BA3AA4" w:rsidRPr="00BA3AA4">
          <w:rPr>
            <w:rFonts w:ascii="TH Sarabun New" w:hAnsi="TH Sarabun New" w:cs="TH Sarabun New"/>
            <w:sz w:val="32"/>
            <w:szCs w:val="32"/>
          </w:rPr>
          <w:t>……..…</w:t>
        </w:r>
        <w:r w:rsidR="00BA3AA4">
          <w:rPr>
            <w:rFonts w:ascii="TH Sarabun New" w:hAnsi="TH Sarabun New" w:cs="TH Sarabun New"/>
            <w:sz w:val="32"/>
            <w:szCs w:val="32"/>
          </w:rPr>
          <w:t>………</w:t>
        </w:r>
        <w:r w:rsidR="00BA3AA4" w:rsidRPr="00BA3AA4">
          <w:rPr>
            <w:rFonts w:ascii="TH Sarabun New" w:hAnsi="TH Sarabun New" w:cs="TH Sarabun New"/>
            <w:sz w:val="32"/>
            <w:szCs w:val="32"/>
          </w:rPr>
          <w:t>…</w:t>
        </w:r>
      </w:p>
      <w:p w14:paraId="25C0BC22" w14:textId="6D88C941" w:rsidR="008C3FB0" w:rsidRPr="00BA3AA4" w:rsidRDefault="00796F77" w:rsidP="00073864">
        <w:pPr>
          <w:pBdr>
            <w:bottom w:val="single" w:sz="6" w:space="1" w:color="auto"/>
          </w:pBdr>
          <w:spacing w:after="0" w:line="276" w:lineRule="auto"/>
          <w:jc w:val="center"/>
          <w:rPr>
            <w:rFonts w:ascii="TH Sarabun New" w:hAnsi="TH Sarabun New" w:cs="TH Sarabun New"/>
            <w:sz w:val="28"/>
          </w:rPr>
        </w:pPr>
        <w:r w:rsidRPr="00BA3AA4">
          <w:rPr>
            <w:rFonts w:ascii="TH Sarabun New" w:hAnsi="TH Sarabun New" w:cs="TH Sarabun New"/>
            <w:b/>
            <w:bCs/>
            <w:sz w:val="32"/>
            <w:szCs w:val="32"/>
            <w:cs/>
          </w:rPr>
          <w:t>ชื่อ</w:t>
        </w:r>
        <w:r w:rsidRPr="00BA3AA4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 xml:space="preserve"> </w:t>
        </w:r>
        <w:r w:rsidRPr="00BA3AA4">
          <w:rPr>
            <w:rFonts w:ascii="TH Sarabun New" w:hAnsi="TH Sarabun New" w:cs="TH Sarabun New"/>
            <w:b/>
            <w:bCs/>
            <w:sz w:val="32"/>
            <w:szCs w:val="32"/>
            <w:cs/>
          </w:rPr>
          <w:t>–</w:t>
        </w:r>
        <w:r w:rsidRPr="00BA3AA4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 xml:space="preserve"> </w:t>
        </w:r>
        <w:r w:rsidRPr="00BA3AA4">
          <w:rPr>
            <w:rFonts w:ascii="TH Sarabun New" w:hAnsi="TH Sarabun New" w:cs="TH Sarabun New"/>
            <w:b/>
            <w:bCs/>
            <w:sz w:val="32"/>
            <w:szCs w:val="32"/>
            <w:cs/>
          </w:rPr>
          <w:t>นามสกุล</w:t>
        </w:r>
        <w:r w:rsidR="00BA3AA4" w:rsidRPr="00BA3AA4">
          <w:rPr>
            <w:rFonts w:ascii="TH Sarabun New" w:hAnsi="TH Sarabun New" w:cs="TH Sarabun New"/>
            <w:sz w:val="32"/>
            <w:szCs w:val="32"/>
          </w:rPr>
          <w:t>………………………….……</w:t>
        </w:r>
        <w:r w:rsidRPr="00BA3AA4">
          <w:rPr>
            <w:rFonts w:ascii="TH Sarabun New" w:hAnsi="TH Sarabun New" w:cs="TH Sarabun New"/>
            <w:sz w:val="32"/>
            <w:szCs w:val="32"/>
          </w:rPr>
          <w:t>………</w:t>
        </w:r>
        <w:r w:rsidR="00BA3AA4">
          <w:rPr>
            <w:rFonts w:ascii="TH Sarabun New" w:hAnsi="TH Sarabun New" w:cs="TH Sarabun New"/>
            <w:sz w:val="32"/>
            <w:szCs w:val="32"/>
          </w:rPr>
          <w:t>….</w:t>
        </w:r>
        <w:r w:rsidRPr="00BA3AA4">
          <w:rPr>
            <w:rFonts w:ascii="TH Sarabun New" w:hAnsi="TH Sarabun New" w:cs="TH Sarabun New"/>
            <w:sz w:val="32"/>
            <w:szCs w:val="32"/>
          </w:rPr>
          <w:t>…</w:t>
        </w:r>
        <w:r w:rsidR="005E3D0F">
          <w:rPr>
            <w:rFonts w:ascii="TH Sarabun New" w:hAnsi="TH Sarabun New" w:cs="TH Sarabun New"/>
            <w:sz w:val="32"/>
            <w:szCs w:val="32"/>
          </w:rPr>
          <w:t>……………</w:t>
        </w:r>
        <w:r w:rsidR="00BA3AA4" w:rsidRPr="00BA3AA4">
          <w:rPr>
            <w:rFonts w:ascii="TH Sarabun New" w:hAnsi="TH Sarabun New" w:cs="TH Sarabun New"/>
            <w:sz w:val="32"/>
            <w:szCs w:val="32"/>
          </w:rPr>
          <w:t>…….</w:t>
        </w:r>
        <w:r w:rsidRPr="00BA3AA4">
          <w:rPr>
            <w:rFonts w:ascii="TH Sarabun New" w:hAnsi="TH Sarabun New" w:cs="TH Sarabun New"/>
            <w:sz w:val="32"/>
            <w:szCs w:val="32"/>
          </w:rPr>
          <w:t>……………….</w:t>
        </w:r>
        <w:r w:rsidRPr="00BA3AA4">
          <w:rPr>
            <w:rFonts w:ascii="TH Sarabun New" w:hAnsi="TH Sarabun New" w:cs="TH Sarabun New" w:hint="cs"/>
            <w:b/>
            <w:bCs/>
            <w:sz w:val="32"/>
            <w:szCs w:val="32"/>
            <w:cs/>
          </w:rPr>
          <w:t>รหัสประจำตัว</w:t>
        </w:r>
        <w:r w:rsidR="00BA3AA4" w:rsidRPr="00BA3AA4">
          <w:rPr>
            <w:rFonts w:ascii="TH Sarabun New" w:hAnsi="TH Sarabun New" w:cs="TH Sarabun New" w:hint="cs"/>
            <w:sz w:val="32"/>
            <w:szCs w:val="32"/>
            <w:cs/>
          </w:rPr>
          <w:t>..</w:t>
        </w:r>
        <w:r w:rsidR="00BA3AA4" w:rsidRPr="00BA3AA4">
          <w:rPr>
            <w:rFonts w:ascii="TH Sarabun New" w:hAnsi="TH Sarabun New" w:cs="TH Sarabun New"/>
            <w:sz w:val="32"/>
            <w:szCs w:val="32"/>
          </w:rPr>
          <w:t>.......</w:t>
        </w:r>
        <w:r w:rsidR="005E3D0F">
          <w:rPr>
            <w:rFonts w:ascii="TH Sarabun New" w:hAnsi="TH Sarabun New" w:cs="TH Sarabun New"/>
            <w:sz w:val="32"/>
            <w:szCs w:val="32"/>
          </w:rPr>
          <w:t>....</w:t>
        </w:r>
        <w:r w:rsidR="00BA3AA4" w:rsidRPr="00BA3AA4">
          <w:rPr>
            <w:rFonts w:ascii="TH Sarabun New" w:hAnsi="TH Sarabun New" w:cs="TH Sarabun New"/>
            <w:sz w:val="32"/>
            <w:szCs w:val="32"/>
          </w:rPr>
          <w:t>..</w:t>
        </w:r>
        <w:r w:rsidR="00BA3AA4">
          <w:rPr>
            <w:rFonts w:ascii="TH Sarabun New" w:hAnsi="TH Sarabun New" w:cs="TH Sarabun New"/>
            <w:sz w:val="32"/>
            <w:szCs w:val="32"/>
          </w:rPr>
          <w:t>..</w:t>
        </w:r>
        <w:r w:rsidR="00BA3AA4" w:rsidRPr="00BA3AA4">
          <w:rPr>
            <w:rFonts w:ascii="TH Sarabun New" w:hAnsi="TH Sarabun New" w:cs="TH Sarabun New"/>
            <w:sz w:val="32"/>
            <w:szCs w:val="32"/>
          </w:rPr>
          <w:t>................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EEF5F" w14:textId="77777777" w:rsidR="008C3FB0" w:rsidRDefault="007B746E">
    <w:pPr>
      <w:pStyle w:val="a3"/>
    </w:pPr>
    <w:r>
      <w:rPr>
        <w:noProof/>
      </w:rPr>
      <w:pict w14:anchorId="79752F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5031" o:spid="_x0000_s2117" type="#_x0000_t75" style="position:absolute;margin-left:0;margin-top:0;width:226.8pt;height:402.95pt;z-index:-251658240;mso-position-horizontal:center;mso-position-horizontal-relative:margin;mso-position-vertical:center;mso-position-vertical-relative:margin" o:allowincell="f">
          <v:imagedata r:id="rId1" o:title="Th_color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B66FCE"/>
    <w:multiLevelType w:val="multilevel"/>
    <w:tmpl w:val="103E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028BF"/>
    <w:multiLevelType w:val="multilevel"/>
    <w:tmpl w:val="BFAE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755B8"/>
    <w:multiLevelType w:val="multilevel"/>
    <w:tmpl w:val="8482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3B0C04"/>
    <w:multiLevelType w:val="multilevel"/>
    <w:tmpl w:val="73EE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proofState w:spelling="clean" w:grammar="clean"/>
  <w:defaultTabStop w:val="720"/>
  <w:characterSpacingControl w:val="doNotCompress"/>
  <w:hdrShapeDefaults>
    <o:shapedefaults v:ext="edit" spidmax="212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4FB"/>
    <w:rsid w:val="00047FFA"/>
    <w:rsid w:val="00073864"/>
    <w:rsid w:val="001827F7"/>
    <w:rsid w:val="00205767"/>
    <w:rsid w:val="00205A1E"/>
    <w:rsid w:val="0025531B"/>
    <w:rsid w:val="00333648"/>
    <w:rsid w:val="003C7225"/>
    <w:rsid w:val="00450F07"/>
    <w:rsid w:val="004E5BA6"/>
    <w:rsid w:val="004F4125"/>
    <w:rsid w:val="0050155B"/>
    <w:rsid w:val="00504068"/>
    <w:rsid w:val="0058064C"/>
    <w:rsid w:val="00582F9C"/>
    <w:rsid w:val="005E3D0F"/>
    <w:rsid w:val="006420E9"/>
    <w:rsid w:val="00661956"/>
    <w:rsid w:val="006708B4"/>
    <w:rsid w:val="00671461"/>
    <w:rsid w:val="006835C8"/>
    <w:rsid w:val="006874D6"/>
    <w:rsid w:val="006E21D1"/>
    <w:rsid w:val="00700C59"/>
    <w:rsid w:val="0072050B"/>
    <w:rsid w:val="00796F77"/>
    <w:rsid w:val="007B746E"/>
    <w:rsid w:val="007C02F4"/>
    <w:rsid w:val="007E2C62"/>
    <w:rsid w:val="008C3FB0"/>
    <w:rsid w:val="00903F36"/>
    <w:rsid w:val="009054FB"/>
    <w:rsid w:val="009339D1"/>
    <w:rsid w:val="00A169BE"/>
    <w:rsid w:val="00A2317D"/>
    <w:rsid w:val="00A7571D"/>
    <w:rsid w:val="00B84099"/>
    <w:rsid w:val="00BA3AA4"/>
    <w:rsid w:val="00C30D93"/>
    <w:rsid w:val="00C45D3C"/>
    <w:rsid w:val="00C85762"/>
    <w:rsid w:val="00CE5612"/>
    <w:rsid w:val="00D40CCE"/>
    <w:rsid w:val="00D600C5"/>
    <w:rsid w:val="00D8158F"/>
    <w:rsid w:val="00E06BCD"/>
    <w:rsid w:val="00E30ADA"/>
    <w:rsid w:val="00E63299"/>
    <w:rsid w:val="00F46EC9"/>
    <w:rsid w:val="00F777FB"/>
    <w:rsid w:val="00FA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0"/>
    <o:shapelayout v:ext="edit">
      <o:idmap v:ext="edit" data="1"/>
    </o:shapelayout>
  </w:shapeDefaults>
  <w:decimalSymbol w:val="."/>
  <w:listSeparator w:val=","/>
  <w14:docId w14:val="4F131648"/>
  <w15:chartTrackingRefBased/>
  <w15:docId w15:val="{D6E97F78-C9E7-42B1-A523-ED4829B72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3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6835C8"/>
  </w:style>
  <w:style w:type="paragraph" w:styleId="a5">
    <w:name w:val="footer"/>
    <w:basedOn w:val="a"/>
    <w:link w:val="a6"/>
    <w:uiPriority w:val="99"/>
    <w:unhideWhenUsed/>
    <w:rsid w:val="006835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6835C8"/>
  </w:style>
  <w:style w:type="paragraph" w:styleId="a7">
    <w:name w:val="Balloon Text"/>
    <w:basedOn w:val="a"/>
    <w:link w:val="a8"/>
    <w:uiPriority w:val="99"/>
    <w:semiHidden/>
    <w:unhideWhenUsed/>
    <w:rsid w:val="00073864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073864"/>
    <w:rPr>
      <w:rFonts w:ascii="Leelawadee" w:hAnsi="Leelawadee" w:cs="Angsana New"/>
      <w:sz w:val="18"/>
      <w:szCs w:val="22"/>
    </w:rPr>
  </w:style>
  <w:style w:type="character" w:styleId="a9">
    <w:name w:val="Subtle Emphasis"/>
    <w:basedOn w:val="a0"/>
    <w:uiPriority w:val="19"/>
    <w:qFormat/>
    <w:rsid w:val="0025531B"/>
    <w:rPr>
      <w:i/>
      <w:iCs/>
      <w:color w:val="404040" w:themeColor="text1" w:themeTint="BF"/>
    </w:rPr>
  </w:style>
  <w:style w:type="character" w:styleId="aa">
    <w:name w:val="Emphasis"/>
    <w:basedOn w:val="a0"/>
    <w:uiPriority w:val="20"/>
    <w:qFormat/>
    <w:rsid w:val="00C85762"/>
    <w:rPr>
      <w:i/>
      <w:iCs/>
    </w:rPr>
  </w:style>
  <w:style w:type="paragraph" w:styleId="ab">
    <w:name w:val="Normal (Web)"/>
    <w:basedOn w:val="a"/>
    <w:uiPriority w:val="99"/>
    <w:semiHidden/>
    <w:unhideWhenUsed/>
    <w:rsid w:val="00C85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0"/>
    <w:uiPriority w:val="22"/>
    <w:qFormat/>
    <w:rsid w:val="00C85762"/>
    <w:rPr>
      <w:b/>
      <w:bCs/>
    </w:rPr>
  </w:style>
  <w:style w:type="character" w:styleId="ad">
    <w:name w:val="Hyperlink"/>
    <w:basedOn w:val="a0"/>
    <w:uiPriority w:val="99"/>
    <w:semiHidden/>
    <w:unhideWhenUsed/>
    <w:rsid w:val="00B84099"/>
    <w:rPr>
      <w:color w:val="0000FF"/>
      <w:u w:val="single"/>
    </w:rPr>
  </w:style>
  <w:style w:type="paragraph" w:styleId="ae">
    <w:name w:val="List Paragraph"/>
    <w:basedOn w:val="a"/>
    <w:uiPriority w:val="34"/>
    <w:qFormat/>
    <w:rsid w:val="00671461"/>
    <w:pPr>
      <w:ind w:left="720"/>
      <w:contextualSpacing/>
    </w:pPr>
  </w:style>
  <w:style w:type="paragraph" w:customStyle="1" w:styleId="bot-rteelement-font1">
    <w:name w:val="bot-rteelement-font1"/>
    <w:basedOn w:val="a"/>
    <w:rsid w:val="00671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1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8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1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1364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32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9866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91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92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678394">
                              <w:marLeft w:val="45"/>
                              <w:marRight w:val="45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516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4154730">
          <w:marLeft w:val="0"/>
          <w:marRight w:val="0"/>
          <w:marTop w:val="0"/>
          <w:marBottom w:val="4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4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F4D24-4213-4085-9736-607A8DFF0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712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Law_Bank</dc:creator>
  <cp:keywords/>
  <dc:description/>
  <cp:lastModifiedBy>Tanatcha Wilairit</cp:lastModifiedBy>
  <cp:revision>7</cp:revision>
  <cp:lastPrinted>2021-04-09T08:04:00Z</cp:lastPrinted>
  <dcterms:created xsi:type="dcterms:W3CDTF">2021-11-02T03:31:00Z</dcterms:created>
  <dcterms:modified xsi:type="dcterms:W3CDTF">2022-04-11T07:22:00Z</dcterms:modified>
</cp:coreProperties>
</file>