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24CF4" w14:textId="6DB3792E" w:rsidR="000D1CAE" w:rsidRPr="00A200E0" w:rsidRDefault="00000000" w:rsidP="00A200E0">
      <w:pPr>
        <w:rPr>
          <w:rFonts w:ascii="Cambria" w:eastAsia="Cambria" w:hAnsi="Cambria" w:cs="Cambria"/>
          <w:b/>
          <w:bCs/>
          <w:sz w:val="32"/>
          <w:szCs w:val="32"/>
          <w:highlight w:val="white"/>
        </w:rPr>
      </w:pPr>
      <w:r>
        <w:rPr>
          <w:rFonts w:ascii="Cambria" w:eastAsia="Cambria" w:hAnsi="Cambria" w:cs="Cambria"/>
          <w:b/>
          <w:bCs/>
          <w:noProof/>
          <w:sz w:val="32"/>
          <w:szCs w:val="32"/>
          <w:highlight w:val="white"/>
        </w:rPr>
        <w:drawing>
          <wp:anchor distT="0" distB="0" distL="0" distR="0" simplePos="0" relativeHeight="251658240" behindDoc="1" locked="0" layoutInCell="1" hidden="0" allowOverlap="1" wp14:anchorId="1B16683A" wp14:editId="45A93DA1">
            <wp:simplePos x="0" y="0"/>
            <wp:positionH relativeFrom="page">
              <wp:posOffset>6486525</wp:posOffset>
            </wp:positionH>
            <wp:positionV relativeFrom="page">
              <wp:posOffset>104775</wp:posOffset>
            </wp:positionV>
            <wp:extent cx="990600" cy="49530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tbl>
      <w:tblPr>
        <w:tblStyle w:val="a0"/>
        <w:tblW w:w="97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85"/>
        <w:gridCol w:w="4889"/>
      </w:tblGrid>
      <w:tr w:rsidR="000D1CAE" w14:paraId="1CA0419A" w14:textId="77777777" w:rsidTr="00A200E0">
        <w:trPr>
          <w:trHeight w:val="184"/>
        </w:trPr>
        <w:tc>
          <w:tcPr>
            <w:tcW w:w="4885" w:type="dxa"/>
            <w:tcMar>
              <w:top w:w="100" w:type="dxa"/>
              <w:left w:w="100" w:type="dxa"/>
              <w:bottom w:w="100" w:type="dxa"/>
              <w:right w:w="100" w:type="dxa"/>
            </w:tcMar>
          </w:tcPr>
          <w:p w14:paraId="628EFED6" w14:textId="77777777" w:rsidR="000D1CAE" w:rsidRPr="00FF4091" w:rsidRDefault="00000000">
            <w:pPr>
              <w:widowControl w:val="0"/>
              <w:spacing w:after="0" w:line="240" w:lineRule="auto"/>
              <w:ind w:left="131"/>
              <w:rPr>
                <w:b/>
                <w:bCs/>
                <w:sz w:val="24"/>
                <w:szCs w:val="24"/>
              </w:rPr>
            </w:pPr>
            <w:r w:rsidRPr="00FF4091">
              <w:rPr>
                <w:b/>
                <w:bCs/>
                <w:sz w:val="24"/>
                <w:szCs w:val="24"/>
              </w:rPr>
              <w:t xml:space="preserve">Date </w:t>
            </w:r>
          </w:p>
        </w:tc>
        <w:tc>
          <w:tcPr>
            <w:tcW w:w="4889" w:type="dxa"/>
            <w:tcMar>
              <w:top w:w="100" w:type="dxa"/>
              <w:left w:w="100" w:type="dxa"/>
              <w:bottom w:w="100" w:type="dxa"/>
              <w:right w:w="100" w:type="dxa"/>
            </w:tcMar>
          </w:tcPr>
          <w:p w14:paraId="22D33B8C" w14:textId="7D7453E9" w:rsidR="000D1CAE" w:rsidRPr="00FF4091" w:rsidRDefault="00000000">
            <w:pPr>
              <w:widowControl w:val="0"/>
              <w:spacing w:after="0" w:line="240" w:lineRule="auto"/>
              <w:ind w:left="131"/>
              <w:rPr>
                <w:sz w:val="24"/>
                <w:szCs w:val="24"/>
              </w:rPr>
            </w:pPr>
            <w:r w:rsidRPr="00FF4091">
              <w:rPr>
                <w:sz w:val="24"/>
                <w:szCs w:val="24"/>
              </w:rPr>
              <w:t>2</w:t>
            </w:r>
            <w:r w:rsidR="00511E1A">
              <w:rPr>
                <w:sz w:val="24"/>
                <w:szCs w:val="24"/>
              </w:rPr>
              <w:t>1</w:t>
            </w:r>
            <w:r w:rsidR="00FF4091" w:rsidRPr="00FF4091">
              <w:rPr>
                <w:sz w:val="24"/>
                <w:szCs w:val="24"/>
              </w:rPr>
              <w:t xml:space="preserve"> S</w:t>
            </w:r>
            <w:r w:rsidRPr="00FF4091">
              <w:rPr>
                <w:sz w:val="24"/>
                <w:szCs w:val="24"/>
              </w:rPr>
              <w:t>eptember 202</w:t>
            </w:r>
            <w:r w:rsidR="00FF4091">
              <w:rPr>
                <w:sz w:val="24"/>
                <w:szCs w:val="24"/>
              </w:rPr>
              <w:t>6</w:t>
            </w:r>
          </w:p>
        </w:tc>
      </w:tr>
      <w:tr w:rsidR="000D1CAE" w14:paraId="6E62A06B" w14:textId="77777777" w:rsidTr="00A200E0">
        <w:trPr>
          <w:trHeight w:val="184"/>
        </w:trPr>
        <w:tc>
          <w:tcPr>
            <w:tcW w:w="4885" w:type="dxa"/>
            <w:tcMar>
              <w:top w:w="100" w:type="dxa"/>
              <w:left w:w="100" w:type="dxa"/>
              <w:bottom w:w="100" w:type="dxa"/>
              <w:right w:w="100" w:type="dxa"/>
            </w:tcMar>
          </w:tcPr>
          <w:p w14:paraId="4B017F52" w14:textId="77777777" w:rsidR="000D1CAE" w:rsidRPr="00FF4091" w:rsidRDefault="00000000">
            <w:pPr>
              <w:widowControl w:val="0"/>
              <w:spacing w:after="0" w:line="240" w:lineRule="auto"/>
              <w:ind w:left="114"/>
              <w:rPr>
                <w:b/>
                <w:bCs/>
                <w:sz w:val="24"/>
                <w:szCs w:val="24"/>
              </w:rPr>
            </w:pPr>
            <w:r w:rsidRPr="00FF4091">
              <w:rPr>
                <w:b/>
                <w:bCs/>
                <w:sz w:val="24"/>
                <w:szCs w:val="24"/>
              </w:rPr>
              <w:t xml:space="preserve">Team ID </w:t>
            </w:r>
          </w:p>
        </w:tc>
        <w:tc>
          <w:tcPr>
            <w:tcW w:w="4889" w:type="dxa"/>
            <w:tcMar>
              <w:top w:w="100" w:type="dxa"/>
              <w:left w:w="100" w:type="dxa"/>
              <w:bottom w:w="100" w:type="dxa"/>
              <w:right w:w="100" w:type="dxa"/>
            </w:tcMar>
          </w:tcPr>
          <w:p w14:paraId="137E467B" w14:textId="25968F2D" w:rsidR="000D1CAE" w:rsidRPr="00FF4091" w:rsidRDefault="00FF4091">
            <w:pPr>
              <w:widowControl w:val="0"/>
              <w:spacing w:after="0" w:line="240" w:lineRule="auto"/>
              <w:ind w:left="131"/>
              <w:rPr>
                <w:sz w:val="24"/>
                <w:szCs w:val="24"/>
              </w:rPr>
            </w:pPr>
            <w:r>
              <w:rPr>
                <w:sz w:val="24"/>
                <w:szCs w:val="24"/>
              </w:rPr>
              <w:t>MCA</w:t>
            </w:r>
          </w:p>
        </w:tc>
      </w:tr>
      <w:tr w:rsidR="000D1CAE" w14:paraId="0837F047" w14:textId="77777777" w:rsidTr="00A200E0">
        <w:trPr>
          <w:trHeight w:val="184"/>
        </w:trPr>
        <w:tc>
          <w:tcPr>
            <w:tcW w:w="4885" w:type="dxa"/>
            <w:tcMar>
              <w:top w:w="100" w:type="dxa"/>
              <w:left w:w="100" w:type="dxa"/>
              <w:bottom w:w="100" w:type="dxa"/>
              <w:right w:w="100" w:type="dxa"/>
            </w:tcMar>
          </w:tcPr>
          <w:p w14:paraId="58B10A80" w14:textId="77777777" w:rsidR="000D1CAE" w:rsidRPr="00FF4091" w:rsidRDefault="00000000">
            <w:pPr>
              <w:widowControl w:val="0"/>
              <w:spacing w:after="0" w:line="240" w:lineRule="auto"/>
              <w:ind w:left="131"/>
              <w:rPr>
                <w:b/>
                <w:bCs/>
                <w:sz w:val="24"/>
                <w:szCs w:val="24"/>
              </w:rPr>
            </w:pPr>
            <w:r w:rsidRPr="00FF4091">
              <w:rPr>
                <w:b/>
                <w:bCs/>
                <w:sz w:val="24"/>
                <w:szCs w:val="24"/>
              </w:rPr>
              <w:t xml:space="preserve">Project Name </w:t>
            </w:r>
          </w:p>
        </w:tc>
        <w:tc>
          <w:tcPr>
            <w:tcW w:w="4889" w:type="dxa"/>
            <w:tcMar>
              <w:top w:w="100" w:type="dxa"/>
              <w:left w:w="100" w:type="dxa"/>
              <w:bottom w:w="100" w:type="dxa"/>
              <w:right w:w="100" w:type="dxa"/>
            </w:tcMar>
          </w:tcPr>
          <w:p w14:paraId="1AECC46B" w14:textId="58B41B6A" w:rsidR="000D1CAE" w:rsidRPr="00FF4091" w:rsidRDefault="00FF4091">
            <w:pPr>
              <w:widowControl w:val="0"/>
              <w:spacing w:after="0" w:line="240" w:lineRule="auto"/>
              <w:ind w:left="131"/>
              <w:rPr>
                <w:sz w:val="24"/>
                <w:szCs w:val="24"/>
              </w:rPr>
            </w:pPr>
            <w:r w:rsidRPr="00FF4091">
              <w:rPr>
                <w:sz w:val="24"/>
                <w:szCs w:val="24"/>
              </w:rPr>
              <w:t>Strategic Employee Attrition Intelligence Dashboard</w:t>
            </w:r>
          </w:p>
        </w:tc>
      </w:tr>
      <w:tr w:rsidR="000D1CAE" w14:paraId="75192522" w14:textId="77777777" w:rsidTr="00A200E0">
        <w:trPr>
          <w:trHeight w:val="110"/>
        </w:trPr>
        <w:tc>
          <w:tcPr>
            <w:tcW w:w="4885" w:type="dxa"/>
            <w:tcMar>
              <w:top w:w="100" w:type="dxa"/>
              <w:left w:w="100" w:type="dxa"/>
              <w:bottom w:w="100" w:type="dxa"/>
              <w:right w:w="100" w:type="dxa"/>
            </w:tcMar>
          </w:tcPr>
          <w:p w14:paraId="65097822" w14:textId="77777777" w:rsidR="000D1CAE" w:rsidRPr="00FF4091" w:rsidRDefault="00000000">
            <w:pPr>
              <w:widowControl w:val="0"/>
              <w:spacing w:after="0" w:line="240" w:lineRule="auto"/>
              <w:ind w:left="131"/>
              <w:rPr>
                <w:b/>
                <w:bCs/>
                <w:sz w:val="24"/>
                <w:szCs w:val="24"/>
              </w:rPr>
            </w:pPr>
            <w:r w:rsidRPr="00FF4091">
              <w:rPr>
                <w:b/>
                <w:bCs/>
                <w:sz w:val="24"/>
                <w:szCs w:val="24"/>
              </w:rPr>
              <w:t xml:space="preserve">Maximum Marks </w:t>
            </w:r>
          </w:p>
        </w:tc>
        <w:tc>
          <w:tcPr>
            <w:tcW w:w="4889" w:type="dxa"/>
            <w:tcMar>
              <w:top w:w="100" w:type="dxa"/>
              <w:left w:w="100" w:type="dxa"/>
              <w:bottom w:w="100" w:type="dxa"/>
              <w:right w:w="100" w:type="dxa"/>
            </w:tcMar>
          </w:tcPr>
          <w:p w14:paraId="37528DDD" w14:textId="34692F2C" w:rsidR="000D1CAE" w:rsidRPr="00FF4091" w:rsidRDefault="00000000">
            <w:pPr>
              <w:widowControl w:val="0"/>
              <w:spacing w:after="0" w:line="240" w:lineRule="auto"/>
              <w:ind w:left="125"/>
              <w:rPr>
                <w:sz w:val="24"/>
                <w:szCs w:val="24"/>
              </w:rPr>
            </w:pPr>
            <w:r w:rsidRPr="00FF4091">
              <w:rPr>
                <w:sz w:val="24"/>
                <w:szCs w:val="24"/>
              </w:rPr>
              <w:t>5 Marks</w:t>
            </w:r>
          </w:p>
        </w:tc>
      </w:tr>
    </w:tbl>
    <w:p w14:paraId="0D14D0D7" w14:textId="77777777" w:rsidR="00A200E0" w:rsidRDefault="00A200E0" w:rsidP="007001C7">
      <w:pPr>
        <w:widowControl w:val="0"/>
        <w:spacing w:after="0" w:line="276" w:lineRule="auto"/>
        <w:jc w:val="both"/>
        <w:rPr>
          <w:rFonts w:ascii="Aptos" w:eastAsia="Cambria" w:hAnsi="Aptos" w:cs="Cambria"/>
          <w:sz w:val="24"/>
          <w:szCs w:val="24"/>
        </w:rPr>
      </w:pPr>
    </w:p>
    <w:p w14:paraId="55FFC3BC" w14:textId="773A27C6" w:rsidR="007001C7" w:rsidRPr="00A200E0" w:rsidRDefault="007001C7" w:rsidP="007001C7">
      <w:pPr>
        <w:widowControl w:val="0"/>
        <w:spacing w:after="0" w:line="276" w:lineRule="auto"/>
        <w:jc w:val="both"/>
        <w:rPr>
          <w:rFonts w:ascii="Aptos" w:eastAsia="Cambria" w:hAnsi="Aptos" w:cs="Cambria"/>
          <w:sz w:val="24"/>
          <w:szCs w:val="24"/>
          <w:highlight w:val="white"/>
        </w:rPr>
      </w:pPr>
      <w:r w:rsidRPr="00A200E0">
        <w:rPr>
          <w:rFonts w:ascii="Aptos" w:eastAsia="Cambria" w:hAnsi="Aptos" w:cs="Cambria"/>
          <w:sz w:val="24"/>
          <w:szCs w:val="24"/>
        </w:rPr>
        <w:t>The dashboard follows a clear and structured design with KPI cards, charts, filters, and a consistent colour theme. Interactive slicers for Work Mode, Department, and Job Role help users explore attrition patterns. Appropriate bar charts and KPI visuals are used to present employee data clearly, while drill-down and interactive features support detailed workforce analysis.</w:t>
      </w:r>
    </w:p>
    <w:p w14:paraId="035724F5" w14:textId="77777777" w:rsidR="00A200E0" w:rsidRDefault="00A200E0">
      <w:pPr>
        <w:rPr>
          <w:rFonts w:ascii="Aptos" w:eastAsia="Cambria" w:hAnsi="Aptos" w:cs="Cambria"/>
          <w:b/>
          <w:bCs/>
          <w:color w:val="000000"/>
          <w:sz w:val="32"/>
          <w:szCs w:val="32"/>
          <w:highlight w:val="white"/>
        </w:rPr>
      </w:pPr>
    </w:p>
    <w:p w14:paraId="3BBFD086" w14:textId="41696511" w:rsidR="000D1CAE" w:rsidRPr="00A200E0" w:rsidRDefault="00000000">
      <w:pPr>
        <w:rPr>
          <w:rFonts w:ascii="Aptos" w:eastAsia="Cambria" w:hAnsi="Aptos" w:cs="Cambria"/>
          <w:b/>
          <w:bCs/>
          <w:color w:val="000000"/>
          <w:sz w:val="32"/>
          <w:szCs w:val="32"/>
          <w:highlight w:val="white"/>
        </w:rPr>
      </w:pPr>
      <w:r w:rsidRPr="00A200E0">
        <w:rPr>
          <w:rFonts w:ascii="Aptos" w:eastAsia="Cambria" w:hAnsi="Aptos" w:cs="Cambria"/>
          <w:b/>
          <w:bCs/>
          <w:color w:val="000000"/>
          <w:sz w:val="32"/>
          <w:szCs w:val="32"/>
          <w:highlight w:val="white"/>
        </w:rPr>
        <w:t xml:space="preserve">Activity 1: Interactive and visually appealing dashboards </w:t>
      </w:r>
    </w:p>
    <w:p w14:paraId="5009E673" w14:textId="09779000" w:rsidR="007001C7" w:rsidRPr="00A200E0" w:rsidRDefault="007001C7" w:rsidP="007001C7">
      <w:pPr>
        <w:rPr>
          <w:rFonts w:ascii="Aptos" w:eastAsia="Cambria" w:hAnsi="Aptos" w:cs="Cambria"/>
          <w:color w:val="000000"/>
          <w:sz w:val="24"/>
          <w:szCs w:val="24"/>
        </w:rPr>
      </w:pPr>
      <w:r w:rsidRPr="00A200E0">
        <w:rPr>
          <w:rFonts w:ascii="Aptos" w:eastAsia="Cambria" w:hAnsi="Aptos" w:cs="Cambria"/>
          <w:color w:val="000000"/>
          <w:sz w:val="24"/>
          <w:szCs w:val="24"/>
        </w:rPr>
        <w:t>The Strategic Workforce Analysis and Attrition Insights dashboard was designed using Power BI to provide a clear and interactive view of employee attrition and workforce factors</w:t>
      </w:r>
    </w:p>
    <w:tbl>
      <w:tblPr>
        <w:tblStyle w:val="TableGrid"/>
        <w:tblW w:w="0" w:type="auto"/>
        <w:tblLook w:val="04A0" w:firstRow="1" w:lastRow="0" w:firstColumn="1" w:lastColumn="0" w:noHBand="0" w:noVBand="1"/>
      </w:tblPr>
      <w:tblGrid>
        <w:gridCol w:w="5228"/>
        <w:gridCol w:w="5228"/>
      </w:tblGrid>
      <w:tr w:rsidR="007001C7" w:rsidRPr="00A200E0" w14:paraId="3A6E9378" w14:textId="77777777" w:rsidTr="007001C7">
        <w:tc>
          <w:tcPr>
            <w:tcW w:w="5228" w:type="dxa"/>
          </w:tcPr>
          <w:p w14:paraId="751A914F" w14:textId="77777777" w:rsidR="00645D55" w:rsidRPr="00A200E0" w:rsidRDefault="00645D55" w:rsidP="007001C7">
            <w:pPr>
              <w:rPr>
                <w:rFonts w:ascii="Aptos" w:eastAsia="Cambria" w:hAnsi="Aptos" w:cs="Cambria"/>
                <w:b/>
                <w:bCs/>
                <w:color w:val="000000"/>
                <w:sz w:val="28"/>
                <w:szCs w:val="28"/>
              </w:rPr>
            </w:pPr>
          </w:p>
          <w:p w14:paraId="04A5EA61" w14:textId="2BE7C26D" w:rsidR="007001C7" w:rsidRPr="00A200E0" w:rsidRDefault="007001C7" w:rsidP="007001C7">
            <w:pPr>
              <w:rPr>
                <w:rFonts w:ascii="Aptos" w:eastAsia="Cambria" w:hAnsi="Aptos" w:cs="Cambria"/>
                <w:b/>
                <w:bCs/>
                <w:color w:val="000000"/>
                <w:sz w:val="28"/>
                <w:szCs w:val="28"/>
              </w:rPr>
            </w:pPr>
            <w:r w:rsidRPr="00A200E0">
              <w:rPr>
                <w:rFonts w:ascii="Aptos" w:eastAsia="Cambria" w:hAnsi="Aptos" w:cs="Cambria"/>
                <w:b/>
                <w:bCs/>
                <w:color w:val="000000"/>
                <w:sz w:val="28"/>
                <w:szCs w:val="28"/>
              </w:rPr>
              <w:t>Dashboard Design Principel</w:t>
            </w:r>
            <w:r w:rsidRPr="00A200E0">
              <w:rPr>
                <w:rFonts w:ascii="Aptos" w:eastAsia="Cambria" w:hAnsi="Aptos" w:cs="Cambria"/>
                <w:b/>
                <w:bCs/>
                <w:color w:val="000000"/>
                <w:sz w:val="28"/>
                <w:szCs w:val="28"/>
              </w:rPr>
              <w:tab/>
              <w:t xml:space="preserve">  </w:t>
            </w:r>
          </w:p>
        </w:tc>
        <w:tc>
          <w:tcPr>
            <w:tcW w:w="5228" w:type="dxa"/>
          </w:tcPr>
          <w:p w14:paraId="683A9EB7" w14:textId="77777777" w:rsidR="00645D55" w:rsidRPr="00A200E0" w:rsidRDefault="00645D55" w:rsidP="00645D55">
            <w:pPr>
              <w:jc w:val="both"/>
              <w:rPr>
                <w:rFonts w:ascii="Aptos" w:eastAsia="Cambria" w:hAnsi="Aptos" w:cs="Cambria"/>
                <w:b/>
                <w:bCs/>
                <w:color w:val="000000"/>
                <w:sz w:val="28"/>
                <w:szCs w:val="28"/>
              </w:rPr>
            </w:pPr>
          </w:p>
          <w:p w14:paraId="775B5B85" w14:textId="06D30384" w:rsidR="007001C7" w:rsidRPr="00A200E0" w:rsidRDefault="007001C7" w:rsidP="00645D55">
            <w:pPr>
              <w:jc w:val="both"/>
              <w:rPr>
                <w:rFonts w:ascii="Aptos" w:eastAsia="Cambria" w:hAnsi="Aptos" w:cs="Cambria"/>
                <w:b/>
                <w:bCs/>
                <w:color w:val="000000"/>
                <w:sz w:val="28"/>
                <w:szCs w:val="28"/>
              </w:rPr>
            </w:pPr>
            <w:r w:rsidRPr="00A200E0">
              <w:rPr>
                <w:rFonts w:ascii="Aptos" w:eastAsia="Cambria" w:hAnsi="Aptos" w:cs="Cambria"/>
                <w:b/>
                <w:bCs/>
                <w:color w:val="000000"/>
                <w:sz w:val="28"/>
                <w:szCs w:val="28"/>
              </w:rPr>
              <w:t>Implementation in the Dashboard</w:t>
            </w:r>
          </w:p>
          <w:p w14:paraId="6C1D4861" w14:textId="1365AA7C" w:rsidR="00645D55" w:rsidRPr="00A200E0" w:rsidRDefault="00645D55" w:rsidP="007001C7">
            <w:pPr>
              <w:rPr>
                <w:rFonts w:ascii="Aptos" w:eastAsia="Cambria" w:hAnsi="Aptos" w:cs="Cambria"/>
                <w:b/>
                <w:bCs/>
                <w:color w:val="000000"/>
                <w:sz w:val="28"/>
                <w:szCs w:val="28"/>
              </w:rPr>
            </w:pPr>
          </w:p>
        </w:tc>
      </w:tr>
      <w:tr w:rsidR="007001C7" w:rsidRPr="00A200E0" w14:paraId="48231397" w14:textId="77777777" w:rsidTr="007001C7">
        <w:tc>
          <w:tcPr>
            <w:tcW w:w="5228" w:type="dxa"/>
          </w:tcPr>
          <w:p w14:paraId="3565297F" w14:textId="77777777" w:rsidR="00645D55" w:rsidRPr="00A200E0" w:rsidRDefault="00645D55" w:rsidP="007001C7">
            <w:pPr>
              <w:rPr>
                <w:rFonts w:ascii="Aptos" w:eastAsia="Cambria" w:hAnsi="Aptos" w:cs="Cambria"/>
                <w:color w:val="000000"/>
                <w:sz w:val="24"/>
                <w:szCs w:val="24"/>
              </w:rPr>
            </w:pPr>
          </w:p>
          <w:p w14:paraId="3F1C4187" w14:textId="5CDA1504" w:rsidR="007001C7" w:rsidRPr="00A200E0" w:rsidRDefault="007001C7" w:rsidP="007001C7">
            <w:pPr>
              <w:rPr>
                <w:rFonts w:ascii="Aptos" w:eastAsia="Cambria" w:hAnsi="Aptos" w:cs="Cambria"/>
                <w:color w:val="000000"/>
                <w:sz w:val="24"/>
                <w:szCs w:val="24"/>
              </w:rPr>
            </w:pPr>
            <w:r w:rsidRPr="00A200E0">
              <w:rPr>
                <w:rFonts w:ascii="Aptos" w:eastAsia="Cambria" w:hAnsi="Aptos" w:cs="Cambria"/>
                <w:color w:val="000000"/>
                <w:sz w:val="24"/>
                <w:szCs w:val="24"/>
              </w:rPr>
              <w:t>Clear and Intuitive Layout</w:t>
            </w:r>
          </w:p>
        </w:tc>
        <w:tc>
          <w:tcPr>
            <w:tcW w:w="5228" w:type="dxa"/>
          </w:tcPr>
          <w:p w14:paraId="3A0AB734" w14:textId="72051CE0" w:rsidR="007001C7" w:rsidRPr="00A200E0" w:rsidRDefault="007001C7" w:rsidP="007001C7">
            <w:pPr>
              <w:rPr>
                <w:rFonts w:ascii="Aptos" w:eastAsia="Cambria" w:hAnsi="Aptos" w:cs="Cambria"/>
                <w:color w:val="000000"/>
                <w:sz w:val="24"/>
                <w:szCs w:val="24"/>
              </w:rPr>
            </w:pPr>
            <w:r w:rsidRPr="00A200E0">
              <w:rPr>
                <w:rFonts w:ascii="Aptos" w:eastAsia="Cambria" w:hAnsi="Aptos" w:cs="Cambria"/>
                <w:color w:val="000000"/>
                <w:sz w:val="24"/>
                <w:szCs w:val="24"/>
              </w:rPr>
              <w:t>The dashboard uses a structured layout with KPI cards at the top and charts arranged below for easy understanding.</w:t>
            </w:r>
          </w:p>
        </w:tc>
      </w:tr>
      <w:tr w:rsidR="007001C7" w:rsidRPr="00A200E0" w14:paraId="047D3169" w14:textId="77777777" w:rsidTr="007001C7">
        <w:tc>
          <w:tcPr>
            <w:tcW w:w="5228" w:type="dxa"/>
          </w:tcPr>
          <w:p w14:paraId="64F8E9D1" w14:textId="77777777" w:rsidR="00645D55" w:rsidRPr="00A200E0" w:rsidRDefault="00645D55" w:rsidP="007001C7">
            <w:pPr>
              <w:rPr>
                <w:rFonts w:ascii="Aptos" w:eastAsia="Cambria" w:hAnsi="Aptos" w:cs="Cambria"/>
                <w:color w:val="000000"/>
                <w:sz w:val="24"/>
                <w:szCs w:val="24"/>
              </w:rPr>
            </w:pPr>
          </w:p>
          <w:p w14:paraId="04B36F8F" w14:textId="04F5CE53" w:rsidR="007001C7" w:rsidRPr="00A200E0" w:rsidRDefault="007001C7" w:rsidP="007001C7">
            <w:pPr>
              <w:rPr>
                <w:rFonts w:ascii="Aptos" w:eastAsia="Cambria" w:hAnsi="Aptos" w:cs="Cambria"/>
                <w:color w:val="000000"/>
                <w:sz w:val="24"/>
                <w:szCs w:val="24"/>
              </w:rPr>
            </w:pPr>
            <w:r w:rsidRPr="00A200E0">
              <w:rPr>
                <w:rFonts w:ascii="Aptos" w:eastAsia="Cambria" w:hAnsi="Aptos" w:cs="Cambria"/>
                <w:color w:val="000000"/>
                <w:sz w:val="24"/>
                <w:szCs w:val="24"/>
              </w:rPr>
              <w:t>Use Appropriate Visualizations</w:t>
            </w:r>
          </w:p>
        </w:tc>
        <w:tc>
          <w:tcPr>
            <w:tcW w:w="5228" w:type="dxa"/>
          </w:tcPr>
          <w:p w14:paraId="72CB8368" w14:textId="54D01BA7" w:rsidR="007001C7" w:rsidRPr="00A200E0" w:rsidRDefault="007001C7" w:rsidP="007001C7">
            <w:pPr>
              <w:rPr>
                <w:rFonts w:ascii="Aptos" w:eastAsia="Cambria" w:hAnsi="Aptos" w:cs="Cambria"/>
                <w:color w:val="000000"/>
                <w:sz w:val="24"/>
                <w:szCs w:val="24"/>
              </w:rPr>
            </w:pPr>
            <w:r w:rsidRPr="00A200E0">
              <w:rPr>
                <w:rFonts w:ascii="Aptos" w:eastAsia="Cambria" w:hAnsi="Aptos" w:cs="Cambria"/>
                <w:color w:val="000000"/>
                <w:sz w:val="24"/>
                <w:szCs w:val="24"/>
              </w:rPr>
              <w:t>Bar charts, KPI cards, and comparison visuals are used to display employee attrition, job roles, departments, and employee factors.</w:t>
            </w:r>
          </w:p>
        </w:tc>
      </w:tr>
      <w:tr w:rsidR="007001C7" w:rsidRPr="00A200E0" w14:paraId="3A9B4C44" w14:textId="77777777" w:rsidTr="007001C7">
        <w:tc>
          <w:tcPr>
            <w:tcW w:w="5228" w:type="dxa"/>
          </w:tcPr>
          <w:p w14:paraId="6DB2225A" w14:textId="77777777" w:rsidR="00645D55" w:rsidRPr="00A200E0" w:rsidRDefault="00645D55" w:rsidP="007001C7">
            <w:pPr>
              <w:rPr>
                <w:rFonts w:ascii="Aptos" w:eastAsia="Cambria" w:hAnsi="Aptos" w:cs="Cambria"/>
                <w:color w:val="000000"/>
                <w:sz w:val="24"/>
                <w:szCs w:val="24"/>
              </w:rPr>
            </w:pPr>
          </w:p>
          <w:p w14:paraId="51DD29BD" w14:textId="3C2EE273" w:rsidR="007001C7" w:rsidRPr="00A200E0" w:rsidRDefault="007001C7" w:rsidP="007001C7">
            <w:pPr>
              <w:rPr>
                <w:rFonts w:ascii="Aptos" w:eastAsia="Cambria" w:hAnsi="Aptos" w:cs="Cambria"/>
                <w:color w:val="000000"/>
                <w:sz w:val="24"/>
                <w:szCs w:val="24"/>
              </w:rPr>
            </w:pPr>
            <w:r w:rsidRPr="00A200E0">
              <w:rPr>
                <w:rFonts w:ascii="Aptos" w:eastAsia="Cambria" w:hAnsi="Aptos" w:cs="Cambria"/>
                <w:color w:val="000000"/>
                <w:sz w:val="24"/>
                <w:szCs w:val="24"/>
              </w:rPr>
              <w:t>Colour and Theming</w:t>
            </w:r>
          </w:p>
        </w:tc>
        <w:tc>
          <w:tcPr>
            <w:tcW w:w="5228" w:type="dxa"/>
          </w:tcPr>
          <w:p w14:paraId="2C971206" w14:textId="331851B3" w:rsidR="007001C7" w:rsidRPr="00A200E0" w:rsidRDefault="007001C7" w:rsidP="007001C7">
            <w:pPr>
              <w:rPr>
                <w:rFonts w:ascii="Aptos" w:eastAsia="Cambria" w:hAnsi="Aptos" w:cs="Cambria"/>
                <w:color w:val="000000"/>
                <w:sz w:val="24"/>
                <w:szCs w:val="24"/>
              </w:rPr>
            </w:pPr>
            <w:r w:rsidRPr="00A200E0">
              <w:rPr>
                <w:rFonts w:ascii="Aptos" w:eastAsia="Cambria" w:hAnsi="Aptos" w:cs="Cambria"/>
                <w:color w:val="000000"/>
                <w:sz w:val="24"/>
                <w:szCs w:val="24"/>
              </w:rPr>
              <w:t>A consistent blue-based colour theme is used throughout the dashboard to provide a professional and uniform appearance.</w:t>
            </w:r>
          </w:p>
        </w:tc>
      </w:tr>
      <w:tr w:rsidR="007001C7" w:rsidRPr="00A200E0" w14:paraId="6E19FBDA" w14:textId="77777777" w:rsidTr="007001C7">
        <w:tc>
          <w:tcPr>
            <w:tcW w:w="5228" w:type="dxa"/>
          </w:tcPr>
          <w:p w14:paraId="62165F5B" w14:textId="77777777" w:rsidR="00645D55" w:rsidRPr="00A200E0" w:rsidRDefault="00645D55" w:rsidP="007001C7">
            <w:pPr>
              <w:rPr>
                <w:rFonts w:ascii="Aptos" w:eastAsia="Cambria" w:hAnsi="Aptos" w:cs="Cambria"/>
                <w:color w:val="000000"/>
                <w:sz w:val="24"/>
                <w:szCs w:val="24"/>
              </w:rPr>
            </w:pPr>
          </w:p>
          <w:p w14:paraId="72C9AF9B" w14:textId="65DCC8F5" w:rsidR="007001C7" w:rsidRPr="00A200E0" w:rsidRDefault="007001C7" w:rsidP="007001C7">
            <w:pPr>
              <w:rPr>
                <w:rFonts w:ascii="Aptos" w:eastAsia="Cambria" w:hAnsi="Aptos" w:cs="Cambria"/>
                <w:color w:val="000000"/>
                <w:sz w:val="24"/>
                <w:szCs w:val="24"/>
              </w:rPr>
            </w:pPr>
            <w:r w:rsidRPr="00A200E0">
              <w:rPr>
                <w:rFonts w:ascii="Aptos" w:eastAsia="Cambria" w:hAnsi="Aptos" w:cs="Cambria"/>
                <w:color w:val="000000"/>
                <w:sz w:val="24"/>
                <w:szCs w:val="24"/>
              </w:rPr>
              <w:t>Interactive Filters and Slicers</w:t>
            </w:r>
          </w:p>
        </w:tc>
        <w:tc>
          <w:tcPr>
            <w:tcW w:w="5228" w:type="dxa"/>
          </w:tcPr>
          <w:p w14:paraId="3E62C485" w14:textId="53D1CFA8" w:rsidR="007001C7" w:rsidRPr="00A200E0" w:rsidRDefault="007001C7" w:rsidP="007001C7">
            <w:pPr>
              <w:rPr>
                <w:rFonts w:ascii="Aptos" w:eastAsia="Cambria" w:hAnsi="Aptos" w:cs="Cambria"/>
                <w:color w:val="000000"/>
                <w:sz w:val="24"/>
                <w:szCs w:val="24"/>
              </w:rPr>
            </w:pPr>
            <w:r w:rsidRPr="00A200E0">
              <w:rPr>
                <w:rFonts w:ascii="Aptos" w:eastAsia="Cambria" w:hAnsi="Aptos" w:cs="Cambria"/>
                <w:color w:val="000000"/>
                <w:sz w:val="24"/>
                <w:szCs w:val="24"/>
              </w:rPr>
              <w:t>Filters for Work Mode, Department, and Job Role allow users to view specific employee groups and analyze attrition patterns.</w:t>
            </w:r>
          </w:p>
        </w:tc>
      </w:tr>
      <w:tr w:rsidR="007001C7" w:rsidRPr="00A200E0" w14:paraId="717AE762" w14:textId="77777777" w:rsidTr="007001C7">
        <w:tc>
          <w:tcPr>
            <w:tcW w:w="5228" w:type="dxa"/>
          </w:tcPr>
          <w:p w14:paraId="4BC74245" w14:textId="77777777" w:rsidR="00645D55" w:rsidRPr="00A200E0" w:rsidRDefault="00645D55" w:rsidP="007001C7">
            <w:pPr>
              <w:rPr>
                <w:rFonts w:ascii="Aptos" w:eastAsia="Cambria" w:hAnsi="Aptos" w:cs="Cambria"/>
                <w:color w:val="000000"/>
                <w:sz w:val="24"/>
                <w:szCs w:val="24"/>
              </w:rPr>
            </w:pPr>
          </w:p>
          <w:p w14:paraId="75DFDCB8" w14:textId="0F5505AC" w:rsidR="007001C7" w:rsidRPr="00A200E0" w:rsidRDefault="007001C7" w:rsidP="007001C7">
            <w:pPr>
              <w:rPr>
                <w:rFonts w:ascii="Aptos" w:eastAsia="Cambria" w:hAnsi="Aptos" w:cs="Cambria"/>
                <w:color w:val="000000"/>
                <w:sz w:val="24"/>
                <w:szCs w:val="24"/>
              </w:rPr>
            </w:pPr>
            <w:r w:rsidRPr="00A200E0">
              <w:rPr>
                <w:rFonts w:ascii="Aptos" w:eastAsia="Cambria" w:hAnsi="Aptos" w:cs="Cambria"/>
                <w:color w:val="000000"/>
                <w:sz w:val="24"/>
                <w:szCs w:val="24"/>
              </w:rPr>
              <w:t>Drill-Down Capabilities</w:t>
            </w:r>
          </w:p>
        </w:tc>
        <w:tc>
          <w:tcPr>
            <w:tcW w:w="5228" w:type="dxa"/>
          </w:tcPr>
          <w:p w14:paraId="282368DE" w14:textId="00D7A726" w:rsidR="007001C7" w:rsidRPr="00A200E0" w:rsidRDefault="007001C7" w:rsidP="007001C7">
            <w:pPr>
              <w:rPr>
                <w:rFonts w:ascii="Aptos" w:eastAsia="Cambria" w:hAnsi="Aptos" w:cs="Cambria"/>
                <w:color w:val="000000"/>
                <w:sz w:val="24"/>
                <w:szCs w:val="24"/>
              </w:rPr>
            </w:pPr>
            <w:r w:rsidRPr="00A200E0">
              <w:rPr>
                <w:rFonts w:ascii="Aptos" w:eastAsia="Cambria" w:hAnsi="Aptos" w:cs="Cambria"/>
                <w:color w:val="000000"/>
                <w:sz w:val="24"/>
                <w:szCs w:val="24"/>
              </w:rPr>
              <w:t>Users can explore workforce information at different levels, such as department, job role, and work mode, to understand detailed attrition patterns.</w:t>
            </w:r>
          </w:p>
        </w:tc>
      </w:tr>
      <w:tr w:rsidR="00645D55" w:rsidRPr="00A200E0" w14:paraId="2572822A" w14:textId="77777777" w:rsidTr="007001C7">
        <w:tc>
          <w:tcPr>
            <w:tcW w:w="5228" w:type="dxa"/>
          </w:tcPr>
          <w:p w14:paraId="3B480AB5" w14:textId="77777777" w:rsidR="00645D55" w:rsidRPr="00A200E0" w:rsidRDefault="00645D55" w:rsidP="007001C7">
            <w:pPr>
              <w:rPr>
                <w:rFonts w:ascii="Aptos" w:eastAsia="Cambria" w:hAnsi="Aptos" w:cs="Cambria"/>
                <w:color w:val="000000"/>
                <w:sz w:val="24"/>
                <w:szCs w:val="24"/>
              </w:rPr>
            </w:pPr>
          </w:p>
          <w:p w14:paraId="39BF965E" w14:textId="3646200B" w:rsidR="00645D55" w:rsidRPr="00A200E0" w:rsidRDefault="00645D55" w:rsidP="007001C7">
            <w:pPr>
              <w:rPr>
                <w:rFonts w:ascii="Aptos" w:eastAsia="Cambria" w:hAnsi="Aptos" w:cs="Cambria"/>
                <w:color w:val="000000"/>
                <w:sz w:val="24"/>
                <w:szCs w:val="24"/>
              </w:rPr>
            </w:pPr>
            <w:r w:rsidRPr="00A200E0">
              <w:rPr>
                <w:rFonts w:ascii="Aptos" w:eastAsia="Cambria" w:hAnsi="Aptos" w:cs="Cambria"/>
                <w:color w:val="000000"/>
                <w:sz w:val="24"/>
                <w:szCs w:val="24"/>
              </w:rPr>
              <w:t>Responsive Design</w:t>
            </w:r>
          </w:p>
        </w:tc>
        <w:tc>
          <w:tcPr>
            <w:tcW w:w="5228" w:type="dxa"/>
          </w:tcPr>
          <w:p w14:paraId="05F86620" w14:textId="4329665E" w:rsidR="00645D55" w:rsidRPr="00A200E0" w:rsidRDefault="00645D55" w:rsidP="007001C7">
            <w:pPr>
              <w:rPr>
                <w:rFonts w:ascii="Aptos" w:eastAsia="Cambria" w:hAnsi="Aptos" w:cs="Cambria"/>
                <w:color w:val="000000"/>
                <w:sz w:val="24"/>
                <w:szCs w:val="24"/>
              </w:rPr>
            </w:pPr>
            <w:r w:rsidRPr="00A200E0">
              <w:rPr>
                <w:rFonts w:ascii="Aptos" w:eastAsia="Cambria" w:hAnsi="Aptos" w:cs="Cambria"/>
                <w:color w:val="000000"/>
                <w:sz w:val="24"/>
                <w:szCs w:val="24"/>
              </w:rPr>
              <w:t>Visuals and KPI cards are arranged neatly so that important information can be viewed easily without unnecessary clutter.</w:t>
            </w:r>
          </w:p>
        </w:tc>
      </w:tr>
      <w:tr w:rsidR="00645D55" w:rsidRPr="00A200E0" w14:paraId="328E8F81" w14:textId="77777777" w:rsidTr="007001C7">
        <w:tc>
          <w:tcPr>
            <w:tcW w:w="5228" w:type="dxa"/>
          </w:tcPr>
          <w:p w14:paraId="160FE4BC" w14:textId="77777777" w:rsidR="00645D55" w:rsidRPr="00A200E0" w:rsidRDefault="00645D55" w:rsidP="007001C7">
            <w:pPr>
              <w:rPr>
                <w:rFonts w:ascii="Aptos" w:eastAsia="Cambria" w:hAnsi="Aptos" w:cs="Cambria"/>
                <w:color w:val="000000"/>
                <w:sz w:val="24"/>
                <w:szCs w:val="24"/>
              </w:rPr>
            </w:pPr>
          </w:p>
          <w:p w14:paraId="34F84300" w14:textId="55CF8AE2" w:rsidR="00645D55" w:rsidRPr="00A200E0" w:rsidRDefault="00645D55" w:rsidP="007001C7">
            <w:pPr>
              <w:rPr>
                <w:rFonts w:ascii="Aptos" w:eastAsia="Cambria" w:hAnsi="Aptos" w:cs="Cambria"/>
                <w:color w:val="000000"/>
                <w:sz w:val="24"/>
                <w:szCs w:val="24"/>
              </w:rPr>
            </w:pPr>
            <w:r w:rsidRPr="00A200E0">
              <w:rPr>
                <w:rFonts w:ascii="Aptos" w:eastAsia="Cambria" w:hAnsi="Aptos" w:cs="Cambria"/>
                <w:color w:val="000000"/>
                <w:sz w:val="24"/>
                <w:szCs w:val="24"/>
              </w:rPr>
              <w:t>Custom Visuals and Icons</w:t>
            </w:r>
          </w:p>
        </w:tc>
        <w:tc>
          <w:tcPr>
            <w:tcW w:w="5228" w:type="dxa"/>
          </w:tcPr>
          <w:p w14:paraId="332F2441" w14:textId="3104EBDB" w:rsidR="00645D55" w:rsidRPr="00A200E0" w:rsidRDefault="00645D55" w:rsidP="007001C7">
            <w:pPr>
              <w:rPr>
                <w:rFonts w:ascii="Aptos" w:eastAsia="Cambria" w:hAnsi="Aptos" w:cs="Cambria"/>
                <w:color w:val="000000"/>
                <w:sz w:val="24"/>
                <w:szCs w:val="24"/>
              </w:rPr>
            </w:pPr>
            <w:r w:rsidRPr="00A200E0">
              <w:rPr>
                <w:rFonts w:ascii="Aptos" w:eastAsia="Cambria" w:hAnsi="Aptos" w:cs="Cambria"/>
                <w:color w:val="000000"/>
                <w:sz w:val="24"/>
                <w:szCs w:val="24"/>
              </w:rPr>
              <w:t>KPI cards and formatted visual elements are used to highlight important workforce metrics such as total employees and attrition rate.</w:t>
            </w:r>
          </w:p>
        </w:tc>
      </w:tr>
      <w:tr w:rsidR="00645D55" w:rsidRPr="00A200E0" w14:paraId="3B54593C" w14:textId="77777777" w:rsidTr="007001C7">
        <w:tc>
          <w:tcPr>
            <w:tcW w:w="5228" w:type="dxa"/>
          </w:tcPr>
          <w:p w14:paraId="3398285A" w14:textId="77777777" w:rsidR="00645D55" w:rsidRPr="00A200E0" w:rsidRDefault="00645D55" w:rsidP="007001C7">
            <w:pPr>
              <w:rPr>
                <w:rFonts w:ascii="Aptos" w:eastAsia="Cambria" w:hAnsi="Aptos" w:cs="Cambria"/>
                <w:color w:val="000000"/>
                <w:sz w:val="24"/>
                <w:szCs w:val="24"/>
              </w:rPr>
            </w:pPr>
          </w:p>
          <w:p w14:paraId="2224230E" w14:textId="7AC6B199" w:rsidR="00645D55" w:rsidRPr="00A200E0" w:rsidRDefault="00645D55" w:rsidP="007001C7">
            <w:pPr>
              <w:rPr>
                <w:rFonts w:ascii="Aptos" w:eastAsia="Cambria" w:hAnsi="Aptos" w:cs="Cambria"/>
                <w:color w:val="000000"/>
                <w:sz w:val="24"/>
                <w:szCs w:val="24"/>
              </w:rPr>
            </w:pPr>
            <w:r w:rsidRPr="00A200E0">
              <w:rPr>
                <w:rFonts w:ascii="Aptos" w:eastAsia="Cambria" w:hAnsi="Aptos" w:cs="Cambria"/>
                <w:color w:val="000000"/>
                <w:sz w:val="24"/>
                <w:szCs w:val="24"/>
              </w:rPr>
              <w:t>Use of Infographics</w:t>
            </w:r>
          </w:p>
        </w:tc>
        <w:tc>
          <w:tcPr>
            <w:tcW w:w="5228" w:type="dxa"/>
          </w:tcPr>
          <w:p w14:paraId="5F6185BC" w14:textId="17456901" w:rsidR="00645D55" w:rsidRPr="00A200E0" w:rsidRDefault="00645D55" w:rsidP="007001C7">
            <w:pPr>
              <w:rPr>
                <w:rFonts w:ascii="Aptos" w:eastAsia="Cambria" w:hAnsi="Aptos" w:cs="Cambria"/>
                <w:color w:val="000000"/>
                <w:sz w:val="24"/>
                <w:szCs w:val="24"/>
                <w:highlight w:val="white"/>
              </w:rPr>
            </w:pPr>
            <w:r w:rsidRPr="00A200E0">
              <w:rPr>
                <w:rFonts w:ascii="Aptos" w:eastAsia="Cambria" w:hAnsi="Aptos" w:cs="Cambria"/>
                <w:color w:val="000000"/>
                <w:sz w:val="24"/>
                <w:szCs w:val="24"/>
              </w:rPr>
              <w:t>KPI cards and graphical charts provide a visual summary of employee count, attrition, average tenure, AI adoption, and other workforce insights.</w:t>
            </w:r>
          </w:p>
        </w:tc>
      </w:tr>
    </w:tbl>
    <w:p w14:paraId="2F89B621" w14:textId="77777777" w:rsidR="007001C7" w:rsidRPr="00A200E0" w:rsidRDefault="007001C7" w:rsidP="007001C7">
      <w:pPr>
        <w:rPr>
          <w:rFonts w:ascii="Aptos" w:eastAsia="Cambria" w:hAnsi="Aptos" w:cs="Cambria"/>
          <w:color w:val="000000"/>
          <w:sz w:val="24"/>
          <w:szCs w:val="24"/>
        </w:rPr>
      </w:pPr>
    </w:p>
    <w:p w14:paraId="25311292" w14:textId="77777777" w:rsidR="007001C7" w:rsidRPr="00A200E0" w:rsidRDefault="007001C7">
      <w:pPr>
        <w:rPr>
          <w:rFonts w:ascii="Aptos" w:eastAsia="Cambria" w:hAnsi="Aptos" w:cs="Cambria"/>
          <w:color w:val="000000"/>
          <w:sz w:val="24"/>
          <w:szCs w:val="24"/>
          <w:highlight w:val="white"/>
        </w:rPr>
      </w:pPr>
    </w:p>
    <w:p w14:paraId="7EA96F42" w14:textId="451E3D5C" w:rsidR="00F125C0" w:rsidRPr="00A200E0" w:rsidRDefault="00F125C0" w:rsidP="007001C7">
      <w:pPr>
        <w:spacing w:after="200" w:line="240" w:lineRule="auto"/>
        <w:jc w:val="center"/>
        <w:rPr>
          <w:rFonts w:ascii="Aptos" w:eastAsia="Arial" w:hAnsi="Aptos" w:cs="Arial"/>
          <w:sz w:val="20"/>
          <w:szCs w:val="20"/>
        </w:rPr>
      </w:pPr>
      <w:r w:rsidRPr="00A200E0">
        <w:rPr>
          <w:rFonts w:ascii="Aptos" w:eastAsia="Arial" w:hAnsi="Aptos" w:cs="Arial"/>
          <w:noProof/>
          <w:sz w:val="20"/>
          <w:szCs w:val="20"/>
        </w:rPr>
        <w:drawing>
          <wp:inline distT="0" distB="0" distL="0" distR="0" wp14:anchorId="1B6CF2D8" wp14:editId="3F0E3554">
            <wp:extent cx="5669280" cy="3065780"/>
            <wp:effectExtent l="0" t="0" r="7620" b="1270"/>
            <wp:docPr id="17440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5404" name="Picture 174405404"/>
                    <pic:cNvPicPr/>
                  </pic:nvPicPr>
                  <pic:blipFill>
                    <a:blip r:embed="rId7">
                      <a:extLst>
                        <a:ext uri="{28A0092B-C50C-407E-A947-70E740481C1C}">
                          <a14:useLocalDpi xmlns:a14="http://schemas.microsoft.com/office/drawing/2010/main" val="0"/>
                        </a:ext>
                      </a:extLst>
                    </a:blip>
                    <a:stretch>
                      <a:fillRect/>
                    </a:stretch>
                  </pic:blipFill>
                  <pic:spPr>
                    <a:xfrm>
                      <a:off x="0" y="0"/>
                      <a:ext cx="5716675" cy="3091410"/>
                    </a:xfrm>
                    <a:prstGeom prst="rect">
                      <a:avLst/>
                    </a:prstGeom>
                  </pic:spPr>
                </pic:pic>
              </a:graphicData>
            </a:graphic>
          </wp:inline>
        </w:drawing>
      </w:r>
    </w:p>
    <w:p w14:paraId="7DD4145A" w14:textId="0A9B3FE9" w:rsidR="00F125C0" w:rsidRPr="00A200E0" w:rsidRDefault="00F125C0" w:rsidP="00F125C0">
      <w:pPr>
        <w:pStyle w:val="ListParagraph"/>
        <w:numPr>
          <w:ilvl w:val="0"/>
          <w:numId w:val="4"/>
        </w:numPr>
        <w:spacing w:after="200" w:line="360" w:lineRule="auto"/>
        <w:jc w:val="both"/>
        <w:rPr>
          <w:rFonts w:ascii="Aptos" w:eastAsia="Arial" w:hAnsi="Aptos" w:cs="Arial"/>
          <w:sz w:val="24"/>
          <w:szCs w:val="24"/>
        </w:rPr>
      </w:pPr>
      <w:r w:rsidRPr="00A200E0">
        <w:rPr>
          <w:rFonts w:ascii="Aptos" w:eastAsia="Arial" w:hAnsi="Aptos" w:cs="Arial"/>
          <w:b/>
          <w:bCs/>
          <w:sz w:val="24"/>
          <w:szCs w:val="24"/>
        </w:rPr>
        <w:t>Overall Attrition &amp; Retention Volume:</w:t>
      </w:r>
      <w:r w:rsidRPr="00A200E0">
        <w:rPr>
          <w:rFonts w:ascii="Aptos" w:eastAsia="Arial" w:hAnsi="Aptos" w:cs="Arial"/>
          <w:sz w:val="24"/>
          <w:szCs w:val="24"/>
        </w:rPr>
        <w:t xml:space="preserve"> The company maintains a workforce of 5,000 total employees, of which 5,000 are currently working while 895 employees have left. </w:t>
      </w:r>
    </w:p>
    <w:p w14:paraId="4C1DCDA3" w14:textId="1BA003E3" w:rsidR="00F125C0" w:rsidRPr="00A200E0" w:rsidRDefault="00F125C0" w:rsidP="00F125C0">
      <w:pPr>
        <w:pStyle w:val="ListParagraph"/>
        <w:numPr>
          <w:ilvl w:val="0"/>
          <w:numId w:val="4"/>
        </w:numPr>
        <w:spacing w:after="200" w:line="360" w:lineRule="auto"/>
        <w:jc w:val="both"/>
        <w:rPr>
          <w:rFonts w:ascii="Aptos" w:eastAsia="Arial" w:hAnsi="Aptos" w:cs="Arial"/>
          <w:sz w:val="24"/>
          <w:szCs w:val="24"/>
        </w:rPr>
      </w:pPr>
      <w:r w:rsidRPr="00A200E0">
        <w:rPr>
          <w:rFonts w:ascii="Aptos" w:eastAsia="Arial" w:hAnsi="Aptos" w:cs="Arial"/>
          <w:b/>
          <w:bCs/>
          <w:sz w:val="24"/>
          <w:szCs w:val="24"/>
        </w:rPr>
        <w:t>Overall Attrition Rate &amp; Company Tenure:</w:t>
      </w:r>
      <w:r w:rsidRPr="00A200E0">
        <w:rPr>
          <w:rFonts w:ascii="Aptos" w:eastAsia="Arial" w:hAnsi="Aptos" w:cs="Arial"/>
          <w:sz w:val="24"/>
          <w:szCs w:val="24"/>
        </w:rPr>
        <w:t xml:space="preserve"> The baseline attrition rate across the organization stands at 0.18 (18%), with employees averaging a tenure of 6.7 years at the company. </w:t>
      </w:r>
    </w:p>
    <w:p w14:paraId="2E66B351" w14:textId="6289739B" w:rsidR="00F125C0" w:rsidRPr="00A200E0" w:rsidRDefault="00F125C0" w:rsidP="00F125C0">
      <w:pPr>
        <w:pStyle w:val="ListParagraph"/>
        <w:numPr>
          <w:ilvl w:val="0"/>
          <w:numId w:val="4"/>
        </w:numPr>
        <w:spacing w:after="200" w:line="360" w:lineRule="auto"/>
        <w:jc w:val="both"/>
        <w:rPr>
          <w:rFonts w:ascii="Aptos" w:eastAsia="Arial" w:hAnsi="Aptos" w:cs="Arial"/>
          <w:sz w:val="24"/>
          <w:szCs w:val="24"/>
        </w:rPr>
      </w:pPr>
      <w:r w:rsidRPr="00A200E0">
        <w:rPr>
          <w:rFonts w:ascii="Aptos" w:eastAsia="Arial" w:hAnsi="Aptos" w:cs="Arial"/>
          <w:b/>
          <w:bCs/>
          <w:sz w:val="24"/>
          <w:szCs w:val="24"/>
        </w:rPr>
        <w:t>Departmental Attrition Distribution:</w:t>
      </w:r>
      <w:r w:rsidRPr="00A200E0">
        <w:rPr>
          <w:rFonts w:ascii="Aptos" w:eastAsia="Arial" w:hAnsi="Aptos" w:cs="Arial"/>
          <w:sz w:val="24"/>
          <w:szCs w:val="24"/>
        </w:rPr>
        <w:t xml:space="preserve"> Customer Support experiences the highest rate of attrition at 0.24, followed closely by Sales at 0.20, whereas Engineering and R&amp;D maintain the lowest attrition rates at 0.15. </w:t>
      </w:r>
    </w:p>
    <w:p w14:paraId="34FA00BF" w14:textId="08591038" w:rsidR="00F125C0" w:rsidRPr="00A200E0" w:rsidRDefault="00F125C0" w:rsidP="00F125C0">
      <w:pPr>
        <w:pStyle w:val="ListParagraph"/>
        <w:numPr>
          <w:ilvl w:val="0"/>
          <w:numId w:val="4"/>
        </w:numPr>
        <w:spacing w:after="200" w:line="360" w:lineRule="auto"/>
        <w:jc w:val="both"/>
        <w:rPr>
          <w:rFonts w:ascii="Aptos" w:eastAsia="Arial" w:hAnsi="Aptos" w:cs="Arial"/>
          <w:sz w:val="24"/>
          <w:szCs w:val="24"/>
        </w:rPr>
      </w:pPr>
      <w:r w:rsidRPr="00A200E0">
        <w:rPr>
          <w:rFonts w:ascii="Aptos" w:eastAsia="Arial" w:hAnsi="Aptos" w:cs="Arial"/>
          <w:b/>
          <w:bCs/>
          <w:sz w:val="24"/>
          <w:szCs w:val="24"/>
        </w:rPr>
        <w:t>Role-Specific Attrition Vulnerability:</w:t>
      </w:r>
      <w:r w:rsidRPr="00A200E0">
        <w:rPr>
          <w:rFonts w:ascii="Aptos" w:eastAsia="Arial" w:hAnsi="Aptos" w:cs="Arial"/>
          <w:sz w:val="24"/>
          <w:szCs w:val="24"/>
        </w:rPr>
        <w:t xml:space="preserve"> Attrition peaks in leadership and specialist positions, with Support Team Leads reaching the highest rate at 0.26, followed by Support Specialists at 0.25. </w:t>
      </w:r>
    </w:p>
    <w:p w14:paraId="75FB5C73" w14:textId="1E3DBD1A" w:rsidR="00F125C0" w:rsidRPr="00A200E0" w:rsidRDefault="00F125C0" w:rsidP="00F125C0">
      <w:pPr>
        <w:pStyle w:val="ListParagraph"/>
        <w:numPr>
          <w:ilvl w:val="0"/>
          <w:numId w:val="4"/>
        </w:numPr>
        <w:spacing w:after="200" w:line="360" w:lineRule="auto"/>
        <w:jc w:val="both"/>
        <w:rPr>
          <w:rFonts w:ascii="Aptos" w:eastAsia="Arial" w:hAnsi="Aptos" w:cs="Arial"/>
          <w:sz w:val="24"/>
          <w:szCs w:val="24"/>
        </w:rPr>
      </w:pPr>
      <w:r w:rsidRPr="00A200E0">
        <w:rPr>
          <w:rFonts w:ascii="Aptos" w:eastAsia="Arial" w:hAnsi="Aptos" w:cs="Arial"/>
          <w:b/>
          <w:bCs/>
          <w:sz w:val="24"/>
          <w:szCs w:val="24"/>
        </w:rPr>
        <w:t>AI Tool Adoption Level:</w:t>
      </w:r>
      <w:r w:rsidRPr="00A200E0">
        <w:rPr>
          <w:rFonts w:ascii="Aptos" w:eastAsia="Arial" w:hAnsi="Aptos" w:cs="Arial"/>
          <w:sz w:val="24"/>
          <w:szCs w:val="24"/>
        </w:rPr>
        <w:t xml:space="preserve"> The organization shows a overall AI adoption rate of 0.6 (60%) across its workforce. </w:t>
      </w:r>
    </w:p>
    <w:p w14:paraId="4716A967" w14:textId="078EFF5A" w:rsidR="00F125C0" w:rsidRPr="00A200E0" w:rsidRDefault="00F125C0" w:rsidP="00F125C0">
      <w:pPr>
        <w:pStyle w:val="ListParagraph"/>
        <w:numPr>
          <w:ilvl w:val="0"/>
          <w:numId w:val="4"/>
        </w:numPr>
        <w:spacing w:after="200" w:line="360" w:lineRule="auto"/>
        <w:jc w:val="both"/>
        <w:rPr>
          <w:rFonts w:ascii="Aptos" w:eastAsia="Arial" w:hAnsi="Aptos" w:cs="Arial"/>
          <w:sz w:val="24"/>
          <w:szCs w:val="24"/>
        </w:rPr>
      </w:pPr>
      <w:r w:rsidRPr="00A200E0">
        <w:rPr>
          <w:rFonts w:ascii="Aptos" w:eastAsia="Arial" w:hAnsi="Aptos" w:cs="Arial"/>
          <w:b/>
          <w:bCs/>
          <w:sz w:val="24"/>
          <w:szCs w:val="24"/>
        </w:rPr>
        <w:t>Engineering Department Breakdown:</w:t>
      </w:r>
      <w:r w:rsidRPr="00A200E0">
        <w:rPr>
          <w:rFonts w:ascii="Aptos" w:eastAsia="Arial" w:hAnsi="Aptos" w:cs="Arial"/>
          <w:sz w:val="24"/>
          <w:szCs w:val="24"/>
        </w:rPr>
        <w:t xml:space="preserve"> Out of the 895 total departing employees, Engineering accounts for the largest share at 194, where Engineering Managers on a Hybrid work mode are the primary contributor. </w:t>
      </w:r>
    </w:p>
    <w:p w14:paraId="41F91DCF" w14:textId="77777777" w:rsidR="00F125C0" w:rsidRPr="00A200E0" w:rsidRDefault="00F125C0">
      <w:pPr>
        <w:spacing w:after="200" w:line="240" w:lineRule="auto"/>
        <w:rPr>
          <w:rFonts w:ascii="Aptos" w:eastAsia="Arial" w:hAnsi="Aptos" w:cs="Arial"/>
          <w:sz w:val="20"/>
          <w:szCs w:val="20"/>
        </w:rPr>
      </w:pPr>
    </w:p>
    <w:sectPr w:rsidR="00F125C0" w:rsidRPr="00A200E0" w:rsidSect="007001C7">
      <w:pgSz w:w="11906" w:h="16838"/>
      <w:pgMar w:top="720" w:right="720" w:bottom="720" w:left="72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8B59141-3BEF-4CD2-B6F8-B316E31BE14A}"/>
  </w:font>
  <w:font w:name="Calibri">
    <w:panose1 w:val="020F0502020204030204"/>
    <w:charset w:val="00"/>
    <w:family w:val="swiss"/>
    <w:pitch w:val="variable"/>
    <w:sig w:usb0="E4002EFF" w:usb1="C200247B" w:usb2="00000009" w:usb3="00000000" w:csb0="000001FF" w:csb1="00000000"/>
    <w:embedRegular r:id="rId2" w:fontKey="{E593A141-AEFB-4AFE-9DD0-A3706415FD52}"/>
    <w:embedBold r:id="rId3" w:fontKey="{F71608F2-78A9-4DB3-BEDD-343D27173E1D}"/>
  </w:font>
  <w:font w:name="Georgia">
    <w:panose1 w:val="02040502050405020303"/>
    <w:charset w:val="00"/>
    <w:family w:val="roman"/>
    <w:pitch w:val="variable"/>
    <w:sig w:usb0="00000287" w:usb1="00000000" w:usb2="00000000" w:usb3="00000000" w:csb0="0000009F" w:csb1="00000000"/>
    <w:embedItalic r:id="rId4" w:fontKey="{235D7A4E-D4F3-4019-88D6-39DA4E03BCC2}"/>
  </w:font>
  <w:font w:name="Cambria">
    <w:panose1 w:val="02040503050406030204"/>
    <w:charset w:val="00"/>
    <w:family w:val="roman"/>
    <w:pitch w:val="variable"/>
    <w:sig w:usb0="E00006FF" w:usb1="420024FF" w:usb2="02000000" w:usb3="00000000" w:csb0="0000019F" w:csb1="00000000"/>
    <w:embedRegular r:id="rId5" w:fontKey="{E356BE74-DDFB-47A6-B106-95D0A2410AB4}"/>
    <w:embedBold r:id="rId6" w:fontKey="{874E9CAD-126D-4674-944C-13E2A37DC7AD}"/>
  </w:font>
  <w:font w:name="Aptos">
    <w:charset w:val="00"/>
    <w:family w:val="swiss"/>
    <w:pitch w:val="variable"/>
    <w:sig w:usb0="20000287" w:usb1="00000003" w:usb2="00000000" w:usb3="00000000" w:csb0="0000019F" w:csb1="00000000"/>
    <w:embedRegular r:id="rId7" w:fontKey="{BD7A7473-B519-4593-93E8-16CB070A5AFD}"/>
    <w:embedBold r:id="rId8" w:fontKey="{21366BD7-873C-4AC2-AAC8-D22F115CF17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9" w:fontKey="{A5A7574E-6D9E-45E7-B476-9F5A044E52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D6A8F"/>
    <w:multiLevelType w:val="multilevel"/>
    <w:tmpl w:val="894A76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B360E62"/>
    <w:multiLevelType w:val="hybridMultilevel"/>
    <w:tmpl w:val="F40E8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14C6244"/>
    <w:multiLevelType w:val="multilevel"/>
    <w:tmpl w:val="2F3C717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62605217"/>
    <w:multiLevelType w:val="hybridMultilevel"/>
    <w:tmpl w:val="F2FE9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3631896">
    <w:abstractNumId w:val="2"/>
  </w:num>
  <w:num w:numId="2" w16cid:durableId="1141964806">
    <w:abstractNumId w:val="0"/>
  </w:num>
  <w:num w:numId="3" w16cid:durableId="743913914">
    <w:abstractNumId w:val="3"/>
  </w:num>
  <w:num w:numId="4" w16cid:durableId="963541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CAE"/>
    <w:rsid w:val="000D1CAE"/>
    <w:rsid w:val="00355D70"/>
    <w:rsid w:val="00511E1A"/>
    <w:rsid w:val="00645D55"/>
    <w:rsid w:val="007001C7"/>
    <w:rsid w:val="008B07EC"/>
    <w:rsid w:val="00A200E0"/>
    <w:rsid w:val="00EC3E83"/>
    <w:rsid w:val="00F125C0"/>
    <w:rsid w:val="00FF40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B6627"/>
  <w15:docId w15:val="{2D5E6DC3-ED37-4699-82D9-E2EE9E9D1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table" w:styleId="TableGrid">
    <w:name w:val="Table Grid"/>
    <w:basedOn w:val="TableNormal"/>
    <w:uiPriority w:val="39"/>
    <w:rsid w:val="00700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dmjoeOYB0z58e5B+zfsNeIzCg==">CgMxLjA4AHIhMXYzY2J2SnJ1ZUpUX3ZucDVKdFNqaFlCTWV0WEdvazlM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chakkapriyanka5@outlook.com</cp:lastModifiedBy>
  <cp:revision>6</cp:revision>
  <dcterms:created xsi:type="dcterms:W3CDTF">2024-01-13T08:54:00Z</dcterms:created>
  <dcterms:modified xsi:type="dcterms:W3CDTF">2026-09-21T00:33:00Z</dcterms:modified>
</cp:coreProperties>
</file>