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and Category Management System</w:t>
        <w:br/>
        <w:t>Table Structure</w:t>
      </w:r>
    </w:p>
    <w:p/>
    <w:p>
      <w:pPr>
        <w:pStyle w:val="Heading1"/>
      </w:pPr>
      <w:r>
        <w:t>1. Category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Unique ID for each category</w:t>
            </w:r>
          </w:p>
        </w:tc>
      </w:tr>
      <w:tr>
        <w:tc>
          <w:tcPr>
            <w:tcW w:type="dxa" w:w="1728"/>
          </w:tcPr>
          <w:p>
            <w:r>
              <w:t>Category_Name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NULL, UNIQUE</w:t>
            </w:r>
          </w:p>
        </w:tc>
        <w:tc>
          <w:tcPr>
            <w:tcW w:type="dxa" w:w="1728"/>
          </w:tcPr>
          <w:p>
            <w:r>
              <w:t>Name of the category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Description of the category</w:t>
            </w:r>
          </w:p>
        </w:tc>
      </w:tr>
    </w:tbl>
    <w:p/>
    <w:p>
      <w:pPr>
        <w:pStyle w:val="Heading1"/>
      </w:pPr>
      <w:r>
        <w:t>2. Product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Unique ID for each product</w:t>
            </w:r>
          </w:p>
        </w:tc>
      </w:tr>
      <w:tr>
        <w:tc>
          <w:tcPr>
            <w:tcW w:type="dxa" w:w="1728"/>
          </w:tcPr>
          <w:p>
            <w:r>
              <w:t>Product_Name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 of the product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Price of the product</w:t>
            </w:r>
          </w:p>
        </w:tc>
      </w:tr>
      <w:tr>
        <w:tc>
          <w:tcPr>
            <w:tcW w:type="dxa" w:w="1728"/>
          </w:tcPr>
          <w:p>
            <w:r>
              <w:t>Stock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NULL, DEFAULT 0</w:t>
            </w:r>
          </w:p>
        </w:tc>
        <w:tc>
          <w:tcPr>
            <w:tcW w:type="dxa" w:w="1728"/>
          </w:tcPr>
          <w:p>
            <w:r>
              <w:t>Available quantity</w:t>
            </w:r>
          </w:p>
        </w:tc>
      </w:tr>
      <w:tr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Links product to Category table</w:t>
            </w:r>
          </w:p>
        </w:tc>
      </w:tr>
    </w:tbl>
    <w:p/>
    <w:p>
      <w:pPr>
        <w:pStyle w:val="Heading1"/>
      </w:pPr>
      <w:r>
        <w:t>3. Relationship</w:t>
      </w:r>
    </w:p>
    <w:p>
      <w:r>
        <w:t>One Category can contain many Products. The Category_ID in the Product table is a Foreign Key referencing Category(Category_ID).</w:t>
      </w:r>
    </w:p>
    <w:p/>
    <w:p>
      <w:pPr>
        <w:pStyle w:val="Heading1"/>
      </w:pPr>
      <w:r>
        <w:t>4. SQL Table Structure</w:t>
      </w:r>
    </w:p>
    <w:p>
      <w:r>
        <w:rPr>
          <w:rFonts w:ascii="Courier New" w:hAnsi="Courier New"/>
          <w:sz w:val="18"/>
        </w:rPr>
        <w:t>CREATE TABLE Category (</w:t>
        <w:br/>
        <w:t xml:space="preserve">    Category_ID INT PRIMARY KEY,</w:t>
        <w:br/>
        <w:t xml:space="preserve">    Category_Name VARCHAR(100) NOT NULL UNIQUE,</w:t>
        <w:br/>
        <w:t xml:space="preserve">    Description VARCHAR(255)</w:t>
        <w:br/>
        <w:t>);</w:t>
        <w:br/>
        <w:br/>
        <w:t>CREATE TABLE Product (</w:t>
        <w:br/>
        <w:t xml:space="preserve">    Product_ID INT PRIMARY KEY,</w:t>
        <w:br/>
        <w:t xml:space="preserve">    Product_Name VARCHAR(100) NOT NULL,</w:t>
        <w:br/>
        <w:t xml:space="preserve">    Price DECIMAL(10,2) NOT NULL,</w:t>
        <w:br/>
        <w:t xml:space="preserve">    Stock INT NOT NULL DEFAULT 0,</w:t>
        <w:br/>
        <w:t xml:space="preserve">    Category_ID INT NOT NULL,</w:t>
        <w:br/>
        <w:t xml:space="preserve">    FOREIGN KEY (Category_ID)</w:t>
        <w:br/>
        <w:t xml:space="preserve">        REFERENCES Category(Category_ID)</w:t>
        <w:br/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