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Medicines Regulation Division</w:t>
      </w:r>
    </w:p>
    <w:p w:rsidR="00000000" w:rsidDel="00000000" w:rsidP="00000000" w:rsidRDefault="00000000" w:rsidRPr="00000000" w14:paraId="00000002">
      <w:pPr>
        <w:pStyle w:val="Title"/>
        <w:rPr>
          <w:rFonts w:ascii="TH Sarabun PSK" w:cs="TH Sarabun PSK" w:eastAsia="TH Sarabun PSK" w:hAnsi="TH Sarabun PSK"/>
          <w:sz w:val="44"/>
          <w:szCs w:val="44"/>
        </w:rPr>
      </w:pPr>
      <w:r w:rsidDel="00000000" w:rsidR="00000000" w:rsidRPr="00000000">
        <w:rPr>
          <w:rFonts w:ascii="TH Sarabun PSK" w:cs="TH Sarabun PSK" w:eastAsia="TH Sarabun PSK" w:hAnsi="TH Sarabun PSK"/>
          <w:sz w:val="44"/>
          <w:szCs w:val="44"/>
          <w:rtl w:val="0"/>
        </w:rPr>
        <w:t xml:space="preserve">Summary of Experience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40" w:firstLine="0"/>
        <w:rPr>
          <w:rFonts w:ascii="TH Sarabun PSK" w:cs="TH Sarabun PSK" w:eastAsia="TH Sarabun PSK" w:hAnsi="TH Sarabun PSK"/>
          <w:b w:val="1"/>
          <w:i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1"/>
          <w:sz w:val="32"/>
          <w:szCs w:val="32"/>
          <w:rtl w:val="0"/>
        </w:rPr>
        <w:t xml:space="preserve">Instructions for this template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0"/>
        </w:tabs>
        <w:spacing w:after="0" w:before="59" w:line="195" w:lineRule="auto"/>
        <w:ind w:left="1060" w:right="0" w:hanging="36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af50"/>
          <w:sz w:val="32"/>
          <w:szCs w:val="32"/>
          <w:u w:val="none"/>
          <w:shd w:fill="auto" w:val="clear"/>
          <w:vertAlign w:val="baseline"/>
          <w:rtl w:val="0"/>
        </w:rPr>
        <w:t xml:space="preserve">Green text (like this) 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is added as guidance/examples and can be removed before finalization of the document.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0"/>
        </w:tabs>
        <w:spacing w:after="0" w:before="0" w:line="194" w:lineRule="auto"/>
        <w:ind w:left="1060" w:right="0" w:hanging="36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Tables with information (certification, professional memberships etc.) – that are not applicable can be removed.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0"/>
        </w:tabs>
        <w:spacing w:after="0" w:before="0" w:line="240" w:lineRule="auto"/>
        <w:ind w:left="1060" w:right="559" w:hanging="36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You are only expected to provide information relevant to your job role. Personal information that is unrelated to your job responsibilities must not be included.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1.0" w:type="dxa"/>
        <w:jc w:val="left"/>
        <w:tblInd w:w="3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2"/>
        <w:gridCol w:w="7319"/>
        <w:tblGridChange w:id="0">
          <w:tblGrid>
            <w:gridCol w:w="2042"/>
            <w:gridCol w:w="7319"/>
          </w:tblGrid>
        </w:tblGridChange>
      </w:tblGrid>
      <w:tr>
        <w:trPr>
          <w:cantSplit w:val="0"/>
          <w:trHeight w:val="117.19999999999999" w:hRule="atLeast"/>
          <w:tblHeader w:val="0"/>
        </w:trPr>
        <w:tc>
          <w:tcPr>
            <w:shd w:fill="e4e4e4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69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Last Name: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LUANGWATTANAPONG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e4e4e4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69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First Name: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KRIT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e4e4e4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69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Sub-Division: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Inspections, Compliance and License Enforcement subdivision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e4e4e4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69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Current Position Title: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Professional Pharmacist, Lead GMDP inspector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1.0" w:type="dxa"/>
        <w:jc w:val="left"/>
        <w:tblInd w:w="3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72"/>
        <w:gridCol w:w="7589"/>
        <w:tblGridChange w:id="0">
          <w:tblGrid>
            <w:gridCol w:w="1772"/>
            <w:gridCol w:w="758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Previous Relevant Experience/Employment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Indicate Company name, service year, position, location (city and state / country)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November 2024 – Present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Inspections, Compliance and License Enforcement subdivision, Medicines Regulation Division, Thai FDA.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TH Sarabun PSK" w:cs="TH Sarabun PSK" w:eastAsia="TH Sarabun PSK" w:hAnsi="TH Sarabun PSK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Lead GMDP Inspector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August 2018 -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August 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The Inspectorate Unit, Division of Post-marketing Control, Bureau of drug Control, Thai FDA.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GMDP Inspector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June 2017 – September 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The Inspectorate Unit, Division of Post-marketing Control, Bureau of drug Control, Thai FDA.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Trainee Inspector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af5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August 2016 – May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The Inspectorate Unit, Division of Post-marketing Control, Bureau of drug Control, Thai FDA.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Pharmacist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af5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May 2015 – July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Fasino Drug store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Had Yai, Songkhla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86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1.0" w:type="dxa"/>
        <w:jc w:val="left"/>
        <w:tblInd w:w="3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71"/>
        <w:gridCol w:w="7290"/>
        <w:tblGridChange w:id="0">
          <w:tblGrid>
            <w:gridCol w:w="2071"/>
            <w:gridCol w:w="72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List school(s) attended, location (city, state/country), completion year, specialty, degree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af5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May 2009 – March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4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Bachelor of Pharmacy (First Class Honor)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40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Faculty of Pharmaceutical Sciences, Prince of Songkla University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1.0" w:type="dxa"/>
        <w:jc w:val="left"/>
        <w:tblInd w:w="3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7302"/>
        <w:tblGridChange w:id="0">
          <w:tblGrid>
            <w:gridCol w:w="2059"/>
            <w:gridCol w:w="7302"/>
          </w:tblGrid>
        </w:tblGridChange>
      </w:tblGrid>
      <w:tr>
        <w:trPr>
          <w:cantSplit w:val="0"/>
          <w:trHeight w:val="693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Relevant Certification/Licenses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List certification/licenses title and numbers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2014– Present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71" w:right="0" w:firstLine="0"/>
              <w:jc w:val="left"/>
              <w:rPr>
                <w:rFonts w:ascii="TH Sarabun PSK" w:cs="TH Sarabun PSK" w:eastAsia="TH Sarabun PSK" w:hAnsi="TH Sarabun PSK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Pharmacy license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40" w:right="0" w:firstLine="0"/>
              <w:jc w:val="left"/>
              <w:rPr>
                <w:rFonts w:ascii="TH Sarabun PSK" w:cs="TH Sarabun PSK" w:eastAsia="TH Sarabun PSK" w:hAnsi="TH Sarabun PSK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Por.  32201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H Sarabun PSK" w:cs="TH Sarabun PSK" w:eastAsia="TH Sarabun PSK" w:hAnsi="TH Sarabun PSK"/>
          <w:sz w:val="32"/>
          <w:szCs w:val="32"/>
        </w:rPr>
        <w:sectPr>
          <w:headerReference r:id="rId7" w:type="default"/>
          <w:footerReference r:id="rId8" w:type="default"/>
          <w:pgSz w:h="15840" w:w="12240" w:orient="portrait"/>
          <w:pgMar w:bottom="820" w:top="1420" w:left="1100" w:right="1100" w:header="102" w:footer="6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23.0" w:type="dxa"/>
        <w:jc w:val="left"/>
        <w:tblInd w:w="3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898"/>
        <w:gridCol w:w="1520"/>
        <w:gridCol w:w="3509"/>
        <w:gridCol w:w="3596"/>
        <w:tblGridChange w:id="0">
          <w:tblGrid>
            <w:gridCol w:w="898"/>
            <w:gridCol w:w="1520"/>
            <w:gridCol w:w="3509"/>
            <w:gridCol w:w="3596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7" w:right="0" w:firstLine="0"/>
              <w:jc w:val="center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Document Revision History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righ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6" w:lineRule="auto"/>
              <w:ind w:left="107" w:right="77" w:firstLine="24.000000000000004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Version Number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457" w:right="0" w:firstLine="0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8" w:val="single"/>
            </w:tcBorders>
            <w:shd w:fill="f1f1f1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750" w:right="0" w:firstLine="0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Description of Change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764" w:right="0" w:firstLine="0"/>
              <w:jc w:val="left"/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Justification of Change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7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1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9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New template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6" w:right="0" w:firstLine="0"/>
              <w:jc w:val="left"/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TH Sarabun PSK" w:cs="TH Sarabun PSK" w:eastAsia="TH Sarabun PSK" w:hAnsi="TH Sarabun PSK"/>
          <w:sz w:val="32"/>
          <w:szCs w:val="32"/>
        </w:rPr>
        <w:sectPr>
          <w:type w:val="nextPage"/>
          <w:pgSz w:h="15840" w:w="12240" w:orient="portrait"/>
          <w:pgMar w:bottom="820" w:top="1420" w:left="1100" w:right="1100" w:header="102" w:footer="6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center"/>
        <w:rPr>
          <w:rFonts w:ascii="TH Sarabun PSK" w:cs="TH Sarabun PSK" w:eastAsia="TH Sarabun PSK" w:hAnsi="TH Sarabun PSK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1"/>
          <w:sz w:val="40"/>
          <w:szCs w:val="40"/>
          <w:rtl w:val="0"/>
        </w:rPr>
        <w:t xml:space="preserve">ข้อมูลแนบประสบการณ์และผลงานวิชาการ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rFonts w:ascii="TH Sarabun PSK" w:cs="TH Sarabun PSK" w:eastAsia="TH Sarabun PSK" w:hAnsi="TH Sarabun PSK"/>
          <w:b w:val="1"/>
          <w:i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6"/>
          <w:szCs w:val="36"/>
          <w:rtl w:val="0"/>
        </w:rPr>
        <w:t xml:space="preserve">ผลงานวิชาการที่ผ่านมา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27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แนวทางการพิจารณาอนุญาตสถานที่ผลิตยาสำเร็จรูปและสารออกฤทธิ์ทางเภสัชกรรมในกลุ่มเพนิซิลลิน (Penicillins) กลุ่มเบต้าแลคแตมที่ไม่ใช่เพนิซิลลิน (Non-penicillins Beta-Lactam) และกลุ่มสารต้านเอนไซม์เบตาแลคตาเมส (Betalactamase inhibitor)   (พ.ศ. 2563)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88" w:right="0" w:hanging="274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การศึกษาแนวโน้มของปัญหาคุณภาพยาที่พบในระหว่างปี พ.ศ. 2562-2563 เพื่อวางแผนการตรวจประเมิน GMP และพัฒนาผู้รับอนุญาตผลิตยาแผนปัจจุบันในประเทศ (พ.ศ. 2564)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-86" w:right="0" w:firstLine="0"/>
        <w:jc w:val="both"/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อาจารย์พิเศษ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-86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การบรรยายในหัวข้อ Regulatory Inspection คณะเภสัชศาสตร์ มหาวิทยาลัยรังสิต</w:t>
      </w:r>
    </w:p>
    <w:p w:rsidR="00000000" w:rsidDel="00000000" w:rsidP="00000000" w:rsidRDefault="00000000" w:rsidRPr="00000000" w14:paraId="00000048">
      <w:pPr>
        <w:spacing w:before="240" w:lineRule="auto"/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ผู้แทนสำนักงานคณะกรรมการอาหารและยาในการเป็นวิทยากรการประชุมในระดับนานาชาติ ณ ต่างประเทศ 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74" w:right="0" w:hanging="274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WHO 8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Annual Meeting on Collaborative Registration Procedure (Workshop 7:  To inspect or not to inspect,    How regulators make their decisions) 23-27 November 2020 : จัดโดยองค์การอนามัยโลก</w:t>
      </w:r>
    </w:p>
    <w:p w:rsidR="00000000" w:rsidDel="00000000" w:rsidP="00000000" w:rsidRDefault="00000000" w:rsidRPr="00000000" w14:paraId="0000004A">
      <w:pPr>
        <w:ind w:left="284" w:hanging="28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The journey of transitioning the GMP regulation and manufacturers to PIC/S GMP standard and to deliver GMP inspection training ณ Food and Drug Department เมืองเวียงจันทน์ สาธารณรัฐประชาธิปไตยประชาชนลาว จัดโดย INDO-PACIFIC REGULATORY STRENGTHENING PROGRAM (RSP), Australia Government ในระหว่างวันที่ 14 – 18 ตุลาคม 2567</w:t>
      </w:r>
    </w:p>
    <w:p w:rsidR="00000000" w:rsidDel="00000000" w:rsidP="00000000" w:rsidRDefault="00000000" w:rsidRPr="00000000" w14:paraId="0000004B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04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20" w:top="1420" w:left="1100" w:right="1100" w:header="102" w:footer="6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736600</wp:posOffset>
              </wp:positionH>
              <wp:positionV relativeFrom="paragraph">
                <wp:posOffset>9588500</wp:posOffset>
              </wp:positionV>
              <wp:extent cx="3276600" cy="17716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712463" y="3696180"/>
                        <a:ext cx="326707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0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This copy of the document was generated on 01 Nov 2023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736600</wp:posOffset>
              </wp:positionH>
              <wp:positionV relativeFrom="paragraph">
                <wp:posOffset>9588500</wp:posOffset>
              </wp:positionV>
              <wp:extent cx="3276600" cy="177165"/>
              <wp:effectExtent b="0" l="0" r="0" t="0"/>
              <wp:wrapNone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7660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9525000</wp:posOffset>
              </wp:positionV>
              <wp:extent cx="5407025" cy="2381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47250" y="3665700"/>
                        <a:ext cx="5397500" cy="228600"/>
                      </a:xfrm>
                      <a:custGeom>
                        <a:rect b="b" l="l" r="r" t="t"/>
                        <a:pathLst>
                          <a:path extrusionOk="0" h="228600" w="53975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9525000</wp:posOffset>
              </wp:positionV>
              <wp:extent cx="5407025" cy="238125"/>
              <wp:effectExtent b="0" l="0" r="0" t="0"/>
              <wp:wrapNone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7025" cy="238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927100</wp:posOffset>
              </wp:positionH>
              <wp:positionV relativeFrom="paragraph">
                <wp:posOffset>9575800</wp:posOffset>
              </wp:positionV>
              <wp:extent cx="3727450" cy="39941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87038" y="3585055"/>
                        <a:ext cx="3717925" cy="38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This copy of the document was generated on 19 Dec 2024 (EST).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96.99999809265137" w:line="240"/>
                            <w:ind w:left="1950" w:right="0" w:firstLine="195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Confidential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927100</wp:posOffset>
              </wp:positionH>
              <wp:positionV relativeFrom="paragraph">
                <wp:posOffset>9575800</wp:posOffset>
              </wp:positionV>
              <wp:extent cx="3727450" cy="399415"/>
              <wp:effectExtent b="0" l="0" r="0" t="0"/>
              <wp:wrapNone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7450" cy="3994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9575800</wp:posOffset>
              </wp:positionV>
              <wp:extent cx="667385" cy="2025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17070" y="3683480"/>
                        <a:ext cx="65786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 PAGE 1 of  NUMPAGES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9575800</wp:posOffset>
              </wp:positionV>
              <wp:extent cx="667385" cy="202565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385" cy="202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1236154</wp:posOffset>
              </wp:positionH>
              <wp:positionV relativeFrom="page">
                <wp:posOffset>47306</wp:posOffset>
              </wp:positionV>
              <wp:extent cx="5300345" cy="20256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700590" y="3683480"/>
                        <a:ext cx="529082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1236154</wp:posOffset>
              </wp:positionH>
              <wp:positionV relativeFrom="page">
                <wp:posOffset>47306</wp:posOffset>
              </wp:positionV>
              <wp:extent cx="5300345" cy="202565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0345" cy="202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6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</w:rPr>
    </w:lvl>
    <w:lvl w:ilvl="1">
      <w:start w:val="0"/>
      <w:numFmt w:val="bullet"/>
      <w:lvlText w:val="•"/>
      <w:lvlJc w:val="left"/>
      <w:pPr>
        <w:ind w:left="1958" w:hanging="360"/>
      </w:pPr>
      <w:rPr/>
    </w:lvl>
    <w:lvl w:ilvl="2">
      <w:start w:val="0"/>
      <w:numFmt w:val="bullet"/>
      <w:lvlText w:val="•"/>
      <w:lvlJc w:val="left"/>
      <w:pPr>
        <w:ind w:left="2856" w:hanging="360"/>
      </w:pPr>
      <w:rPr/>
    </w:lvl>
    <w:lvl w:ilvl="3">
      <w:start w:val="0"/>
      <w:numFmt w:val="bullet"/>
      <w:lvlText w:val="•"/>
      <w:lvlJc w:val="left"/>
      <w:pPr>
        <w:ind w:left="3754" w:hanging="360"/>
      </w:pPr>
      <w:rPr/>
    </w:lvl>
    <w:lvl w:ilvl="4">
      <w:start w:val="0"/>
      <w:numFmt w:val="bullet"/>
      <w:lvlText w:val="•"/>
      <w:lvlJc w:val="left"/>
      <w:pPr>
        <w:ind w:left="4652" w:hanging="360"/>
      </w:pPr>
      <w:rPr/>
    </w:lvl>
    <w:lvl w:ilvl="5">
      <w:start w:val="0"/>
      <w:numFmt w:val="bullet"/>
      <w:lvlText w:val="•"/>
      <w:lvlJc w:val="left"/>
      <w:pPr>
        <w:ind w:left="5550" w:hanging="360"/>
      </w:pPr>
      <w:rPr/>
    </w:lvl>
    <w:lvl w:ilvl="6">
      <w:start w:val="0"/>
      <w:numFmt w:val="bullet"/>
      <w:lvlText w:val="•"/>
      <w:lvlJc w:val="left"/>
      <w:pPr>
        <w:ind w:left="6448" w:hanging="360"/>
      </w:pPr>
      <w:rPr/>
    </w:lvl>
    <w:lvl w:ilvl="7">
      <w:start w:val="0"/>
      <w:numFmt w:val="bullet"/>
      <w:lvlText w:val="•"/>
      <w:lvlJc w:val="left"/>
      <w:pPr>
        <w:ind w:left="7346" w:hanging="360"/>
      </w:pPr>
      <w:rPr/>
    </w:lvl>
    <w:lvl w:ilvl="8">
      <w:start w:val="0"/>
      <w:numFmt w:val="bullet"/>
      <w:lvlText w:val="•"/>
      <w:lvlJc w:val="left"/>
      <w:pPr>
        <w:ind w:left="824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14" w:lineRule="auto"/>
      <w:jc w:val="center"/>
    </w:pPr>
    <w:rPr>
      <w:b w:val="1"/>
      <w:sz w:val="40"/>
      <w:szCs w:val="4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uiPriority w:val="1"/>
    <w:qFormat w:val="1"/>
    <w:rPr>
      <w:i w:val="1"/>
      <w:iCs w:val="1"/>
      <w:sz w:val="16"/>
      <w:szCs w:val="16"/>
    </w:rPr>
  </w:style>
  <w:style w:type="paragraph" w:styleId="ListParagraph">
    <w:name w:val="List Paragraph"/>
    <w:basedOn w:val="Normal"/>
    <w:uiPriority w:val="1"/>
    <w:qFormat w:val="1"/>
    <w:pPr>
      <w:ind w:left="1060" w:hanging="360"/>
    </w:pPr>
  </w:style>
  <w:style w:type="paragraph" w:styleId="TableParagraph" w:customStyle="1">
    <w:name w:val="Table Paragraph"/>
    <w:basedOn w:val="Normal"/>
    <w:uiPriority w:val="1"/>
    <w:qFormat w:val="1"/>
    <w:pPr>
      <w:ind w:left="40"/>
    </w:pPr>
    <w:rPr>
      <w:rFonts w:ascii="Book Antiqua" w:cs="Book Antiqua" w:eastAsia="Book Antiqua" w:hAnsi="Book Antiqua"/>
    </w:rPr>
  </w:style>
  <w:style w:type="paragraph" w:styleId="Header">
    <w:name w:val="header"/>
    <w:basedOn w:val="Normal"/>
    <w:link w:val="HeaderChar"/>
    <w:uiPriority w:val="99"/>
    <w:unhideWhenUsed w:val="1"/>
    <w:rsid w:val="004C2A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C2A2E"/>
    <w:rPr>
      <w:rFonts w:ascii="Arial" w:cs="Arial" w:eastAsia="Arial" w:hAnsi="Arial"/>
    </w:rPr>
  </w:style>
  <w:style w:type="paragraph" w:styleId="Footer">
    <w:name w:val="footer"/>
    <w:basedOn w:val="Normal"/>
    <w:link w:val="FooterChar"/>
    <w:uiPriority w:val="99"/>
    <w:unhideWhenUsed w:val="1"/>
    <w:rsid w:val="004C2A2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C2A2E"/>
    <w:rPr>
      <w:rFonts w:ascii="Arial" w:cs="Arial" w:eastAsia="Arial" w:hAnsi="Arial"/>
    </w:rPr>
  </w:style>
  <w:style w:type="character" w:styleId="a" w:customStyle="1">
    <w:name w:val="หัวกระดาษ อักขระ"/>
    <w:rsid w:val="00B42A91"/>
    <w:rPr>
      <w:rFonts w:cs="Tahoma"/>
      <w:sz w:val="32"/>
      <w:szCs w:val="32"/>
      <w:lang w:bidi="th-TH"/>
    </w:rPr>
  </w:style>
  <w:style w:type="character" w:styleId="Hyperlink">
    <w:name w:val="Hyperlink"/>
    <w:semiHidden w:val="1"/>
    <w:rsid w:val="00FF7486"/>
    <w:rPr>
      <w:color w:val="0000ff"/>
      <w:u w:val="single"/>
      <w:lang w:bidi="th-TH"/>
    </w:rPr>
  </w:style>
  <w:style w:type="paragraph" w:styleId="Styl1" w:customStyle="1">
    <w:name w:val="Styl1"/>
    <w:basedOn w:val="Heading1"/>
    <w:link w:val="Styl1Znak"/>
    <w:qFormat w:val="1"/>
    <w:rsid w:val="00F51ED3"/>
    <w:pPr>
      <w:widowControl w:val="1"/>
      <w:pBdr>
        <w:bottom w:color="323e4f" w:space="2" w:sz="4" w:val="single"/>
      </w:pBdr>
      <w:autoSpaceDE w:val="1"/>
      <w:autoSpaceDN w:val="1"/>
      <w:spacing w:after="120" w:before="360"/>
    </w:pPr>
    <w:rPr>
      <w:rFonts w:ascii="Aptos Display" w:cs="Angsana New" w:eastAsia="Times New Roman" w:hAnsi="Aptos Display"/>
      <w:color w:val="262626"/>
      <w:sz w:val="40"/>
      <w:szCs w:val="40"/>
      <w:lang w:val="pl-PL"/>
    </w:rPr>
  </w:style>
  <w:style w:type="character" w:styleId="Styl1Znak" w:customStyle="1">
    <w:name w:val="Styl1 Znak"/>
    <w:link w:val="Styl1"/>
    <w:rsid w:val="00F51ED3"/>
    <w:rPr>
      <w:rFonts w:ascii="Aptos Display" w:cs="Angsana New" w:eastAsia="Times New Roman" w:hAnsi="Aptos Display"/>
      <w:color w:val="262626"/>
      <w:sz w:val="40"/>
      <w:szCs w:val="40"/>
      <w:lang w:val="pl-PL"/>
    </w:rPr>
  </w:style>
  <w:style w:type="character" w:styleId="Heading1Char" w:customStyle="1">
    <w:name w:val="Heading 1 Char"/>
    <w:basedOn w:val="DefaultParagraphFont"/>
    <w:link w:val="Heading1"/>
    <w:uiPriority w:val="9"/>
    <w:rsid w:val="00F51ED3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51ED3"/>
    <w:rPr>
      <w:color w:val="800080" w:themeColor="followedHyperlink"/>
      <w:u w:val="single"/>
    </w:rPr>
  </w:style>
  <w:style w:type="paragraph" w:styleId="NoSpacing">
    <w:name w:val="No Spacing"/>
    <w:uiPriority w:val="1"/>
    <w:qFormat w:val="1"/>
    <w:rsid w:val="002215D5"/>
    <w:pPr>
      <w:widowControl w:val="1"/>
      <w:autoSpaceDE w:val="1"/>
      <w:autoSpaceDN w:val="1"/>
    </w:pPr>
    <w:rPr>
      <w:rFonts w:eastAsiaTheme="minorEastAsia"/>
      <w:sz w:val="21"/>
      <w:szCs w:val="21"/>
      <w:lang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hKGrv5L/pS1+u4iP+DKLY2q0g==">CgMxLjA4AHIhMW9fTG5sekZXeFVZSHJsMUprMlNfOUo5a1JrNlozdUhT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2025-01-06T09:08:00Z</dcterms:created>
  <dc:creator>นันทนา ไกรแสง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