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000000"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MoCap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MoCap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r w:rsidR="00630B5A">
        <w:rPr>
          <w:rFonts w:asciiTheme="majorHAnsi" w:hAnsiTheme="majorHAnsi" w:cstheme="majorHAnsi"/>
        </w:rPr>
        <w:t>modeled</w:t>
      </w:r>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r w:rsidR="00864CE3">
        <w:rPr>
          <w:rFonts w:asciiTheme="majorHAnsi" w:hAnsiTheme="majorHAnsi" w:cstheme="majorHAnsi"/>
        </w:rPr>
        <w:t xml:space="preserve">Movella’s MTw </w:t>
      </w:r>
      <w:r>
        <w:rPr>
          <w:rFonts w:asciiTheme="majorHAnsi" w:hAnsiTheme="majorHAnsi" w:cstheme="majorHAnsi"/>
        </w:rPr>
        <w:t>Awinda (motion-tracker) sensors, Movella’s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37A62309"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at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Curation Grants, Funding Source – The TIB Leibniz Information Centre for Science and Technology, Duration: July 1, 2022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50B3D3ED" w14:textId="597B61CD" w:rsidR="00B4238D" w:rsidRDefault="00B4238D" w:rsidP="002F4E11">
      <w:pPr>
        <w:pStyle w:val="ListParagraph"/>
        <w:numPr>
          <w:ilvl w:val="0"/>
          <w:numId w:val="7"/>
        </w:numPr>
        <w:jc w:val="both"/>
        <w:rPr>
          <w:rFonts w:asciiTheme="majorHAnsi" w:hAnsiTheme="majorHAnsi" w:cstheme="majorHAnsi"/>
          <w:color w:val="000000" w:themeColor="text1"/>
        </w:rPr>
      </w:pPr>
      <w:r w:rsidRPr="00B4238D">
        <w:rPr>
          <w:rFonts w:asciiTheme="majorHAnsi" w:hAnsiTheme="majorHAnsi" w:cstheme="majorHAnsi"/>
          <w:color w:val="000000" w:themeColor="text1"/>
        </w:rPr>
        <w:t>Bharatesh, C., Aayush, V., Chakravarthi, B., Daniilidis, K., Fermuller, and C., Yang, Y.,2024, September. Recent Event Camera Innovations: A Survey. in 2024 European Conference on Computer Vision.(ECCV 2024). Springer Nature.</w:t>
      </w:r>
    </w:p>
    <w:p w14:paraId="6BE05AFA" w14:textId="341625C5"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Chen, T., Shirke, P. P., Chakravarthi, B., Vaghela, A. R., Da, L., Lu, D., Yang, Y., and Wei, H., 2024, September. SynTraC: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Chelenahalli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eTraM: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Aliminati,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Imandi and P. K. B. N, "A Comprehensive Review of Leap Motion Controller-Based Hand Gesture Datasets," 2023 International Conference on Next Generation Electronics (NEleX),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2833A6D4"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r w:rsidR="000F2D37">
        <w:rPr>
          <w:rFonts w:asciiTheme="majorHAnsi" w:hAnsiTheme="majorHAnsi" w:cstheme="majorHAnsi"/>
          <w:color w:val="000000" w:themeColor="text1"/>
        </w:rPr>
        <w:t>Reconstruction  - A</w:t>
      </w:r>
      <w:r w:rsidRPr="003B3C12">
        <w:rPr>
          <w:rFonts w:asciiTheme="majorHAnsi" w:hAnsiTheme="majorHAnsi" w:cstheme="majorHAnsi"/>
          <w:color w:val="000000" w:themeColor="text1"/>
        </w:rPr>
        <w:t xml:space="preserve"> Pilot Study. in 2023 7th International Conference on Computation System and Information Technology for Sustainable Solutions (CSITSS 2023). IEEE.</w:t>
      </w:r>
    </w:p>
    <w:p w14:paraId="09B85D28"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Pahadia, H., Lu, D., Chakravarthi, B. and Yang, Y., 2023. SKoPe3D: A Synthetic Dataset for Vehicle Keypoint Perception in 3D from Traffic Monitoring Cameras. in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Kim, D., Chakravarthi, B., Kim, S.H., Balasubramanyam, A., Chai, Y.H. and Patil, A.K., 2020, March. MotionNote: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Kim, S.H., Balasubramanyam,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Kunwar, Singh. and Chakravarthi, B., 2023. Digital Forensic Framework for SmartContract Vulnerabilities using EnsembleModels.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w:t>
      </w:r>
      <w:r w:rsidRPr="00232830">
        <w:rPr>
          <w:rFonts w:asciiTheme="majorHAnsi" w:hAnsiTheme="majorHAnsi" w:cstheme="majorHAnsi"/>
          <w:color w:val="000000" w:themeColor="text1"/>
        </w:rPr>
        <w:lastRenderedPageBreak/>
        <w:t xml:space="preserve">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Human-Computer Interaction in Virtual Environments, Faculty Development Program, organized by Department of Computer Science and Information Science Engineering, R R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Mobile App Development using Android Studio - Hands-on Session, Indian Society For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35CCDF26" w14:textId="77777777" w:rsidR="00B4238D" w:rsidRPr="00B4238D" w:rsidRDefault="00B4238D" w:rsidP="00B4238D">
      <w:pPr>
        <w:jc w:val="both"/>
        <w:rPr>
          <w:rFonts w:asciiTheme="majorHAnsi" w:hAnsiTheme="majorHAnsi" w:cstheme="majorHAnsi"/>
          <w:color w:val="000000" w:themeColor="text1"/>
        </w:rPr>
      </w:pP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AA626" w14:textId="77777777" w:rsidR="00893AE7" w:rsidRDefault="00893AE7" w:rsidP="00E258FD">
      <w:pPr>
        <w:spacing w:after="0" w:line="240" w:lineRule="auto"/>
      </w:pPr>
      <w:r>
        <w:separator/>
      </w:r>
    </w:p>
  </w:endnote>
  <w:endnote w:type="continuationSeparator" w:id="0">
    <w:p w14:paraId="4F06A4F4" w14:textId="77777777" w:rsidR="00893AE7" w:rsidRDefault="00893AE7"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E3F04" w14:textId="77777777" w:rsidR="00893AE7" w:rsidRDefault="00893AE7" w:rsidP="00E258FD">
      <w:pPr>
        <w:spacing w:after="0" w:line="240" w:lineRule="auto"/>
      </w:pPr>
      <w:r>
        <w:separator/>
      </w:r>
    </w:p>
  </w:footnote>
  <w:footnote w:type="continuationSeparator" w:id="0">
    <w:p w14:paraId="7C66F805" w14:textId="77777777" w:rsidR="00893AE7" w:rsidRDefault="00893AE7"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26D56"/>
    <w:rsid w:val="000304B9"/>
    <w:rsid w:val="0005452D"/>
    <w:rsid w:val="000A64E4"/>
    <w:rsid w:val="000B7A3B"/>
    <w:rsid w:val="000D5775"/>
    <w:rsid w:val="000F2D37"/>
    <w:rsid w:val="00106EE0"/>
    <w:rsid w:val="0014239D"/>
    <w:rsid w:val="00152242"/>
    <w:rsid w:val="001A0D31"/>
    <w:rsid w:val="001D137F"/>
    <w:rsid w:val="00203F41"/>
    <w:rsid w:val="00213E21"/>
    <w:rsid w:val="00232830"/>
    <w:rsid w:val="002A0C3D"/>
    <w:rsid w:val="002F4E11"/>
    <w:rsid w:val="003130D1"/>
    <w:rsid w:val="00315156"/>
    <w:rsid w:val="0035729D"/>
    <w:rsid w:val="003706CD"/>
    <w:rsid w:val="00381EEE"/>
    <w:rsid w:val="003B3C12"/>
    <w:rsid w:val="003C0158"/>
    <w:rsid w:val="003C48C8"/>
    <w:rsid w:val="00450BC0"/>
    <w:rsid w:val="00467A2E"/>
    <w:rsid w:val="004904C2"/>
    <w:rsid w:val="0059234A"/>
    <w:rsid w:val="005C33EF"/>
    <w:rsid w:val="00602DE2"/>
    <w:rsid w:val="0061201C"/>
    <w:rsid w:val="00630B5A"/>
    <w:rsid w:val="00643ACC"/>
    <w:rsid w:val="00661DFF"/>
    <w:rsid w:val="006A0658"/>
    <w:rsid w:val="006A1ED2"/>
    <w:rsid w:val="00733D74"/>
    <w:rsid w:val="00823B6D"/>
    <w:rsid w:val="00847B06"/>
    <w:rsid w:val="00855A4B"/>
    <w:rsid w:val="00864CE3"/>
    <w:rsid w:val="00893AE7"/>
    <w:rsid w:val="008A4EF5"/>
    <w:rsid w:val="008B5208"/>
    <w:rsid w:val="008C1DEC"/>
    <w:rsid w:val="00921C9E"/>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4238D"/>
    <w:rsid w:val="00B70535"/>
    <w:rsid w:val="00C570E0"/>
    <w:rsid w:val="00CE23D0"/>
    <w:rsid w:val="00D15C01"/>
    <w:rsid w:val="00D31142"/>
    <w:rsid w:val="00D609E5"/>
    <w:rsid w:val="00D706FE"/>
    <w:rsid w:val="00D80BCD"/>
    <w:rsid w:val="00D857D1"/>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7</Pages>
  <Words>2483</Words>
  <Characters>16496</Characters>
  <Application>Microsoft Office Word</Application>
  <DocSecurity>0</DocSecurity>
  <Lines>281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87</cp:revision>
  <cp:lastPrinted>2024-02-20T21:34:00Z</cp:lastPrinted>
  <dcterms:created xsi:type="dcterms:W3CDTF">2023-10-05T21:12:00Z</dcterms:created>
  <dcterms:modified xsi:type="dcterms:W3CDTF">2024-08-31T16:34:00Z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