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C784B"/>
    <w:p w14:paraId="4CED9680"/>
    <w:p w14:paraId="4C433FC5"/>
    <w:p w14:paraId="0F72241D"/>
    <w:p w14:paraId="281C53F2"/>
    <w:p w14:paraId="07D0545F"/>
    <w:p w14:paraId="05118AE7">
      <w:pPr>
        <w:jc w:val="center"/>
      </w:pPr>
      <w:r>
        <w:rPr>
          <w:rFonts w:ascii="微软雅黑" w:hAnsi="微软雅黑"/>
          <w:b/>
          <w:color w:val="1F4E79"/>
          <w:sz w:val="64"/>
        </w:rPr>
        <w:t>温州文成县隧道及精品公路</w:t>
      </w:r>
      <w:r>
        <w:rPr>
          <w:rFonts w:ascii="微软雅黑" w:hAnsi="微软雅黑"/>
          <w:b/>
          <w:color w:val="1F4E79"/>
          <w:sz w:val="64"/>
        </w:rPr>
        <w:br w:type="textWrapping"/>
      </w:r>
      <w:r>
        <w:rPr>
          <w:rFonts w:ascii="微软雅黑" w:hAnsi="微软雅黑"/>
          <w:b/>
          <w:color w:val="1F4E79"/>
          <w:sz w:val="64"/>
        </w:rPr>
        <w:t>照明设施专项改造方案</w:t>
      </w:r>
    </w:p>
    <w:p w14:paraId="469E8230"/>
    <w:p w14:paraId="741BF864">
      <w:pPr>
        <w:jc w:val="center"/>
      </w:pPr>
      <w:r>
        <w:rPr>
          <w:rFonts w:ascii="微软雅黑" w:hAnsi="微软雅黑"/>
          <w:color w:val="595959"/>
          <w:sz w:val="40"/>
        </w:rPr>
        <w:t>——专项汇报材料</w:t>
      </w:r>
    </w:p>
    <w:p w14:paraId="1C15ACBA"/>
    <w:p w14:paraId="4B18A638"/>
    <w:p w14:paraId="7396F34B"/>
    <w:p w14:paraId="47A6BB54"/>
    <w:p w14:paraId="14C57DA4"/>
    <w:p w14:paraId="678B46E7"/>
    <w:p w14:paraId="0C266C24"/>
    <w:p w14:paraId="3CE56E2E"/>
    <w:p w14:paraId="3822BC41"/>
    <w:p w14:paraId="62D62058">
      <w:pPr>
        <w:jc w:val="center"/>
        <w:rPr>
          <w:rFonts w:ascii="微软雅黑" w:hAnsi="微软雅黑"/>
          <w:b w:val="0"/>
          <w:sz w:val="28"/>
        </w:rPr>
      </w:pPr>
      <w:r>
        <w:rPr>
          <w:rFonts w:ascii="微软雅黑" w:hAnsi="微软雅黑"/>
          <w:b w:val="0"/>
          <w:sz w:val="28"/>
        </w:rPr>
        <w:t>汇报单位：</w:t>
      </w:r>
      <w:r>
        <w:rPr>
          <w:rFonts w:hint="eastAsia" w:ascii="微软雅黑" w:hAnsi="微软雅黑"/>
          <w:b w:val="0"/>
          <w:sz w:val="28"/>
        </w:rPr>
        <w:t>国网（温州）综合能源服务有限公司</w:t>
      </w:r>
    </w:p>
    <w:p w14:paraId="275579E6"/>
    <w:p w14:paraId="485F6016">
      <w:pPr>
        <w:jc w:val="center"/>
      </w:pPr>
      <w:r>
        <w:rPr>
          <w:rFonts w:ascii="微软雅黑" w:hAnsi="微软雅黑"/>
          <w:b w:val="0"/>
          <w:sz w:val="28"/>
        </w:rPr>
        <w:t>编制日期：2026年5月</w:t>
      </w:r>
    </w:p>
    <w:p w14:paraId="6BE38B6D">
      <w:r>
        <w:br w:type="page"/>
      </w:r>
    </w:p>
    <w:p w14:paraId="299D9DD6">
      <w:pPr>
        <w:jc w:val="center"/>
      </w:pPr>
      <w:r>
        <w:rPr>
          <w:rFonts w:ascii="微软雅黑" w:hAnsi="微软雅黑"/>
          <w:b/>
          <w:color w:val="1F4E79"/>
          <w:sz w:val="44"/>
        </w:rPr>
        <w:t>目  录</w:t>
      </w:r>
    </w:p>
    <w:p w14:paraId="6ECAB9F5"/>
    <w:p w14:paraId="6D724809">
      <w:pPr>
        <w:spacing w:after="240"/>
        <w:jc w:val="left"/>
      </w:pPr>
      <w:r>
        <w:rPr>
          <w:rFonts w:ascii="微软雅黑" w:hAnsi="微软雅黑"/>
          <w:sz w:val="28"/>
        </w:rPr>
        <w:t>一、项目背景与政策依据  ........  3</w:t>
      </w:r>
    </w:p>
    <w:p w14:paraId="660C1406">
      <w:pPr>
        <w:spacing w:after="240"/>
        <w:jc w:val="left"/>
      </w:pPr>
      <w:r>
        <w:rPr>
          <w:rFonts w:ascii="微软雅黑" w:hAnsi="微软雅黑"/>
          <w:sz w:val="28"/>
        </w:rPr>
        <w:t>二、现状问题分析  ........  4</w:t>
      </w:r>
    </w:p>
    <w:p w14:paraId="74E80A01">
      <w:pPr>
        <w:spacing w:after="240"/>
        <w:jc w:val="left"/>
      </w:pPr>
      <w:r>
        <w:rPr>
          <w:rFonts w:ascii="微软雅黑" w:hAnsi="微软雅黑"/>
          <w:sz w:val="28"/>
        </w:rPr>
        <w:t>三、改造实施方案  ........  5</w:t>
      </w:r>
    </w:p>
    <w:p w14:paraId="1394498D">
      <w:pPr>
        <w:spacing w:after="240"/>
        <w:jc w:val="left"/>
      </w:pPr>
      <w:r>
        <w:rPr>
          <w:rFonts w:ascii="微软雅黑" w:hAnsi="微软雅黑"/>
          <w:sz w:val="28"/>
        </w:rPr>
        <w:t>四、效益分析  ........  7</w:t>
      </w:r>
    </w:p>
    <w:p w14:paraId="5A8B22DD">
      <w:pPr>
        <w:spacing w:after="240"/>
        <w:jc w:val="left"/>
      </w:pPr>
      <w:r>
        <w:rPr>
          <w:rFonts w:ascii="微软雅黑" w:hAnsi="微软雅黑"/>
          <w:sz w:val="28"/>
        </w:rPr>
        <w:t>五、实施保障措施  ........  8</w:t>
      </w:r>
    </w:p>
    <w:p w14:paraId="3F244E1A">
      <w:pPr>
        <w:spacing w:after="240"/>
        <w:jc w:val="left"/>
      </w:pPr>
      <w:r>
        <w:rPr>
          <w:rFonts w:ascii="微软雅黑" w:hAnsi="微软雅黑"/>
          <w:sz w:val="28"/>
        </w:rPr>
        <w:t>六、前瞻展望：电力+照明协同发展  ........  9</w:t>
      </w:r>
    </w:p>
    <w:p w14:paraId="4DC0BA79">
      <w:r>
        <w:br w:type="page"/>
      </w:r>
    </w:p>
    <w:p w14:paraId="6A348B9B">
      <w:r>
        <w:rPr>
          <w:rFonts w:ascii="微软雅黑" w:hAnsi="微软雅黑"/>
          <w:b/>
          <w:color w:val="1F4E79"/>
          <w:sz w:val="36"/>
        </w:rPr>
        <w:t>一、项目背景与政策依据</w:t>
      </w:r>
    </w:p>
    <w:p w14:paraId="1225B310"/>
    <w:p w14:paraId="6D515737">
      <w:r>
        <w:rPr>
          <w:rFonts w:ascii="微软雅黑" w:hAnsi="微软雅黑"/>
          <w:b/>
          <w:sz w:val="28"/>
        </w:rPr>
        <w:t>（一）项目概述</w:t>
      </w:r>
    </w:p>
    <w:p w14:paraId="36B6F75C">
      <w:pPr>
        <w:ind w:firstLine="240" w:firstLineChars="100"/>
        <w:jc w:val="left"/>
      </w:pPr>
      <w:r>
        <w:rPr>
          <w:rFonts w:ascii="宋体" w:hAnsi="宋体"/>
          <w:b w:val="0"/>
          <w:sz w:val="24"/>
        </w:rPr>
        <w:t>温州文成县隧道及精品公路照明设施专项改造项目，是落实国家双碳战略目标、推进交通基础设施节能降耗的重要举措。本项目由</w:t>
      </w:r>
      <w:r>
        <w:rPr>
          <w:rFonts w:hint="eastAsia" w:ascii="宋体" w:hAnsi="宋体"/>
          <w:b w:val="0"/>
          <w:sz w:val="24"/>
        </w:rPr>
        <w:t>国网（温州）综合能源服务有限公司</w:t>
      </w:r>
      <w:r>
        <w:rPr>
          <w:rFonts w:ascii="宋体" w:hAnsi="宋体"/>
          <w:b w:val="0"/>
          <w:sz w:val="24"/>
        </w:rPr>
        <w:t>作为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主体</w:t>
      </w:r>
      <w:r>
        <w:rPr>
          <w:rFonts w:ascii="宋体" w:hAnsi="宋体"/>
          <w:b w:val="0"/>
          <w:sz w:val="24"/>
        </w:rPr>
        <w:t>单位，与地方主管部门协同推进，旨在通过照明设施的智能化、绿色化改造，全面提升文成县山区公路的通行安全保障能力和能源利用效率。</w:t>
      </w:r>
    </w:p>
    <w:p w14:paraId="6BED66DF">
      <w:r>
        <w:rPr>
          <w:rFonts w:ascii="微软雅黑" w:hAnsi="微软雅黑"/>
          <w:b/>
          <w:sz w:val="28"/>
        </w:rPr>
        <w:t>（二）改造范围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22CE4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  <w:shd w:val="clear" w:color="auto" w:fill="1F4E79"/>
          </w:tcPr>
          <w:p w14:paraId="28CA1E72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改造对象</w:t>
            </w:r>
          </w:p>
        </w:tc>
        <w:tc>
          <w:tcPr>
            <w:tcW w:w="2946" w:type="dxa"/>
            <w:shd w:val="clear" w:color="auto" w:fill="1F4E79"/>
          </w:tcPr>
          <w:p w14:paraId="54F13F47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具体内容</w:t>
            </w:r>
          </w:p>
        </w:tc>
        <w:tc>
          <w:tcPr>
            <w:tcW w:w="2946" w:type="dxa"/>
            <w:shd w:val="clear" w:color="auto" w:fill="1F4E79"/>
          </w:tcPr>
          <w:p w14:paraId="3831CCFC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规模指标</w:t>
            </w:r>
          </w:p>
        </w:tc>
      </w:tr>
      <w:tr w14:paraId="7859A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7316391">
            <w:pPr>
              <w:spacing w:after="0" w:line="240" w:lineRule="auto"/>
              <w:jc w:val="center"/>
            </w:pPr>
            <w:r>
              <w:rPr>
                <w:sz w:val="22"/>
              </w:rPr>
              <w:t>上岙岭隧道</w:t>
            </w:r>
          </w:p>
        </w:tc>
        <w:tc>
          <w:tcPr>
            <w:tcW w:w="2946" w:type="dxa"/>
          </w:tcPr>
          <w:p w14:paraId="2B0DF789">
            <w:pPr>
              <w:spacing w:after="0" w:line="240" w:lineRule="auto"/>
              <w:jc w:val="center"/>
            </w:pPr>
            <w:r>
              <w:rPr>
                <w:sz w:val="22"/>
              </w:rPr>
              <w:t>隧道照明设施</w:t>
            </w:r>
          </w:p>
        </w:tc>
        <w:tc>
          <w:tcPr>
            <w:tcW w:w="2946" w:type="dxa"/>
          </w:tcPr>
          <w:p w14:paraId="65C02DF0">
            <w:pPr>
              <w:spacing w:after="0" w:line="240" w:lineRule="auto"/>
              <w:jc w:val="center"/>
            </w:pPr>
            <w:r>
              <w:rPr>
                <w:sz w:val="22"/>
              </w:rPr>
              <w:t>全长1105米</w:t>
            </w:r>
          </w:p>
        </w:tc>
      </w:tr>
      <w:tr w14:paraId="3F905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522DAC05">
            <w:pPr>
              <w:spacing w:after="0" w:line="240" w:lineRule="auto"/>
              <w:jc w:val="center"/>
            </w:pPr>
            <w:r>
              <w:rPr>
                <w:sz w:val="22"/>
              </w:rPr>
              <w:t>光明隧道</w:t>
            </w:r>
          </w:p>
        </w:tc>
        <w:tc>
          <w:tcPr>
            <w:tcW w:w="2946" w:type="dxa"/>
          </w:tcPr>
          <w:p w14:paraId="34B55513">
            <w:pPr>
              <w:spacing w:after="0" w:line="240" w:lineRule="auto"/>
              <w:jc w:val="center"/>
            </w:pPr>
            <w:r>
              <w:rPr>
                <w:sz w:val="22"/>
              </w:rPr>
              <w:t>隧道照明设施</w:t>
            </w:r>
          </w:p>
        </w:tc>
        <w:tc>
          <w:tcPr>
            <w:tcW w:w="2946" w:type="dxa"/>
          </w:tcPr>
          <w:p w14:paraId="7BEABF86">
            <w:pPr>
              <w:spacing w:after="0" w:line="240" w:lineRule="auto"/>
              <w:jc w:val="center"/>
            </w:pPr>
            <w:r>
              <w:rPr>
                <w:sz w:val="22"/>
              </w:rPr>
              <w:t>全长465.5米</w:t>
            </w:r>
          </w:p>
        </w:tc>
      </w:tr>
      <w:tr w14:paraId="2013C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18D36CD2">
            <w:pPr>
              <w:spacing w:after="0" w:line="240" w:lineRule="auto"/>
              <w:jc w:val="center"/>
            </w:pPr>
            <w:r>
              <w:rPr>
                <w:sz w:val="22"/>
              </w:rPr>
              <w:t>李山隧道</w:t>
            </w:r>
          </w:p>
        </w:tc>
        <w:tc>
          <w:tcPr>
            <w:tcW w:w="2946" w:type="dxa"/>
          </w:tcPr>
          <w:p w14:paraId="390D261F">
            <w:pPr>
              <w:spacing w:after="0" w:line="240" w:lineRule="auto"/>
              <w:jc w:val="center"/>
            </w:pPr>
            <w:r>
              <w:rPr>
                <w:sz w:val="22"/>
              </w:rPr>
              <w:t>隧道照明设施</w:t>
            </w:r>
          </w:p>
        </w:tc>
        <w:tc>
          <w:tcPr>
            <w:tcW w:w="2946" w:type="dxa"/>
          </w:tcPr>
          <w:p w14:paraId="63AD46A0">
            <w:pPr>
              <w:spacing w:after="0" w:line="240" w:lineRule="auto"/>
              <w:jc w:val="center"/>
            </w:pPr>
            <w:r>
              <w:rPr>
                <w:sz w:val="22"/>
              </w:rPr>
              <w:t>全长2624米</w:t>
            </w:r>
          </w:p>
        </w:tc>
      </w:tr>
      <w:tr w14:paraId="2720C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7AF0F086">
            <w:pPr>
              <w:spacing w:after="0" w:line="240" w:lineRule="auto"/>
              <w:jc w:val="center"/>
            </w:pPr>
            <w:r>
              <w:rPr>
                <w:sz w:val="22"/>
              </w:rPr>
              <w:t>精品公路路灯</w:t>
            </w:r>
          </w:p>
        </w:tc>
        <w:tc>
          <w:tcPr>
            <w:tcW w:w="2946" w:type="dxa"/>
          </w:tcPr>
          <w:p w14:paraId="049E2001">
            <w:pPr>
              <w:spacing w:after="0" w:line="240" w:lineRule="auto"/>
              <w:jc w:val="center"/>
            </w:pPr>
            <w:r>
              <w:rPr>
                <w:sz w:val="22"/>
              </w:rPr>
              <w:t>沿线路灯设施</w:t>
            </w:r>
          </w:p>
        </w:tc>
        <w:tc>
          <w:tcPr>
            <w:tcW w:w="2946" w:type="dxa"/>
          </w:tcPr>
          <w:p w14:paraId="2C545EA1">
            <w:pPr>
              <w:spacing w:after="0" w:line="240" w:lineRule="auto"/>
              <w:jc w:val="center"/>
            </w:pPr>
            <w:r>
              <w:rPr>
                <w:sz w:val="22"/>
              </w:rPr>
              <w:t>总里程20.089公里</w:t>
            </w:r>
          </w:p>
        </w:tc>
      </w:tr>
    </w:tbl>
    <w:p w14:paraId="07B287CD"/>
    <w:p w14:paraId="7E7CBF8F">
      <w:r>
        <w:rPr>
          <w:rFonts w:ascii="微软雅黑" w:hAnsi="微软雅黑"/>
          <w:b/>
          <w:sz w:val="28"/>
        </w:rPr>
        <w:t>（三）灯具统计</w:t>
      </w:r>
    </w:p>
    <w:p w14:paraId="09727FC2">
      <w:r>
        <w:rPr>
          <w:rFonts w:ascii="宋体" w:hAnsi="宋体"/>
          <w:sz w:val="24"/>
        </w:rPr>
        <w:t xml:space="preserve">本次改造涉及照明灯具共计 </w:t>
      </w:r>
      <w:r>
        <w:rPr>
          <w:rFonts w:ascii="宋体" w:hAnsi="宋体"/>
          <w:b/>
          <w:sz w:val="24"/>
        </w:rPr>
        <w:t>1676 盏</w:t>
      </w:r>
      <w:r>
        <w:rPr>
          <w:rFonts w:ascii="宋体" w:hAnsi="宋体"/>
          <w:sz w:val="24"/>
        </w:rPr>
        <w:t>，其中：</w:t>
      </w:r>
    </w:p>
    <w:p w14:paraId="1B06EF53">
      <w:pPr>
        <w:jc w:val="left"/>
      </w:pPr>
      <w:r>
        <w:rPr>
          <w:rFonts w:ascii="宋体" w:hAnsi="宋体"/>
          <w:b w:val="0"/>
          <w:sz w:val="24"/>
        </w:rPr>
        <w:t>• 隧道专用照明灯具：1044 盏</w:t>
      </w:r>
    </w:p>
    <w:p w14:paraId="013DFDB7">
      <w:pPr>
        <w:jc w:val="left"/>
      </w:pPr>
      <w:r>
        <w:rPr>
          <w:rFonts w:ascii="宋体" w:hAnsi="宋体"/>
          <w:b w:val="0"/>
          <w:sz w:val="24"/>
        </w:rPr>
        <w:t>• 精品公路路灯：632 盏</w:t>
      </w:r>
    </w:p>
    <w:p w14:paraId="0DF3448F">
      <w:r>
        <w:rPr>
          <w:rFonts w:ascii="微软雅黑" w:hAnsi="微软雅黑"/>
          <w:b/>
          <w:sz w:val="28"/>
        </w:rPr>
        <w:t>（四）政策依据与合规标准</w:t>
      </w:r>
    </w:p>
    <w:p w14:paraId="6AADB518">
      <w:pPr>
        <w:jc w:val="left"/>
      </w:pPr>
      <w:r>
        <w:rPr>
          <w:rFonts w:ascii="宋体" w:hAnsi="宋体"/>
          <w:b w:val="0"/>
          <w:sz w:val="24"/>
        </w:rPr>
        <w:t>本方案严格执行国家及行业现行标准，确保改造工程合规可追溯：</w:t>
      </w:r>
    </w:p>
    <w:p w14:paraId="39CD0AEF">
      <w:pPr>
        <w:jc w:val="left"/>
      </w:pPr>
      <w:r>
        <w:rPr>
          <w:rFonts w:ascii="宋体" w:hAnsi="宋体"/>
          <w:b w:val="0"/>
          <w:sz w:val="24"/>
        </w:rPr>
        <w:t>• 《公路隧道照明设计细则》（JTG/T D70/2-01-2014）</w:t>
      </w:r>
    </w:p>
    <w:p w14:paraId="2F97459A">
      <w:pPr>
        <w:jc w:val="left"/>
      </w:pPr>
      <w:r>
        <w:rPr>
          <w:rFonts w:ascii="宋体" w:hAnsi="宋体"/>
          <w:b w:val="0"/>
          <w:sz w:val="24"/>
        </w:rPr>
        <w:t>• 《城市道路照明设计标准》（CJJ 45-2015）</w:t>
      </w:r>
    </w:p>
    <w:p w14:paraId="791DB579">
      <w:pPr>
        <w:jc w:val="left"/>
      </w:pPr>
      <w:r>
        <w:rPr>
          <w:rFonts w:ascii="宋体" w:hAnsi="宋体"/>
          <w:b w:val="0"/>
          <w:sz w:val="24"/>
        </w:rPr>
        <w:t>• 《道路和隧道照明用LED灯具能效限定值及能效等级》（GB 37478-2025）</w:t>
      </w:r>
    </w:p>
    <w:p w14:paraId="522826CA">
      <w:r>
        <w:br w:type="page"/>
      </w:r>
    </w:p>
    <w:p w14:paraId="2968D798">
      <w:r>
        <w:rPr>
          <w:rFonts w:ascii="微软雅黑" w:hAnsi="微软雅黑"/>
          <w:b/>
          <w:color w:val="1F4E79"/>
          <w:sz w:val="36"/>
        </w:rPr>
        <w:t>二、现状问题分析</w:t>
      </w:r>
    </w:p>
    <w:p w14:paraId="0513D485"/>
    <w:p w14:paraId="3569F9C6">
      <w:r>
        <w:rPr>
          <w:rFonts w:ascii="微软雅黑" w:hAnsi="微软雅黑"/>
          <w:b/>
          <w:color w:val="C00000"/>
          <w:sz w:val="28"/>
        </w:rPr>
        <w:t>问题一：照明指标不达标，存在通行安全隐患</w:t>
      </w:r>
    </w:p>
    <w:p w14:paraId="12D73C48">
      <w:pPr>
        <w:jc w:val="left"/>
      </w:pPr>
      <w:r>
        <w:rPr>
          <w:rFonts w:ascii="宋体" w:hAnsi="宋体"/>
          <w:b w:val="0"/>
          <w:sz w:val="24"/>
        </w:rPr>
        <w:t>原有LED灯具投运年限较长，光效衰减严重，路面照度及均匀度已无法满足现行国家标准要求。隧道内明暗反差强烈，形成视觉黑洞效应，易诱发追尾、剐蹭等交通事故，夜间通行安全保障形势严峻。</w:t>
      </w:r>
    </w:p>
    <w:p w14:paraId="5AC39FB9"/>
    <w:p w14:paraId="75443D00">
      <w:r>
        <w:rPr>
          <w:rFonts w:ascii="微软雅黑" w:hAnsi="微软雅黑"/>
          <w:b/>
          <w:color w:val="C00000"/>
          <w:sz w:val="28"/>
        </w:rPr>
        <w:t>问题二：能耗水平偏高，节能降碳空间显著</w:t>
      </w:r>
    </w:p>
    <w:p w14:paraId="4A6CE7F1">
      <w:pPr>
        <w:jc w:val="left"/>
      </w:pPr>
      <w:r>
        <w:rPr>
          <w:rFonts w:ascii="宋体" w:hAnsi="宋体"/>
          <w:b w:val="0"/>
          <w:sz w:val="24"/>
        </w:rPr>
        <w:t>现有灯具能效偏低，且长期处于满负荷常态化运行状态，缺乏分时分区调光控制机制。根据2025年度用电缴费台账数据，项目区域年用电量达124.5万kWh，年电费支出89.6万元，能源利用效率有待提升。</w:t>
      </w:r>
    </w:p>
    <w:p w14:paraId="6955D203"/>
    <w:p w14:paraId="02EF5891">
      <w:r>
        <w:rPr>
          <w:rFonts w:ascii="微软雅黑" w:hAnsi="微软雅黑"/>
          <w:b/>
          <w:color w:val="C00000"/>
          <w:sz w:val="28"/>
        </w:rPr>
        <w:t>问题三：设备老化故障频发，运维成本持续攀升</w:t>
      </w:r>
    </w:p>
    <w:p w14:paraId="62B87E43">
      <w:pPr>
        <w:jc w:val="left"/>
      </w:pPr>
      <w:r>
        <w:rPr>
          <w:rFonts w:ascii="宋体" w:hAnsi="宋体"/>
          <w:b w:val="0"/>
          <w:sz w:val="24"/>
        </w:rPr>
        <w:t>灯具电源、密封部件老化失效故障率逐年攀升，配套人工巡检、夜间应急抢修的人力、物料、车辆综合运维成本持续上涨，对地方财政形成较大负担。</w:t>
      </w:r>
    </w:p>
    <w:p w14:paraId="4EE0D33B"/>
    <w:p w14:paraId="25B5C0EA">
      <w:r>
        <w:rPr>
          <w:rFonts w:ascii="微软雅黑" w:hAnsi="微软雅黑"/>
          <w:b/>
          <w:color w:val="C00000"/>
          <w:sz w:val="28"/>
        </w:rPr>
        <w:t>问题四：数字化管控缺失，安全风险预警滞后</w:t>
      </w:r>
    </w:p>
    <w:p w14:paraId="36CFB42E">
      <w:pPr>
        <w:jc w:val="left"/>
      </w:pPr>
      <w:r>
        <w:rPr>
          <w:rFonts w:ascii="宋体" w:hAnsi="宋体"/>
          <w:b w:val="0"/>
          <w:sz w:val="24"/>
        </w:rPr>
        <w:t>现有照明系统无远程工况监测、故障自动告警功能，全靠人工线下排查，灯具故障发现晚、处置慢，夜间暗灯隐患问题突出，安全风险可控性较差。</w:t>
      </w:r>
    </w:p>
    <w:p w14:paraId="79275802"/>
    <w:p w14:paraId="03126598">
      <w:r>
        <w:br w:type="page"/>
      </w:r>
    </w:p>
    <w:p w14:paraId="26C81DA9">
      <w:r>
        <w:rPr>
          <w:rFonts w:ascii="微软雅黑" w:hAnsi="微软雅黑"/>
          <w:b/>
          <w:color w:val="1F4E79"/>
          <w:sz w:val="36"/>
        </w:rPr>
        <w:t>三、改造实施方案</w:t>
      </w:r>
    </w:p>
    <w:p w14:paraId="14E938F2"/>
    <w:p w14:paraId="404E3992">
      <w:r>
        <w:rPr>
          <w:rFonts w:ascii="微软雅黑" w:hAnsi="微软雅黑"/>
          <w:b/>
          <w:sz w:val="28"/>
        </w:rPr>
        <w:t>（一）核心改造策略</w:t>
      </w:r>
    </w:p>
    <w:p w14:paraId="7B69615D">
      <w:pPr>
        <w:ind w:firstLine="240" w:firstLineChars="100"/>
        <w:jc w:val="left"/>
      </w:pPr>
      <w:r>
        <w:rPr>
          <w:rFonts w:ascii="宋体" w:hAnsi="宋体"/>
          <w:b w:val="0"/>
          <w:sz w:val="24"/>
        </w:rPr>
        <w:t>采用"1:1灯具节能替换"模式，在确保照明指标全面达标的前提下，实现能耗的精准压降。本方案遵循"安全优先、技术领先、经济可行"原则，采用高光效、高防护LED专用灯具，适配文成山区高湿多雾、昼夜温差大的特殊户外工况。</w:t>
      </w:r>
    </w:p>
    <w:p w14:paraId="17AFD6FF">
      <w:r>
        <w:rPr>
          <w:rFonts w:ascii="微软雅黑" w:hAnsi="微软雅黑"/>
          <w:b/>
          <w:sz w:val="28"/>
        </w:rPr>
        <w:t>（二）灯具替换方案</w:t>
      </w:r>
    </w:p>
    <w:p w14:paraId="512107CD">
      <w:pPr>
        <w:jc w:val="left"/>
      </w:pPr>
      <w:r>
        <w:rPr>
          <w:rFonts w:ascii="宋体" w:hAnsi="宋体"/>
          <w:b w:val="0"/>
          <w:sz w:val="24"/>
        </w:rPr>
        <w:t>• 全量换新：拆除全部1676盏老旧低效LED灯具，统一换装高光效LED专用灯具。</w:t>
      </w:r>
    </w:p>
    <w:p w14:paraId="4B38A885">
      <w:pPr>
        <w:jc w:val="left"/>
      </w:pPr>
      <w:r>
        <w:rPr>
          <w:rFonts w:ascii="宋体" w:hAnsi="宋体"/>
          <w:b w:val="0"/>
          <w:sz w:val="24"/>
        </w:rPr>
        <w:t>• 工况适配：灯具防护等级IP65以上，适应高湿多雾环境；耐温范围-40C至+55C，适配山区昼夜温差。</w:t>
      </w:r>
    </w:p>
    <w:p w14:paraId="0BB74D92">
      <w:pPr>
        <w:jc w:val="left"/>
      </w:pPr>
      <w:r>
        <w:rPr>
          <w:rFonts w:ascii="宋体" w:hAnsi="宋体"/>
          <w:b w:val="0"/>
          <w:sz w:val="24"/>
        </w:rPr>
        <w:t>• 光效优化：优化布灯角度与配光参数，整改眩光、暗区等通病，完工后照明全面达标。</w:t>
      </w:r>
    </w:p>
    <w:p w14:paraId="41419CDC">
      <w:r>
        <w:rPr>
          <w:rFonts w:ascii="微软雅黑" w:hAnsi="微软雅黑"/>
          <w:b/>
          <w:sz w:val="28"/>
        </w:rPr>
        <w:t>（三）AI智慧照明管理平台建设</w:t>
      </w:r>
    </w:p>
    <w:p w14:paraId="292F71E5">
      <w:pPr>
        <w:jc w:val="left"/>
      </w:pPr>
      <w:r>
        <w:rPr>
          <w:rFonts w:ascii="宋体" w:hAnsi="宋体"/>
          <w:b w:val="0"/>
          <w:sz w:val="24"/>
        </w:rPr>
        <w:t>搭建AI智慧照明管理平台，实现照明设施的数字化、智能化管控：</w:t>
      </w:r>
    </w:p>
    <w:p w14:paraId="04FF083D">
      <w:pPr>
        <w:jc w:val="left"/>
      </w:pPr>
      <w:r>
        <w:rPr>
          <w:rFonts w:ascii="宋体" w:hAnsi="宋体"/>
          <w:b w:val="0"/>
          <w:sz w:val="24"/>
        </w:rPr>
        <w:t>• 实时工况监测：双向数据传输，实时采集电流、电压、功率、温度等运行参数</w:t>
      </w:r>
    </w:p>
    <w:p w14:paraId="6398D26C">
      <w:pPr>
        <w:jc w:val="left"/>
      </w:pPr>
      <w:r>
        <w:rPr>
          <w:rFonts w:ascii="宋体" w:hAnsi="宋体"/>
          <w:b w:val="0"/>
          <w:sz w:val="24"/>
        </w:rPr>
        <w:t>• 智能按需调光：支持0~100%高精度数字调光，分区分时段独立控制</w:t>
      </w:r>
    </w:p>
    <w:p w14:paraId="1442FCF4">
      <w:pPr>
        <w:jc w:val="left"/>
      </w:pPr>
      <w:r>
        <w:rPr>
          <w:rFonts w:ascii="宋体" w:hAnsi="宋体"/>
          <w:b w:val="0"/>
          <w:sz w:val="24"/>
        </w:rPr>
        <w:t>• 故障自动告警：AI故障诊断系统，自动生成多级告警工单，缩短响应时间</w:t>
      </w:r>
    </w:p>
    <w:p w14:paraId="4DFD4808">
      <w:pPr>
        <w:jc w:val="left"/>
      </w:pPr>
      <w:r>
        <w:rPr>
          <w:rFonts w:ascii="宋体" w:hAnsi="宋体"/>
          <w:b w:val="0"/>
          <w:sz w:val="24"/>
        </w:rPr>
        <w:t>• 能耗统计分析：自动统计各路段、时段能耗数据，支撑精细化管理决策</w:t>
      </w:r>
    </w:p>
    <w:p w14:paraId="58132630">
      <w:pPr>
        <w:jc w:val="left"/>
      </w:pPr>
      <w:r>
        <w:rPr>
          <w:rFonts w:ascii="宋体" w:hAnsi="宋体"/>
          <w:b w:val="0"/>
          <w:sz w:val="24"/>
        </w:rPr>
        <w:t>• 远程OTA升级：支持远程优化产品使用体验和功能迭代升级</w:t>
      </w:r>
    </w:p>
    <w:p w14:paraId="4B5D2205">
      <w:r>
        <w:rPr>
          <w:rFonts w:ascii="微软雅黑" w:hAnsi="微软雅黑"/>
          <w:b/>
          <w:sz w:val="28"/>
        </w:rPr>
        <w:t>（四）AI照明产品核心特性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9"/>
        <w:gridCol w:w="4419"/>
      </w:tblGrid>
      <w:tr w14:paraId="0999C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shd w:val="clear" w:color="auto" w:fill="1F4E79"/>
          </w:tcPr>
          <w:p w14:paraId="669B87A8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特性维度</w:t>
            </w:r>
          </w:p>
        </w:tc>
        <w:tc>
          <w:tcPr>
            <w:tcW w:w="4419" w:type="dxa"/>
            <w:shd w:val="clear" w:color="auto" w:fill="1F4E79"/>
          </w:tcPr>
          <w:p w14:paraId="76221947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技术指标</w:t>
            </w:r>
          </w:p>
        </w:tc>
      </w:tr>
      <w:tr w14:paraId="3AD0B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4A9EF44D">
            <w:pPr>
              <w:spacing w:after="0" w:line="240" w:lineRule="auto"/>
              <w:jc w:val="center"/>
            </w:pPr>
            <w:r>
              <w:rPr>
                <w:sz w:val="22"/>
              </w:rPr>
              <w:t>系统光效</w:t>
            </w:r>
          </w:p>
        </w:tc>
        <w:tc>
          <w:tcPr>
            <w:tcW w:w="4419" w:type="dxa"/>
          </w:tcPr>
          <w:p w14:paraId="0E776849">
            <w:pPr>
              <w:spacing w:after="0" w:line="240" w:lineRule="auto"/>
              <w:jc w:val="center"/>
            </w:pPr>
            <w:r>
              <w:rPr>
                <w:sz w:val="22"/>
              </w:rPr>
              <w:t>高达200 lm/W（行业领先水平）</w:t>
            </w:r>
          </w:p>
        </w:tc>
      </w:tr>
      <w:tr w14:paraId="58201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54FFCD5D">
            <w:pPr>
              <w:spacing w:after="0" w:line="240" w:lineRule="auto"/>
              <w:jc w:val="center"/>
            </w:pPr>
            <w:r>
              <w:rPr>
                <w:sz w:val="22"/>
              </w:rPr>
              <w:t>调光精度</w:t>
            </w:r>
          </w:p>
        </w:tc>
        <w:tc>
          <w:tcPr>
            <w:tcW w:w="4419" w:type="dxa"/>
          </w:tcPr>
          <w:p w14:paraId="07FFF276">
            <w:pPr>
              <w:spacing w:after="0" w:line="240" w:lineRule="auto"/>
              <w:jc w:val="center"/>
            </w:pPr>
            <w:r>
              <w:rPr>
                <w:sz w:val="22"/>
              </w:rPr>
              <w:t>0~100%高精度数字调光控制</w:t>
            </w:r>
          </w:p>
        </w:tc>
      </w:tr>
      <w:tr w14:paraId="72D07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5CB0F076">
            <w:pPr>
              <w:spacing w:after="0" w:line="240" w:lineRule="auto"/>
              <w:jc w:val="center"/>
            </w:pPr>
            <w:r>
              <w:rPr>
                <w:sz w:val="22"/>
              </w:rPr>
              <w:t>通讯方式</w:t>
            </w:r>
          </w:p>
        </w:tc>
        <w:tc>
          <w:tcPr>
            <w:tcW w:w="4419" w:type="dxa"/>
          </w:tcPr>
          <w:p w14:paraId="6CE40FEA">
            <w:pPr>
              <w:spacing w:after="0" w:line="240" w:lineRule="auto"/>
              <w:jc w:val="center"/>
            </w:pPr>
            <w:r>
              <w:rPr>
                <w:sz w:val="22"/>
              </w:rPr>
              <w:t>4G Cat.1无线通讯，单层网络更经济可靠</w:t>
            </w:r>
          </w:p>
        </w:tc>
      </w:tr>
      <w:tr w14:paraId="1C1AF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</w:tcPr>
          <w:p w14:paraId="4616F7C6">
            <w:pPr>
              <w:spacing w:after="0" w:line="240" w:lineRule="auto"/>
              <w:jc w:val="center"/>
            </w:pPr>
            <w:r>
              <w:rPr>
                <w:sz w:val="22"/>
              </w:rPr>
              <w:t>应急保障</w:t>
            </w:r>
          </w:p>
        </w:tc>
        <w:tc>
          <w:tcPr>
            <w:tcW w:w="4419" w:type="dxa"/>
          </w:tcPr>
          <w:p w14:paraId="73E3AE00">
            <w:pPr>
              <w:spacing w:after="0" w:line="240" w:lineRule="auto"/>
              <w:jc w:val="center"/>
            </w:pPr>
            <w:r>
              <w:rPr>
                <w:sz w:val="22"/>
              </w:rPr>
              <w:t>市电中断时毫秒级切换至电池供电，确保照明连续性</w:t>
            </w:r>
          </w:p>
        </w:tc>
      </w:tr>
    </w:tbl>
    <w:p w14:paraId="44E4BB62">
      <w:r>
        <w:br w:type="page"/>
      </w:r>
    </w:p>
    <w:p w14:paraId="4D3E4650">
      <w:r>
        <w:rPr>
          <w:rFonts w:ascii="微软雅黑" w:hAnsi="微软雅黑"/>
          <w:b/>
          <w:color w:val="1F4E79"/>
          <w:sz w:val="36"/>
        </w:rPr>
        <w:t>四、效益分析</w:t>
      </w:r>
    </w:p>
    <w:p w14:paraId="2E1F540D"/>
    <w:p w14:paraId="00396B8B">
      <w:r>
        <w:rPr>
          <w:rFonts w:ascii="微软雅黑" w:hAnsi="微软雅黑"/>
          <w:b/>
          <w:sz w:val="28"/>
        </w:rPr>
        <w:t>（一）直接节能效益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78F8B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  <w:shd w:val="clear" w:color="auto" w:fill="1F4E79"/>
          </w:tcPr>
          <w:p w14:paraId="553DA239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w="2946" w:type="dxa"/>
            <w:shd w:val="clear" w:color="auto" w:fill="1F4E79"/>
          </w:tcPr>
          <w:p w14:paraId="295C2EC1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改造前</w:t>
            </w:r>
          </w:p>
        </w:tc>
        <w:tc>
          <w:tcPr>
            <w:tcW w:w="2946" w:type="dxa"/>
            <w:shd w:val="clear" w:color="auto" w:fill="1F4E79"/>
          </w:tcPr>
          <w:p w14:paraId="60EEF337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改造后</w:t>
            </w:r>
          </w:p>
        </w:tc>
      </w:tr>
      <w:tr w14:paraId="7011D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1CA2751D">
            <w:pPr>
              <w:spacing w:after="0" w:line="240" w:lineRule="auto"/>
              <w:jc w:val="center"/>
            </w:pPr>
            <w:r>
              <w:rPr>
                <w:sz w:val="22"/>
              </w:rPr>
              <w:t>年用电量</w:t>
            </w:r>
          </w:p>
        </w:tc>
        <w:tc>
          <w:tcPr>
            <w:tcW w:w="2946" w:type="dxa"/>
          </w:tcPr>
          <w:p w14:paraId="05068C21">
            <w:pPr>
              <w:spacing w:after="0" w:line="240" w:lineRule="auto"/>
              <w:jc w:val="center"/>
            </w:pPr>
            <w:r>
              <w:rPr>
                <w:sz w:val="22"/>
              </w:rPr>
              <w:t>124.5万 kWh</w:t>
            </w:r>
          </w:p>
        </w:tc>
        <w:tc>
          <w:tcPr>
            <w:tcW w:w="2946" w:type="dxa"/>
          </w:tcPr>
          <w:p w14:paraId="0EC4C5A0">
            <w:pPr>
              <w:spacing w:after="0" w:line="240" w:lineRule="auto"/>
              <w:jc w:val="center"/>
            </w:pPr>
            <w:r>
              <w:rPr>
                <w:sz w:val="22"/>
              </w:rPr>
              <w:t>67.2万 kWh</w:t>
            </w:r>
          </w:p>
        </w:tc>
      </w:tr>
      <w:tr w14:paraId="00FC4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BB87C02">
            <w:pPr>
              <w:spacing w:after="0" w:line="240" w:lineRule="auto"/>
              <w:jc w:val="center"/>
            </w:pPr>
            <w:r>
              <w:rPr>
                <w:sz w:val="22"/>
              </w:rPr>
              <w:t>年电费支出</w:t>
            </w:r>
          </w:p>
        </w:tc>
        <w:tc>
          <w:tcPr>
            <w:tcW w:w="2946" w:type="dxa"/>
          </w:tcPr>
          <w:p w14:paraId="130BEF7E">
            <w:pPr>
              <w:spacing w:after="0" w:line="240" w:lineRule="auto"/>
              <w:jc w:val="center"/>
            </w:pPr>
            <w:r>
              <w:rPr>
                <w:sz w:val="22"/>
              </w:rPr>
              <w:t>89.6万元</w:t>
            </w:r>
          </w:p>
        </w:tc>
        <w:tc>
          <w:tcPr>
            <w:tcW w:w="2946" w:type="dxa"/>
          </w:tcPr>
          <w:p w14:paraId="75ED1C3F">
            <w:pPr>
              <w:spacing w:after="0" w:line="240" w:lineRule="auto"/>
              <w:jc w:val="center"/>
            </w:pPr>
            <w:r>
              <w:rPr>
                <w:sz w:val="22"/>
              </w:rPr>
              <w:t>48.4万元</w:t>
            </w:r>
          </w:p>
        </w:tc>
      </w:tr>
      <w:tr w14:paraId="6FAF3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A94ED52">
            <w:pPr>
              <w:spacing w:after="0" w:line="240" w:lineRule="auto"/>
              <w:jc w:val="center"/>
            </w:pPr>
            <w:r>
              <w:rPr>
                <w:sz w:val="22"/>
              </w:rPr>
              <w:t>年节约电量</w:t>
            </w:r>
          </w:p>
        </w:tc>
        <w:tc>
          <w:tcPr>
            <w:tcW w:w="2946" w:type="dxa"/>
          </w:tcPr>
          <w:p w14:paraId="4AD14E6E">
            <w:pPr>
              <w:spacing w:after="0" w:line="240" w:lineRule="auto"/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w="2946" w:type="dxa"/>
          </w:tcPr>
          <w:p w14:paraId="77F7353D">
            <w:pPr>
              <w:spacing w:after="0" w:line="240" w:lineRule="auto"/>
              <w:jc w:val="center"/>
            </w:pPr>
            <w:r>
              <w:rPr>
                <w:sz w:val="22"/>
              </w:rPr>
              <w:t>57.3万 kWh</w:t>
            </w:r>
          </w:p>
        </w:tc>
      </w:tr>
      <w:tr w14:paraId="45298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0C04656C">
            <w:pPr>
              <w:spacing w:after="0" w:line="240" w:lineRule="auto"/>
              <w:jc w:val="center"/>
            </w:pPr>
            <w:r>
              <w:rPr>
                <w:sz w:val="22"/>
              </w:rPr>
              <w:t>年节约电费</w:t>
            </w:r>
          </w:p>
        </w:tc>
        <w:tc>
          <w:tcPr>
            <w:tcW w:w="2946" w:type="dxa"/>
          </w:tcPr>
          <w:p w14:paraId="311F00A9">
            <w:pPr>
              <w:spacing w:after="0" w:line="240" w:lineRule="auto"/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w="2946" w:type="dxa"/>
          </w:tcPr>
          <w:p w14:paraId="6619AF46">
            <w:pPr>
              <w:spacing w:after="0" w:line="240" w:lineRule="auto"/>
              <w:jc w:val="center"/>
            </w:pPr>
            <w:r>
              <w:rPr>
                <w:sz w:val="22"/>
              </w:rPr>
              <w:t>41.2万元</w:t>
            </w:r>
          </w:p>
        </w:tc>
      </w:tr>
      <w:tr w14:paraId="325DB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1117759C">
            <w:pPr>
              <w:spacing w:after="0" w:line="240" w:lineRule="auto"/>
              <w:jc w:val="center"/>
            </w:pPr>
            <w:r>
              <w:rPr>
                <w:sz w:val="22"/>
              </w:rPr>
              <w:t>节能率</w:t>
            </w:r>
          </w:p>
        </w:tc>
        <w:tc>
          <w:tcPr>
            <w:tcW w:w="2946" w:type="dxa"/>
          </w:tcPr>
          <w:p w14:paraId="097362E5">
            <w:pPr>
              <w:spacing w:after="0" w:line="240" w:lineRule="auto"/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w="2946" w:type="dxa"/>
          </w:tcPr>
          <w:p w14:paraId="175B57FB">
            <w:pPr>
              <w:spacing w:after="0" w:line="240" w:lineRule="auto"/>
              <w:jc w:val="center"/>
            </w:pPr>
            <w:r>
              <w:rPr>
                <w:sz w:val="22"/>
              </w:rPr>
              <w:t>46%</w:t>
            </w:r>
          </w:p>
        </w:tc>
      </w:tr>
      <w:tr w14:paraId="7F5F0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1BFADD91">
            <w:pPr>
              <w:spacing w:after="0" w:line="240" w:lineRule="auto"/>
              <w:jc w:val="center"/>
            </w:pPr>
            <w:r>
              <w:rPr>
                <w:sz w:val="22"/>
              </w:rPr>
              <w:t>折合标准煤</w:t>
            </w:r>
          </w:p>
        </w:tc>
        <w:tc>
          <w:tcPr>
            <w:tcW w:w="2946" w:type="dxa"/>
          </w:tcPr>
          <w:p w14:paraId="054E28BC">
            <w:pPr>
              <w:spacing w:after="0" w:line="240" w:lineRule="auto"/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w="2946" w:type="dxa"/>
          </w:tcPr>
          <w:p w14:paraId="3174F865">
            <w:pPr>
              <w:spacing w:after="0" w:line="240" w:lineRule="auto"/>
              <w:jc w:val="center"/>
            </w:pPr>
            <w:r>
              <w:rPr>
                <w:sz w:val="22"/>
              </w:rPr>
              <w:t>约 70.7 吨/年</w:t>
            </w:r>
          </w:p>
        </w:tc>
      </w:tr>
    </w:tbl>
    <w:p w14:paraId="01396031"/>
    <w:p w14:paraId="756F01FE">
      <w:pPr>
        <w:ind w:firstLine="480" w:firstLineChars="200"/>
        <w:jc w:val="left"/>
        <w:rPr>
          <w:rFonts w:ascii="宋体" w:hAnsi="宋体"/>
          <w:b w:val="0"/>
          <w:sz w:val="24"/>
        </w:rPr>
      </w:pPr>
      <w:r>
        <w:rPr>
          <w:rFonts w:ascii="宋体" w:hAnsi="宋体"/>
          <w:b w:val="0"/>
          <w:sz w:val="24"/>
        </w:rPr>
        <w:t>按综合电价0.72元/kWh测算，项目年均可节约电费支出 41.2 万元，节能率达 46% ，折合年节约标准煤约 70.7 吨，减排效益显著。</w:t>
      </w:r>
    </w:p>
    <w:p w14:paraId="0AE89D1B">
      <w:pPr>
        <w:ind w:firstLine="480" w:firstLineChars="200"/>
        <w:jc w:val="left"/>
        <w:rPr>
          <w:rFonts w:hint="eastAsia" w:ascii="宋体" w:hAnsi="宋体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与政府分项比例暂定1:9，即每年节能的电费41.2万，政府4.12万元，国网获得37.08万元，分享年限暂定10年，即在10年内 政府累计获得41.2万元，国网累计获得370.8万元。</w:t>
      </w:r>
      <w:bookmarkStart w:id="0" w:name="_GoBack"/>
      <w:bookmarkEnd w:id="0"/>
    </w:p>
    <w:p w14:paraId="2F20BA21">
      <w:pPr>
        <w:jc w:val="left"/>
        <w:rPr>
          <w:rFonts w:hint="default" w:ascii="宋体" w:hAnsi="宋体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 xml:space="preserve"> 国网一次性投入产品成本为97.8万元，安装费暂估23.5万元，后期每年运维费暂估为12万，即一次性投入121.3万元。经计算，预计3年后回本，以运维10年为例，最终累计获益为141.5 万元。投资回报率为16.65%。</w:t>
      </w:r>
    </w:p>
    <w:p w14:paraId="2E43DCB7">
      <w:pPr>
        <w:jc w:val="left"/>
        <w:rPr>
          <w:rFonts w:ascii="宋体" w:hAnsi="宋体"/>
          <w:b w:val="0"/>
          <w:sz w:val="24"/>
        </w:rPr>
      </w:pPr>
    </w:p>
    <w:p w14:paraId="7849AC3D">
      <w:r>
        <w:rPr>
          <w:rFonts w:ascii="微软雅黑" w:hAnsi="微软雅黑"/>
          <w:b/>
          <w:sz w:val="28"/>
        </w:rPr>
        <w:t>（二）社会效益与安全价值</w:t>
      </w:r>
    </w:p>
    <w:p w14:paraId="6C3D264B">
      <w:pPr>
        <w:jc w:val="left"/>
      </w:pPr>
      <w:r>
        <w:rPr>
          <w:rFonts w:ascii="宋体" w:hAnsi="宋体"/>
          <w:b w:val="0"/>
          <w:sz w:val="24"/>
        </w:rPr>
        <w:t>• 安全保障提升：改造后路面照度、均匀度全面满足国标要求，消除黑洞效应，显著降低夜间交通事故风险，守护群众出行安全。</w:t>
      </w:r>
    </w:p>
    <w:p w14:paraId="4F81C95C">
      <w:pPr>
        <w:jc w:val="left"/>
      </w:pPr>
      <w:r>
        <w:rPr>
          <w:rFonts w:ascii="宋体" w:hAnsi="宋体"/>
          <w:b w:val="0"/>
          <w:sz w:val="24"/>
        </w:rPr>
        <w:t>• 绿色低碳贡献：年节约电量57.3万kWh，减少二氧化碳排放约 187.7 吨（按电网排放因子0.3275kgCO2/kWh），助力地方双碳目标实现。</w:t>
      </w:r>
    </w:p>
    <w:p w14:paraId="2671E633">
      <w:pPr>
        <w:jc w:val="left"/>
      </w:pPr>
      <w:r>
        <w:rPr>
          <w:rFonts w:ascii="宋体" w:hAnsi="宋体"/>
          <w:b w:val="0"/>
          <w:sz w:val="24"/>
        </w:rPr>
        <w:t>• 运维效率优化：AI故障诊断替代人工巡检，故障响应时间由小时级压缩至分钟级，大幅提升运维效率，降低人工成本。</w:t>
      </w:r>
    </w:p>
    <w:p w14:paraId="68981A41">
      <w:pPr>
        <w:jc w:val="left"/>
        <w:rPr>
          <w:rFonts w:ascii="宋体" w:hAnsi="宋体"/>
          <w:b w:val="0"/>
          <w:sz w:val="24"/>
        </w:rPr>
      </w:pPr>
      <w:r>
        <w:rPr>
          <w:rFonts w:ascii="宋体" w:hAnsi="宋体"/>
          <w:b w:val="0"/>
          <w:sz w:val="24"/>
        </w:rPr>
        <w:t>• 公共服务升级：智能化照明管控提升道路通行品质，服务沿线居民安全便捷出行，体现央企社会责任担当。</w:t>
      </w:r>
    </w:p>
    <w:p w14:paraId="2E9A7CBC">
      <w:r>
        <w:br w:type="page"/>
      </w:r>
    </w:p>
    <w:p w14:paraId="136F3EC4">
      <w:r>
        <w:rPr>
          <w:rFonts w:ascii="微软雅黑" w:hAnsi="微软雅黑"/>
          <w:b/>
          <w:color w:val="1F4E79"/>
          <w:sz w:val="36"/>
        </w:rPr>
        <w:t>五、实施保障措施</w:t>
      </w:r>
    </w:p>
    <w:p w14:paraId="66F7658D"/>
    <w:p w14:paraId="2899A934">
      <w:r>
        <w:rPr>
          <w:rFonts w:ascii="微软雅黑" w:hAnsi="微软雅黑"/>
          <w:b/>
          <w:sz w:val="28"/>
        </w:rPr>
        <w:t>（一）组织保障</w:t>
      </w:r>
    </w:p>
    <w:p w14:paraId="6E2956BA">
      <w:pPr>
        <w:jc w:val="left"/>
      </w:pPr>
      <w:r>
        <w:rPr>
          <w:rFonts w:ascii="宋体" w:hAnsi="宋体"/>
          <w:b w:val="0"/>
          <w:sz w:val="24"/>
        </w:rPr>
        <w:t>成立专项工作组，明确责任分工，建立项目负责人制度，确保设计、施工、验收各环节责任到人、流程可追溯。</w:t>
      </w:r>
    </w:p>
    <w:p w14:paraId="40E85A4B">
      <w:r>
        <w:rPr>
          <w:rFonts w:ascii="微软雅黑" w:hAnsi="微软雅黑"/>
          <w:b/>
          <w:sz w:val="28"/>
        </w:rPr>
        <w:t>（二）质量保障</w:t>
      </w:r>
    </w:p>
    <w:p w14:paraId="68ED9B09">
      <w:pPr>
        <w:jc w:val="left"/>
      </w:pPr>
      <w:r>
        <w:rPr>
          <w:rFonts w:ascii="宋体" w:hAnsi="宋体"/>
          <w:b w:val="0"/>
          <w:sz w:val="24"/>
        </w:rPr>
        <w:t>严格落实"竣工验收制"，灯具安装完成后依据国标JTG/T D70/2-01-2014、CJJ 45-2015进行现场照度检测，达标后方可投入使用。材料设备进场需提供第三方检测报告。</w:t>
      </w:r>
    </w:p>
    <w:p w14:paraId="4158B8B8">
      <w:r>
        <w:rPr>
          <w:rFonts w:ascii="微软雅黑" w:hAnsi="微软雅黑"/>
          <w:b/>
          <w:sz w:val="28"/>
        </w:rPr>
        <w:t>（三）施工安全保障</w:t>
      </w:r>
    </w:p>
    <w:p w14:paraId="3DC87943">
      <w:pPr>
        <w:jc w:val="left"/>
      </w:pPr>
      <w:r>
        <w:rPr>
          <w:rFonts w:ascii="宋体" w:hAnsi="宋体"/>
          <w:b w:val="0"/>
          <w:sz w:val="24"/>
        </w:rPr>
        <w:t>施工期间严格执行《公路养护安全作业规程》（JTG H30），做好交通组织引导，保障隧道及道路的通行安全。夜间作业按规定设置警示标志，确保施工安全万无一失。</w:t>
      </w:r>
    </w:p>
    <w:p w14:paraId="320ED12A">
      <w:r>
        <w:rPr>
          <w:rFonts w:ascii="微软雅黑" w:hAnsi="微软雅黑"/>
          <w:b/>
          <w:sz w:val="28"/>
        </w:rPr>
        <w:t>（四）进度保障</w:t>
      </w:r>
    </w:p>
    <w:p w14:paraId="4ED40475">
      <w:pPr>
        <w:jc w:val="left"/>
      </w:pPr>
      <w:r>
        <w:rPr>
          <w:rFonts w:ascii="宋体" w:hAnsi="宋体"/>
          <w:b w:val="0"/>
          <w:sz w:val="24"/>
        </w:rPr>
        <w:t>制定详细的施工组织设计和进度计划，合理调配资源，确保项目按期完工交付。同时建立进度预警机制，及时协调解决实施过程中的问题。</w:t>
      </w:r>
    </w:p>
    <w:p w14:paraId="559BE1D0">
      <w:r>
        <w:rPr>
          <w:rFonts w:ascii="微软雅黑" w:hAnsi="微软雅黑"/>
          <w:b/>
          <w:sz w:val="28"/>
        </w:rPr>
        <w:t>（五）售后服务保障</w:t>
      </w:r>
    </w:p>
    <w:p w14:paraId="315C4D3F">
      <w:pPr>
        <w:jc w:val="left"/>
      </w:pPr>
      <w:r>
        <w:rPr>
          <w:rFonts w:ascii="宋体" w:hAnsi="宋体"/>
          <w:b w:val="0"/>
          <w:sz w:val="24"/>
        </w:rPr>
        <w:t>提供灯具质保期不低于5年，质保期内非人为损坏免费维修更换。建立7x24小时服务响应机制，配备专职运维团队，确保持久可靠的照明服务保障。</w:t>
      </w:r>
    </w:p>
    <w:p w14:paraId="206AE06F">
      <w:r>
        <w:br w:type="page"/>
      </w:r>
    </w:p>
    <w:p w14:paraId="606C0511">
      <w:r>
        <w:rPr>
          <w:rFonts w:ascii="微软雅黑" w:hAnsi="微软雅黑"/>
          <w:b/>
          <w:color w:val="1F4E79"/>
          <w:sz w:val="36"/>
        </w:rPr>
        <w:t>六、前瞻展望：电力+照明协同发展</w:t>
      </w:r>
    </w:p>
    <w:p w14:paraId="26F6214B"/>
    <w:p w14:paraId="54C383B8">
      <w:pPr>
        <w:jc w:val="left"/>
      </w:pPr>
      <w:r>
        <w:rPr>
          <w:rFonts w:ascii="宋体" w:hAnsi="宋体"/>
          <w:b w:val="0"/>
          <w:sz w:val="24"/>
        </w:rPr>
        <w:t>本项目的实施，不仅是一次照明设施的升级改造，更是"电力+照明"融合发展的创新实践。展望未来，我们希望与国网公司深化合作，共同探索以下方向：</w:t>
      </w:r>
    </w:p>
    <w:p w14:paraId="0686FF71"/>
    <w:p w14:paraId="560AB873">
      <w:r>
        <w:rPr>
          <w:rFonts w:ascii="微软雅黑" w:hAnsi="微软雅黑"/>
          <w:b/>
          <w:color w:val="0070C0"/>
          <w:sz w:val="28"/>
        </w:rPr>
        <w:t>一、需求响应合作</w:t>
      </w:r>
    </w:p>
    <w:p w14:paraId="66BCD941">
      <w:pPr>
        <w:jc w:val="left"/>
      </w:pPr>
      <w:r>
        <w:rPr>
          <w:rFonts w:ascii="宋体" w:hAnsi="宋体"/>
          <w:b w:val="0"/>
          <w:sz w:val="24"/>
        </w:rPr>
        <w:t>依托AI智慧照明平台的负荷调节能力，在电网迎峰度夏、负荷高峰时段，配合国网开展照明负荷需求响应，助力电网削峰填谷，缓解电力保供压力。</w:t>
      </w:r>
    </w:p>
    <w:p w14:paraId="0BFBD4D3"/>
    <w:p w14:paraId="10AAE1FB">
      <w:r>
        <w:rPr>
          <w:rFonts w:ascii="微软雅黑" w:hAnsi="微软雅黑"/>
          <w:b/>
          <w:color w:val="0070C0"/>
          <w:sz w:val="28"/>
        </w:rPr>
        <w:t>二、分布式储能协同</w:t>
      </w:r>
    </w:p>
    <w:p w14:paraId="563F313A">
      <w:pPr>
        <w:jc w:val="left"/>
      </w:pPr>
      <w:r>
        <w:rPr>
          <w:rFonts w:ascii="宋体" w:hAnsi="宋体"/>
          <w:b w:val="0"/>
          <w:sz w:val="24"/>
        </w:rPr>
        <w:t>AI照明产品内置应急储能模块，可与电网侧储能设施形成互补。在市电中断时，照明储能系统快速响应，保障重要路段照明不间断，提升区域供电韧性。</w:t>
      </w:r>
    </w:p>
    <w:p w14:paraId="408D7385"/>
    <w:p w14:paraId="61242401">
      <w:r>
        <w:rPr>
          <w:rFonts w:ascii="微软雅黑" w:hAnsi="微软雅黑"/>
          <w:b/>
          <w:color w:val="0070C0"/>
          <w:sz w:val="28"/>
        </w:rPr>
        <w:t>三、光伏+照明融合</w:t>
      </w:r>
    </w:p>
    <w:p w14:paraId="49FA29B5">
      <w:pPr>
        <w:jc w:val="left"/>
      </w:pPr>
      <w:r>
        <w:rPr>
          <w:rFonts w:ascii="宋体" w:hAnsi="宋体"/>
          <w:b w:val="0"/>
          <w:sz w:val="24"/>
        </w:rPr>
        <w:t>探索在路灯杆塔集成光伏发电装置，构建"光伏-储能-照明"一体化微电网系统，就地消纳清洁能源，进一步降低市电依赖，打造绿色零碳示范道路。</w:t>
      </w:r>
    </w:p>
    <w:p w14:paraId="440A094D"/>
    <w:p w14:paraId="5D11DCF6">
      <w:r>
        <w:rPr>
          <w:rFonts w:ascii="微软雅黑" w:hAnsi="微软雅黑"/>
          <w:b/>
          <w:color w:val="0070C0"/>
          <w:sz w:val="28"/>
        </w:rPr>
        <w:t>四、能耗数据共享</w:t>
      </w:r>
    </w:p>
    <w:p w14:paraId="2B060703">
      <w:pPr>
        <w:jc w:val="left"/>
      </w:pPr>
      <w:r>
        <w:rPr>
          <w:rFonts w:ascii="宋体" w:hAnsi="宋体"/>
          <w:b w:val="0"/>
          <w:sz w:val="24"/>
        </w:rPr>
        <w:t>建立照明能耗数据与电网数据的共享机制，为国网负荷预测、电网规划提供数据支撑，实现基础设施运行数据的价值最大化。</w:t>
      </w:r>
    </w:p>
    <w:p w14:paraId="3633B726"/>
    <w:p w14:paraId="4D15028D">
      <w:r>
        <w:rPr>
          <w:rFonts w:ascii="微软雅黑" w:hAnsi="微软雅黑"/>
          <w:b/>
          <w:color w:val="0070C0"/>
          <w:sz w:val="28"/>
        </w:rPr>
        <w:t>五、标准化推广</w:t>
      </w:r>
    </w:p>
    <w:p w14:paraId="5061EC27">
      <w:pPr>
        <w:jc w:val="left"/>
      </w:pPr>
      <w:r>
        <w:rPr>
          <w:rFonts w:ascii="宋体" w:hAnsi="宋体"/>
          <w:b w:val="0"/>
          <w:sz w:val="24"/>
        </w:rPr>
        <w:t>总结本项目成功经验，形成可复制、可推广的"山区公路照明改造"标准化方案，为国网在其他地区开展类似合作提供范本。</w:t>
      </w:r>
    </w:p>
    <w:p w14:paraId="6E6645A2"/>
    <w:p w14:paraId="45970F3A">
      <w:pPr>
        <w:jc w:val="center"/>
        <w:rPr>
          <w:i w:val="0"/>
          <w:iCs/>
          <w:sz w:val="24"/>
          <w:szCs w:val="24"/>
        </w:rPr>
      </w:pPr>
      <w:r>
        <w:rPr>
          <w:rFonts w:ascii="宋体" w:hAnsi="宋体"/>
          <w:i/>
          <w:sz w:val="24"/>
        </w:rPr>
        <w:br w:type="textWrapping"/>
      </w:r>
      <w:r>
        <w:rPr>
          <w:rFonts w:ascii="宋体" w:hAnsi="宋体"/>
          <w:i w:val="0"/>
          <w:iCs/>
          <w:sz w:val="24"/>
          <w:szCs w:val="24"/>
        </w:rPr>
        <w:t>我们期待以本项目为契机，与国网公司建立长期战略合作伙伴关系，共同推动能源消费侧数字化转型，为实现双碳目标、建设美丽中国贡献力量。</w:t>
      </w:r>
    </w:p>
    <w:p w14:paraId="7B9E3E07">
      <w:r>
        <w:br w:type="page"/>
      </w:r>
    </w:p>
    <w:p w14:paraId="6C51AB76"/>
    <w:p w14:paraId="6319BB39"/>
    <w:p w14:paraId="3E18E9DE"/>
    <w:p w14:paraId="138BD0DE"/>
    <w:p w14:paraId="713F5C5F"/>
    <w:p w14:paraId="6BD2B55B"/>
    <w:p w14:paraId="75621406"/>
    <w:p w14:paraId="6FC86152"/>
    <w:p w14:paraId="15E9808C">
      <w:pPr>
        <w:jc w:val="center"/>
      </w:pPr>
      <w:r>
        <w:rPr>
          <w:rFonts w:ascii="微软雅黑" w:hAnsi="微软雅黑"/>
          <w:b/>
          <w:color w:val="1F4E79"/>
          <w:sz w:val="48"/>
        </w:rPr>
        <w:t>汇报完毕</w:t>
      </w:r>
      <w:r>
        <w:rPr>
          <w:rFonts w:ascii="微软雅黑" w:hAnsi="微软雅黑"/>
          <w:b/>
          <w:color w:val="1F4E79"/>
          <w:sz w:val="48"/>
        </w:rPr>
        <w:br w:type="textWrapping"/>
      </w:r>
      <w:r>
        <w:rPr>
          <w:rFonts w:ascii="微软雅黑" w:hAnsi="微软雅黑"/>
          <w:b/>
          <w:color w:val="1F4E79"/>
          <w:sz w:val="48"/>
        </w:rPr>
        <w:br w:type="textWrapping"/>
      </w:r>
      <w:r>
        <w:rPr>
          <w:rFonts w:ascii="微软雅黑" w:hAnsi="微软雅黑"/>
          <w:b/>
          <w:color w:val="1F4E79"/>
          <w:sz w:val="48"/>
        </w:rPr>
        <w:t>感谢各位领导审阅指导！</w:t>
      </w:r>
    </w:p>
    <w:p w14:paraId="6BCB63B1"/>
    <w:p w14:paraId="411500A8">
      <w:pPr>
        <w:jc w:val="center"/>
      </w:pPr>
      <w:r>
        <w:rPr>
          <w:rFonts w:ascii="微软雅黑" w:hAnsi="微软雅黑"/>
          <w:color w:val="595959"/>
          <w:sz w:val="28"/>
        </w:rPr>
        <w:t>杭州华普永明光电股份有限公司</w:t>
      </w:r>
      <w:r>
        <w:rPr>
          <w:rFonts w:ascii="微软雅黑" w:hAnsi="微软雅黑"/>
          <w:color w:val="595959"/>
          <w:sz w:val="28"/>
        </w:rPr>
        <w:br w:type="textWrapping"/>
      </w:r>
      <w:r>
        <w:rPr>
          <w:rFonts w:ascii="微软雅黑" w:hAnsi="微软雅黑"/>
          <w:color w:val="595959"/>
          <w:sz w:val="28"/>
        </w:rPr>
        <w:t>2026年5月</w:t>
      </w:r>
    </w:p>
    <w:sectPr>
      <w:pgSz w:w="12240" w:h="15840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D1481B"/>
    <w:rsid w:val="2B43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1196</Words>
  <Characters>1337</Characters>
  <Lines>0</Lines>
  <Paragraphs>0</Paragraphs>
  <TotalTime>45</TotalTime>
  <ScaleCrop>false</ScaleCrop>
  <LinksUpToDate>false</LinksUpToDate>
  <CharactersWithSpaces>1378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All my life</cp:lastModifiedBy>
  <dcterms:modified xsi:type="dcterms:W3CDTF">2026-05-08T09:17:23Z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eyJoZGlkIjoiYTJiYWJkMDU5OGFhZmU1NTQzODc3ZmUxMjQ2ZmRlOTkiLCJ1c2VySWQiOiIzOTE5NDA5NjMifQ==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F6AF5DA956E84B288B0F5795BEEA9CC0_13</vt:lpwstr>
  </property>
</Properties>
</file>