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0DFFB9D5">
      <w:pPr>
        <w:keepNext w:val="0"/>
        <w:keepLines w:val="0"/>
        <w:widowControl/>
        <w:suppressLineNumbers w:val="0"/>
        <w:spacing w:line="23" w:lineRule="atLeast"/>
        <w:jc w:val="left"/>
        <w:rPr>
          <w:rFonts w:ascii="Calibri" w:hAnsi="Calibri" w:cs="Calibri"/>
          <w:b/>
          <w:bCs/>
          <w:color w:val="1A1A1A"/>
          <w:sz w:val="44"/>
          <w:szCs w:val="44"/>
        </w:rPr>
      </w:pPr>
      <w:r>
        <w:rPr>
          <w:rStyle w:val="25"/>
          <w:rFonts w:hint="default" w:ascii="Calibri" w:hAnsi="Calibri" w:eastAsia="SimSun" w:cs="Calibri"/>
          <w:b/>
          <w:bCs/>
          <w:sz w:val="44"/>
          <w:szCs w:val="44"/>
        </w:rPr>
        <w:t>Invest</w:t>
      </w:r>
      <w:r>
        <w:rPr>
          <w:rFonts w:hint="default" w:ascii="Calibri" w:hAnsi="Calibri" w:eastAsia="SimSun" w:cs="Calibri"/>
          <w:b/>
          <w:bCs/>
          <w:sz w:val="44"/>
          <w:szCs w:val="44"/>
        </w:rPr>
        <w:t>prop</w:t>
      </w:r>
    </w:p>
    <w:p w14:paraId="65242CAF">
      <w:pPr>
        <w:pStyle w:val="18"/>
        <w:keepNext w:val="0"/>
        <w:keepLines w:val="0"/>
        <w:widowControl/>
        <w:suppressLineNumbers w:val="0"/>
        <w:spacing w:before="0" w:beforeAutospacing="0" w:after="160" w:afterAutospacing="0" w:line="23" w:lineRule="atLeast"/>
        <w:ind w:left="0" w:right="0"/>
      </w:pPr>
      <w:r>
        <w:rPr>
          <w:rFonts w:hint="default" w:ascii="Calibri" w:hAnsi="Calibri" w:cs="Calibri"/>
        </w:rPr>
        <w:t>AI-Powered Property Co-Investment Platform</w:t>
      </w:r>
    </w:p>
    <w:p w14:paraId="79CAC8F0">
      <w:pPr>
        <w:pStyle w:val="18"/>
        <w:keepNext w:val="0"/>
        <w:keepLines w:val="0"/>
        <w:widowControl/>
        <w:suppressLineNumbers w:val="0"/>
        <w:spacing w:before="0" w:beforeAutospacing="0" w:after="160" w:afterAutospacing="0" w:line="23" w:lineRule="atLeast"/>
        <w:ind w:left="0" w:right="0"/>
      </w:pPr>
      <w:r>
        <w:rPr>
          <w:rFonts w:hint="default" w:ascii="Calibri" w:hAnsi="Calibri" w:cs="Calibri"/>
        </w:rPr>
        <w:t>Strictly Private &amp; Confidential</w:t>
      </w:r>
    </w:p>
    <w:p w14:paraId="2D36A56A">
      <w:pPr>
        <w:pStyle w:val="2"/>
        <w:keepNext w:val="0"/>
        <w:keepLines w:val="0"/>
        <w:widowControl/>
        <w:suppressLineNumbers w:val="0"/>
        <w:spacing w:line="23" w:lineRule="atLeast"/>
      </w:pPr>
      <w:r>
        <w:t>Confidential Investor Memorandum</w:t>
      </w:r>
    </w:p>
    <w:p w14:paraId="254A6346">
      <w:pPr>
        <w:pStyle w:val="23"/>
        <w:keepNext w:val="0"/>
        <w:keepLines w:val="0"/>
        <w:widowControl/>
        <w:suppressLineNumbers w:val="0"/>
        <w:spacing w:before="40" w:beforeAutospacing="0" w:afterAutospacing="1" w:line="23" w:lineRule="atLeast"/>
        <w:rPr>
          <w:color w:val="333333"/>
          <w:sz w:val="28"/>
          <w:szCs w:val="28"/>
        </w:rPr>
      </w:pPr>
      <w:r>
        <w:rPr>
          <w:rFonts w:hint="default" w:ascii="Calibri" w:hAnsi="Calibri" w:cs="Calibri"/>
          <w:color w:val="333333"/>
          <w:sz w:val="28"/>
          <w:szCs w:val="28"/>
        </w:rPr>
        <w:t xml:space="preserve">An invitation to invest in the company building South Africa’s compliant, AI-driven fractional property co-investment platform. </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245"/>
        <w:gridCol w:w="5011"/>
      </w:tblGrid>
      <w:tr w14:paraId="22FFAC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3200" w:type="dxa"/>
            <w:shd w:val="clear"/>
            <w:tcMar>
              <w:top w:w="80" w:type="dxa"/>
              <w:left w:w="0" w:type="dxa"/>
              <w:bottom w:w="80" w:type="dxa"/>
              <w:right w:w="200" w:type="dxa"/>
            </w:tcMar>
            <w:vAlign w:val="top"/>
          </w:tcPr>
          <w:p w14:paraId="21DF5DE8">
            <w:pPr>
              <w:keepNext w:val="0"/>
              <w:keepLines w:val="0"/>
              <w:widowControl/>
              <w:suppressLineNumbers w:val="0"/>
              <w:spacing w:line="23" w:lineRule="atLeast"/>
              <w:jc w:val="left"/>
              <w:textAlignment w:val="top"/>
              <w:rPr>
                <w:rFonts w:hint="default" w:ascii="Calibri" w:hAnsi="Calibri" w:cs="Calibri"/>
                <w:b/>
                <w:bCs/>
                <w:color w:val="7A5118"/>
                <w:sz w:val="22"/>
                <w:szCs w:val="22"/>
              </w:rPr>
            </w:pPr>
            <w:r>
              <w:rPr>
                <w:rFonts w:hint="default" w:ascii="Calibri" w:hAnsi="Calibri" w:eastAsia="SimSun" w:cs="Calibri"/>
                <w:b/>
                <w:bCs/>
                <w:color w:val="7A5118"/>
                <w:sz w:val="22"/>
                <w:szCs w:val="22"/>
                <w:bdr w:val="none" w:color="auto" w:sz="0" w:space="0"/>
              </w:rPr>
              <w:t>Issuer</w:t>
            </w:r>
          </w:p>
        </w:tc>
        <w:tc>
          <w:tcPr>
            <w:tcW w:w="0" w:type="auto"/>
            <w:shd w:val="clear"/>
            <w:tcMar>
              <w:top w:w="80" w:type="dxa"/>
              <w:left w:w="0" w:type="dxa"/>
              <w:bottom w:w="80" w:type="dxa"/>
              <w:right w:w="200" w:type="dxa"/>
            </w:tcMar>
            <w:vAlign w:val="top"/>
          </w:tcPr>
          <w:p w14:paraId="0F7E176D">
            <w:pPr>
              <w:keepNext w:val="0"/>
              <w:keepLines w:val="0"/>
              <w:widowControl/>
              <w:suppressLineNumbers w:val="0"/>
              <w:spacing w:line="23" w:lineRule="atLeast"/>
              <w:jc w:val="left"/>
              <w:textAlignment w:val="top"/>
              <w:rPr>
                <w:rFonts w:hint="default" w:ascii="Calibri" w:hAnsi="Calibri" w:cs="Calibri"/>
                <w:color w:val="1A1A1A"/>
                <w:sz w:val="22"/>
                <w:szCs w:val="22"/>
              </w:rPr>
            </w:pPr>
            <w:r>
              <w:rPr>
                <w:rStyle w:val="26"/>
                <w:rFonts w:hint="default" w:ascii="Calibri" w:hAnsi="Calibri" w:eastAsia="SimSun" w:cs="Calibri"/>
                <w:sz w:val="22"/>
                <w:szCs w:val="22"/>
                <w:bdr w:val="none" w:color="auto" w:sz="0" w:space="0"/>
              </w:rPr>
              <w:t>[Investprop (Pty) Ltd]</w:t>
            </w:r>
            <w:r>
              <w:rPr>
                <w:rFonts w:hint="default" w:ascii="Calibri" w:hAnsi="Calibri" w:eastAsia="SimSun" w:cs="Calibri"/>
                <w:color w:val="1A1A1A"/>
                <w:sz w:val="22"/>
                <w:szCs w:val="22"/>
                <w:bdr w:val="none" w:color="auto" w:sz="0" w:space="0"/>
              </w:rPr>
              <w:t xml:space="preserve"> (“Investprop”, the “Company”)</w:t>
            </w:r>
          </w:p>
        </w:tc>
      </w:tr>
      <w:tr w14:paraId="267ABF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3200" w:type="dxa"/>
            <w:shd w:val="clear"/>
            <w:tcMar>
              <w:top w:w="80" w:type="dxa"/>
              <w:left w:w="0" w:type="dxa"/>
              <w:bottom w:w="80" w:type="dxa"/>
              <w:right w:w="200" w:type="dxa"/>
            </w:tcMar>
            <w:vAlign w:val="top"/>
          </w:tcPr>
          <w:p w14:paraId="56DC1A9C">
            <w:pPr>
              <w:keepNext w:val="0"/>
              <w:keepLines w:val="0"/>
              <w:widowControl/>
              <w:suppressLineNumbers w:val="0"/>
              <w:spacing w:line="23" w:lineRule="atLeast"/>
              <w:jc w:val="left"/>
              <w:textAlignment w:val="top"/>
              <w:rPr>
                <w:rFonts w:hint="default" w:ascii="Calibri" w:hAnsi="Calibri" w:cs="Calibri"/>
                <w:b/>
                <w:bCs/>
                <w:color w:val="7A5118"/>
                <w:sz w:val="22"/>
                <w:szCs w:val="22"/>
              </w:rPr>
            </w:pPr>
            <w:r>
              <w:rPr>
                <w:rFonts w:hint="default" w:ascii="Calibri" w:hAnsi="Calibri" w:eastAsia="SimSun" w:cs="Calibri"/>
                <w:b/>
                <w:bCs/>
                <w:color w:val="7A5118"/>
                <w:sz w:val="22"/>
                <w:szCs w:val="22"/>
                <w:bdr w:val="none" w:color="auto" w:sz="0" w:space="0"/>
              </w:rPr>
              <w:t>Registration No.</w:t>
            </w:r>
          </w:p>
        </w:tc>
        <w:tc>
          <w:tcPr>
            <w:tcW w:w="0" w:type="auto"/>
            <w:shd w:val="clear"/>
            <w:tcMar>
              <w:top w:w="80" w:type="dxa"/>
              <w:left w:w="0" w:type="dxa"/>
              <w:bottom w:w="80" w:type="dxa"/>
              <w:right w:w="200" w:type="dxa"/>
            </w:tcMar>
            <w:vAlign w:val="top"/>
          </w:tcPr>
          <w:p w14:paraId="3BA5D5F6">
            <w:pPr>
              <w:keepNext w:val="0"/>
              <w:keepLines w:val="0"/>
              <w:widowControl/>
              <w:suppressLineNumbers w:val="0"/>
              <w:spacing w:line="23" w:lineRule="atLeast"/>
              <w:jc w:val="left"/>
              <w:textAlignment w:val="top"/>
              <w:rPr>
                <w:rFonts w:hint="default" w:ascii="Calibri" w:hAnsi="Calibri" w:cs="Calibri"/>
                <w:color w:val="1A1A1A"/>
                <w:sz w:val="22"/>
                <w:szCs w:val="22"/>
              </w:rPr>
            </w:pPr>
            <w:r>
              <w:rPr>
                <w:rStyle w:val="26"/>
                <w:rFonts w:hint="default" w:ascii="Calibri" w:hAnsi="Calibri" w:eastAsia="SimSun" w:cs="Calibri"/>
                <w:sz w:val="22"/>
                <w:szCs w:val="22"/>
                <w:bdr w:val="none" w:color="auto" w:sz="0" w:space="0"/>
              </w:rPr>
              <w:t>[Company Registration Number]</w:t>
            </w:r>
          </w:p>
        </w:tc>
      </w:tr>
      <w:tr w14:paraId="35B8F7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3200" w:type="dxa"/>
            <w:shd w:val="clear"/>
            <w:tcMar>
              <w:top w:w="80" w:type="dxa"/>
              <w:left w:w="0" w:type="dxa"/>
              <w:bottom w:w="80" w:type="dxa"/>
              <w:right w:w="200" w:type="dxa"/>
            </w:tcMar>
            <w:vAlign w:val="top"/>
          </w:tcPr>
          <w:p w14:paraId="083D7D9A">
            <w:pPr>
              <w:keepNext w:val="0"/>
              <w:keepLines w:val="0"/>
              <w:widowControl/>
              <w:suppressLineNumbers w:val="0"/>
              <w:spacing w:line="23" w:lineRule="atLeast"/>
              <w:jc w:val="left"/>
              <w:textAlignment w:val="top"/>
              <w:rPr>
                <w:rFonts w:hint="default" w:ascii="Calibri" w:hAnsi="Calibri" w:cs="Calibri"/>
                <w:b/>
                <w:bCs/>
                <w:color w:val="7A5118"/>
                <w:sz w:val="22"/>
                <w:szCs w:val="22"/>
              </w:rPr>
            </w:pPr>
            <w:r>
              <w:rPr>
                <w:rFonts w:hint="default" w:ascii="Calibri" w:hAnsi="Calibri" w:eastAsia="SimSun" w:cs="Calibri"/>
                <w:b/>
                <w:bCs/>
                <w:color w:val="7A5118"/>
                <w:sz w:val="22"/>
                <w:szCs w:val="22"/>
                <w:bdr w:val="none" w:color="auto" w:sz="0" w:space="0"/>
              </w:rPr>
              <w:t>Registered address</w:t>
            </w:r>
          </w:p>
        </w:tc>
        <w:tc>
          <w:tcPr>
            <w:tcW w:w="0" w:type="auto"/>
            <w:shd w:val="clear"/>
            <w:tcMar>
              <w:top w:w="80" w:type="dxa"/>
              <w:left w:w="0" w:type="dxa"/>
              <w:bottom w:w="80" w:type="dxa"/>
              <w:right w:w="200" w:type="dxa"/>
            </w:tcMar>
            <w:vAlign w:val="top"/>
          </w:tcPr>
          <w:p w14:paraId="5AC48A51">
            <w:pPr>
              <w:keepNext w:val="0"/>
              <w:keepLines w:val="0"/>
              <w:widowControl/>
              <w:suppressLineNumbers w:val="0"/>
              <w:spacing w:line="23" w:lineRule="atLeast"/>
              <w:jc w:val="left"/>
              <w:textAlignment w:val="top"/>
              <w:rPr>
                <w:rFonts w:hint="default" w:ascii="Calibri" w:hAnsi="Calibri" w:cs="Calibri"/>
                <w:color w:val="1A1A1A"/>
                <w:sz w:val="22"/>
                <w:szCs w:val="22"/>
              </w:rPr>
            </w:pPr>
            <w:r>
              <w:rPr>
                <w:rStyle w:val="26"/>
                <w:rFonts w:hint="default" w:ascii="Calibri" w:hAnsi="Calibri" w:eastAsia="SimSun" w:cs="Calibri"/>
                <w:sz w:val="22"/>
                <w:szCs w:val="22"/>
                <w:bdr w:val="none" w:color="auto" w:sz="0" w:space="0"/>
              </w:rPr>
              <w:t>[Registered Address]</w:t>
            </w:r>
          </w:p>
        </w:tc>
      </w:tr>
      <w:tr w14:paraId="2B67B2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3200" w:type="dxa"/>
            <w:shd w:val="clear"/>
            <w:tcMar>
              <w:top w:w="80" w:type="dxa"/>
              <w:left w:w="0" w:type="dxa"/>
              <w:bottom w:w="80" w:type="dxa"/>
              <w:right w:w="200" w:type="dxa"/>
            </w:tcMar>
            <w:vAlign w:val="top"/>
          </w:tcPr>
          <w:p w14:paraId="699E56ED">
            <w:pPr>
              <w:keepNext w:val="0"/>
              <w:keepLines w:val="0"/>
              <w:widowControl/>
              <w:suppressLineNumbers w:val="0"/>
              <w:spacing w:line="23" w:lineRule="atLeast"/>
              <w:jc w:val="left"/>
              <w:textAlignment w:val="top"/>
              <w:rPr>
                <w:rFonts w:hint="default" w:ascii="Calibri" w:hAnsi="Calibri" w:cs="Calibri"/>
                <w:b/>
                <w:bCs/>
                <w:color w:val="7A5118"/>
                <w:sz w:val="22"/>
                <w:szCs w:val="22"/>
              </w:rPr>
            </w:pPr>
            <w:r>
              <w:rPr>
                <w:rFonts w:hint="default" w:ascii="Calibri" w:hAnsi="Calibri" w:eastAsia="SimSun" w:cs="Calibri"/>
                <w:b/>
                <w:bCs/>
                <w:color w:val="7A5118"/>
                <w:sz w:val="22"/>
                <w:szCs w:val="22"/>
                <w:bdr w:val="none" w:color="auto" w:sz="0" w:space="0"/>
              </w:rPr>
              <w:t>Prepared for</w:t>
            </w:r>
          </w:p>
        </w:tc>
        <w:tc>
          <w:tcPr>
            <w:tcW w:w="0" w:type="auto"/>
            <w:shd w:val="clear"/>
            <w:tcMar>
              <w:top w:w="80" w:type="dxa"/>
              <w:left w:w="0" w:type="dxa"/>
              <w:bottom w:w="80" w:type="dxa"/>
              <w:right w:w="200" w:type="dxa"/>
            </w:tcMar>
            <w:vAlign w:val="top"/>
          </w:tcPr>
          <w:p w14:paraId="0534E748">
            <w:pPr>
              <w:keepNext w:val="0"/>
              <w:keepLines w:val="0"/>
              <w:widowControl/>
              <w:suppressLineNumbers w:val="0"/>
              <w:spacing w:line="23" w:lineRule="atLeast"/>
              <w:jc w:val="left"/>
              <w:textAlignment w:val="top"/>
              <w:rPr>
                <w:rFonts w:hint="default" w:ascii="Calibri" w:hAnsi="Calibri" w:cs="Calibri"/>
                <w:color w:val="1A1A1A"/>
                <w:sz w:val="22"/>
                <w:szCs w:val="22"/>
              </w:rPr>
            </w:pPr>
            <w:r>
              <w:rPr>
                <w:rStyle w:val="26"/>
                <w:rFonts w:hint="default" w:ascii="Calibri" w:hAnsi="Calibri" w:eastAsia="SimSun" w:cs="Calibri"/>
                <w:sz w:val="22"/>
                <w:szCs w:val="22"/>
                <w:bdr w:val="none" w:color="auto" w:sz="0" w:space="0"/>
              </w:rPr>
              <w:t>[Prospective Investor Name]</w:t>
            </w:r>
          </w:p>
        </w:tc>
      </w:tr>
      <w:tr w14:paraId="488BF0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3200" w:type="dxa"/>
            <w:shd w:val="clear"/>
            <w:tcMar>
              <w:top w:w="80" w:type="dxa"/>
              <w:left w:w="0" w:type="dxa"/>
              <w:bottom w:w="80" w:type="dxa"/>
              <w:right w:w="200" w:type="dxa"/>
            </w:tcMar>
            <w:vAlign w:val="top"/>
          </w:tcPr>
          <w:p w14:paraId="4220796A">
            <w:pPr>
              <w:keepNext w:val="0"/>
              <w:keepLines w:val="0"/>
              <w:widowControl/>
              <w:suppressLineNumbers w:val="0"/>
              <w:spacing w:line="23" w:lineRule="atLeast"/>
              <w:jc w:val="left"/>
              <w:textAlignment w:val="top"/>
              <w:rPr>
                <w:rFonts w:hint="default" w:ascii="Calibri" w:hAnsi="Calibri" w:cs="Calibri"/>
                <w:b/>
                <w:bCs/>
                <w:color w:val="7A5118"/>
                <w:sz w:val="22"/>
                <w:szCs w:val="22"/>
              </w:rPr>
            </w:pPr>
            <w:r>
              <w:rPr>
                <w:rFonts w:hint="default" w:ascii="Calibri" w:hAnsi="Calibri" w:eastAsia="SimSun" w:cs="Calibri"/>
                <w:b/>
                <w:bCs/>
                <w:color w:val="7A5118"/>
                <w:sz w:val="22"/>
                <w:szCs w:val="22"/>
                <w:bdr w:val="none" w:color="auto" w:sz="0" w:space="0"/>
              </w:rPr>
              <w:t>Round</w:t>
            </w:r>
          </w:p>
        </w:tc>
        <w:tc>
          <w:tcPr>
            <w:tcW w:w="0" w:type="auto"/>
            <w:shd w:val="clear"/>
            <w:tcMar>
              <w:top w:w="80" w:type="dxa"/>
              <w:left w:w="0" w:type="dxa"/>
              <w:bottom w:w="80" w:type="dxa"/>
              <w:right w:w="200" w:type="dxa"/>
            </w:tcMar>
            <w:vAlign w:val="top"/>
          </w:tcPr>
          <w:p w14:paraId="32CE29FA">
            <w:pPr>
              <w:keepNext w:val="0"/>
              <w:keepLines w:val="0"/>
              <w:widowControl/>
              <w:suppressLineNumbers w:val="0"/>
              <w:spacing w:line="23" w:lineRule="atLeast"/>
              <w:jc w:val="left"/>
              <w:textAlignment w:val="top"/>
              <w:rPr>
                <w:rFonts w:hint="default" w:ascii="Calibri" w:hAnsi="Calibri" w:cs="Calibri"/>
                <w:color w:val="1A1A1A"/>
                <w:sz w:val="22"/>
                <w:szCs w:val="22"/>
              </w:rPr>
            </w:pPr>
            <w:r>
              <w:rPr>
                <w:rStyle w:val="26"/>
                <w:rFonts w:hint="default" w:ascii="Calibri" w:hAnsi="Calibri" w:eastAsia="SimSun" w:cs="Calibri"/>
                <w:sz w:val="22"/>
                <w:szCs w:val="22"/>
                <w:bdr w:val="none" w:color="auto" w:sz="0" w:space="0"/>
              </w:rPr>
              <w:t>[Seed / Pre-Series A]</w:t>
            </w:r>
          </w:p>
        </w:tc>
      </w:tr>
      <w:tr w14:paraId="5C6BC6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3200" w:type="dxa"/>
            <w:shd w:val="clear"/>
            <w:tcMar>
              <w:top w:w="80" w:type="dxa"/>
              <w:left w:w="0" w:type="dxa"/>
              <w:bottom w:w="80" w:type="dxa"/>
              <w:right w:w="200" w:type="dxa"/>
            </w:tcMar>
            <w:vAlign w:val="top"/>
          </w:tcPr>
          <w:p w14:paraId="10989B76">
            <w:pPr>
              <w:keepNext w:val="0"/>
              <w:keepLines w:val="0"/>
              <w:widowControl/>
              <w:suppressLineNumbers w:val="0"/>
              <w:spacing w:line="23" w:lineRule="atLeast"/>
              <w:jc w:val="left"/>
              <w:textAlignment w:val="top"/>
              <w:rPr>
                <w:rFonts w:hint="default" w:ascii="Calibri" w:hAnsi="Calibri" w:cs="Calibri"/>
                <w:b/>
                <w:bCs/>
                <w:color w:val="7A5118"/>
                <w:sz w:val="22"/>
                <w:szCs w:val="22"/>
              </w:rPr>
            </w:pPr>
            <w:r>
              <w:rPr>
                <w:rFonts w:hint="default" w:ascii="Calibri" w:hAnsi="Calibri" w:eastAsia="SimSun" w:cs="Calibri"/>
                <w:b/>
                <w:bCs/>
                <w:color w:val="7A5118"/>
                <w:sz w:val="22"/>
                <w:szCs w:val="22"/>
                <w:bdr w:val="none" w:color="auto" w:sz="0" w:space="0"/>
              </w:rPr>
              <w:t>Amount sought</w:t>
            </w:r>
          </w:p>
        </w:tc>
        <w:tc>
          <w:tcPr>
            <w:tcW w:w="0" w:type="auto"/>
            <w:shd w:val="clear"/>
            <w:tcMar>
              <w:top w:w="80" w:type="dxa"/>
              <w:left w:w="0" w:type="dxa"/>
              <w:bottom w:w="80" w:type="dxa"/>
              <w:right w:w="200" w:type="dxa"/>
            </w:tcMar>
            <w:vAlign w:val="top"/>
          </w:tcPr>
          <w:p w14:paraId="39A4DA6C">
            <w:pPr>
              <w:keepNext w:val="0"/>
              <w:keepLines w:val="0"/>
              <w:widowControl/>
              <w:suppressLineNumbers w:val="0"/>
              <w:spacing w:line="23" w:lineRule="atLeast"/>
              <w:jc w:val="left"/>
              <w:textAlignment w:val="top"/>
              <w:rPr>
                <w:rFonts w:hint="default" w:ascii="Calibri" w:hAnsi="Calibri" w:cs="Calibri"/>
                <w:color w:val="1A1A1A"/>
                <w:sz w:val="22"/>
                <w:szCs w:val="22"/>
              </w:rPr>
            </w:pPr>
            <w:r>
              <w:rPr>
                <w:rStyle w:val="26"/>
                <w:rFonts w:hint="default" w:ascii="Calibri" w:hAnsi="Calibri" w:eastAsia="SimSun" w:cs="Calibri"/>
                <w:sz w:val="22"/>
                <w:szCs w:val="22"/>
                <w:bdr w:val="none" w:color="auto" w:sz="0" w:space="0"/>
              </w:rPr>
              <w:t>[R__ million]</w:t>
            </w:r>
            <w:r>
              <w:rPr>
                <w:rFonts w:hint="default" w:ascii="Calibri" w:hAnsi="Calibri" w:eastAsia="SimSun" w:cs="Calibri"/>
                <w:color w:val="1A1A1A"/>
                <w:sz w:val="22"/>
                <w:szCs w:val="22"/>
                <w:bdr w:val="none" w:color="auto" w:sz="0" w:space="0"/>
              </w:rPr>
              <w:t xml:space="preserve"> for </w:t>
            </w:r>
            <w:r>
              <w:rPr>
                <w:rStyle w:val="26"/>
                <w:rFonts w:hint="default" w:ascii="Calibri" w:hAnsi="Calibri" w:eastAsia="SimSun" w:cs="Calibri"/>
                <w:sz w:val="22"/>
                <w:szCs w:val="22"/>
                <w:bdr w:val="none" w:color="auto" w:sz="0" w:space="0"/>
              </w:rPr>
              <w:t>[__]%</w:t>
            </w:r>
            <w:r>
              <w:rPr>
                <w:rFonts w:hint="default" w:ascii="Calibri" w:hAnsi="Calibri" w:eastAsia="SimSun" w:cs="Calibri"/>
                <w:color w:val="1A1A1A"/>
                <w:sz w:val="22"/>
                <w:szCs w:val="22"/>
                <w:bdr w:val="none" w:color="auto" w:sz="0" w:space="0"/>
              </w:rPr>
              <w:t xml:space="preserve"> equity</w:t>
            </w:r>
          </w:p>
        </w:tc>
      </w:tr>
      <w:tr w14:paraId="1566F1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3200" w:type="dxa"/>
            <w:shd w:val="clear"/>
            <w:tcMar>
              <w:top w:w="80" w:type="dxa"/>
              <w:left w:w="0" w:type="dxa"/>
              <w:bottom w:w="80" w:type="dxa"/>
              <w:right w:w="200" w:type="dxa"/>
            </w:tcMar>
            <w:vAlign w:val="top"/>
          </w:tcPr>
          <w:p w14:paraId="06476225">
            <w:pPr>
              <w:keepNext w:val="0"/>
              <w:keepLines w:val="0"/>
              <w:widowControl/>
              <w:suppressLineNumbers w:val="0"/>
              <w:spacing w:line="23" w:lineRule="atLeast"/>
              <w:jc w:val="left"/>
              <w:textAlignment w:val="top"/>
              <w:rPr>
                <w:rFonts w:hint="default" w:ascii="Calibri" w:hAnsi="Calibri" w:cs="Calibri"/>
                <w:b/>
                <w:bCs/>
                <w:color w:val="7A5118"/>
                <w:sz w:val="22"/>
                <w:szCs w:val="22"/>
              </w:rPr>
            </w:pPr>
            <w:r>
              <w:rPr>
                <w:rFonts w:hint="default" w:ascii="Calibri" w:hAnsi="Calibri" w:eastAsia="SimSun" w:cs="Calibri"/>
                <w:b/>
                <w:bCs/>
                <w:color w:val="7A5118"/>
                <w:sz w:val="22"/>
                <w:szCs w:val="22"/>
                <w:bdr w:val="none" w:color="auto" w:sz="0" w:space="0"/>
              </w:rPr>
              <w:t>Primary contact</w:t>
            </w:r>
          </w:p>
        </w:tc>
        <w:tc>
          <w:tcPr>
            <w:tcW w:w="0" w:type="auto"/>
            <w:shd w:val="clear"/>
            <w:tcMar>
              <w:top w:w="80" w:type="dxa"/>
              <w:left w:w="0" w:type="dxa"/>
              <w:bottom w:w="80" w:type="dxa"/>
              <w:right w:w="200" w:type="dxa"/>
            </w:tcMar>
            <w:vAlign w:val="top"/>
          </w:tcPr>
          <w:p w14:paraId="7C288F65">
            <w:pPr>
              <w:keepNext w:val="0"/>
              <w:keepLines w:val="0"/>
              <w:widowControl/>
              <w:suppressLineNumbers w:val="0"/>
              <w:spacing w:line="23" w:lineRule="atLeast"/>
              <w:jc w:val="left"/>
              <w:textAlignment w:val="top"/>
              <w:rPr>
                <w:rFonts w:hint="default" w:ascii="Calibri" w:hAnsi="Calibri" w:cs="Calibri"/>
                <w:color w:val="1A1A1A"/>
                <w:sz w:val="22"/>
                <w:szCs w:val="22"/>
              </w:rPr>
            </w:pPr>
            <w:r>
              <w:rPr>
                <w:rStyle w:val="26"/>
                <w:rFonts w:hint="default" w:ascii="Calibri" w:hAnsi="Calibri" w:eastAsia="SimSun" w:cs="Calibri"/>
                <w:sz w:val="22"/>
                <w:szCs w:val="22"/>
                <w:bdr w:val="none" w:color="auto" w:sz="0" w:space="0"/>
              </w:rPr>
              <w:t>[Founder Name]</w:t>
            </w:r>
            <w:r>
              <w:rPr>
                <w:rFonts w:hint="default" w:ascii="Calibri" w:hAnsi="Calibri" w:eastAsia="SimSun" w:cs="Calibri"/>
                <w:color w:val="1A1A1A"/>
                <w:sz w:val="22"/>
                <w:szCs w:val="22"/>
                <w:bdr w:val="none" w:color="auto" w:sz="0" w:space="0"/>
              </w:rPr>
              <w:t xml:space="preserve">, </w:t>
            </w:r>
            <w:r>
              <w:rPr>
                <w:rStyle w:val="26"/>
                <w:rFonts w:hint="default" w:ascii="Calibri" w:hAnsi="Calibri" w:eastAsia="SimSun" w:cs="Calibri"/>
                <w:sz w:val="22"/>
                <w:szCs w:val="22"/>
                <w:bdr w:val="none" w:color="auto" w:sz="0" w:space="0"/>
              </w:rPr>
              <w:t>[Title]</w:t>
            </w:r>
            <w:r>
              <w:rPr>
                <w:rFonts w:hint="default" w:ascii="Calibri" w:hAnsi="Calibri" w:eastAsia="SimSun" w:cs="Calibri"/>
                <w:color w:val="1A1A1A"/>
                <w:sz w:val="22"/>
                <w:szCs w:val="22"/>
                <w:bdr w:val="none" w:color="auto" w:sz="0" w:space="0"/>
              </w:rPr>
              <w:t xml:space="preserve"> · </w:t>
            </w:r>
            <w:r>
              <w:rPr>
                <w:rStyle w:val="26"/>
                <w:rFonts w:hint="default" w:ascii="Calibri" w:hAnsi="Calibri" w:eastAsia="SimSun" w:cs="Calibri"/>
                <w:sz w:val="22"/>
                <w:szCs w:val="22"/>
                <w:bdr w:val="none" w:color="auto" w:sz="0" w:space="0"/>
              </w:rPr>
              <w:t>[Email]</w:t>
            </w:r>
            <w:r>
              <w:rPr>
                <w:rFonts w:hint="default" w:ascii="Calibri" w:hAnsi="Calibri" w:eastAsia="SimSun" w:cs="Calibri"/>
                <w:color w:val="1A1A1A"/>
                <w:sz w:val="22"/>
                <w:szCs w:val="22"/>
                <w:bdr w:val="none" w:color="auto" w:sz="0" w:space="0"/>
              </w:rPr>
              <w:t xml:space="preserve"> · </w:t>
            </w:r>
            <w:r>
              <w:rPr>
                <w:rStyle w:val="26"/>
                <w:rFonts w:hint="default" w:ascii="Calibri" w:hAnsi="Calibri" w:eastAsia="SimSun" w:cs="Calibri"/>
                <w:sz w:val="22"/>
                <w:szCs w:val="22"/>
                <w:bdr w:val="none" w:color="auto" w:sz="0" w:space="0"/>
              </w:rPr>
              <w:t>[Phone]</w:t>
            </w:r>
          </w:p>
        </w:tc>
      </w:tr>
      <w:tr w14:paraId="5DD3C2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3200" w:type="dxa"/>
            <w:shd w:val="clear"/>
            <w:tcMar>
              <w:top w:w="80" w:type="dxa"/>
              <w:left w:w="0" w:type="dxa"/>
              <w:bottom w:w="80" w:type="dxa"/>
              <w:right w:w="200" w:type="dxa"/>
            </w:tcMar>
            <w:vAlign w:val="top"/>
          </w:tcPr>
          <w:p w14:paraId="0380C024">
            <w:pPr>
              <w:keepNext w:val="0"/>
              <w:keepLines w:val="0"/>
              <w:widowControl/>
              <w:suppressLineNumbers w:val="0"/>
              <w:spacing w:line="23" w:lineRule="atLeast"/>
              <w:jc w:val="left"/>
              <w:textAlignment w:val="top"/>
              <w:rPr>
                <w:rFonts w:hint="default" w:ascii="Calibri" w:hAnsi="Calibri" w:cs="Calibri"/>
                <w:b/>
                <w:bCs/>
                <w:color w:val="7A5118"/>
                <w:sz w:val="22"/>
                <w:szCs w:val="22"/>
              </w:rPr>
            </w:pPr>
            <w:r>
              <w:rPr>
                <w:rFonts w:hint="default" w:ascii="Calibri" w:hAnsi="Calibri" w:eastAsia="SimSun" w:cs="Calibri"/>
                <w:b/>
                <w:bCs/>
                <w:color w:val="7A5118"/>
                <w:sz w:val="22"/>
                <w:szCs w:val="22"/>
                <w:bdr w:val="none" w:color="auto" w:sz="0" w:space="0"/>
              </w:rPr>
              <w:t>Date</w:t>
            </w:r>
          </w:p>
        </w:tc>
        <w:tc>
          <w:tcPr>
            <w:tcW w:w="0" w:type="auto"/>
            <w:shd w:val="clear"/>
            <w:tcMar>
              <w:top w:w="80" w:type="dxa"/>
              <w:left w:w="0" w:type="dxa"/>
              <w:bottom w:w="80" w:type="dxa"/>
              <w:right w:w="200" w:type="dxa"/>
            </w:tcMar>
            <w:vAlign w:val="top"/>
          </w:tcPr>
          <w:p w14:paraId="502871A1">
            <w:pPr>
              <w:keepNext w:val="0"/>
              <w:keepLines w:val="0"/>
              <w:widowControl/>
              <w:suppressLineNumbers w:val="0"/>
              <w:spacing w:line="23" w:lineRule="atLeast"/>
              <w:jc w:val="left"/>
              <w:textAlignment w:val="top"/>
              <w:rPr>
                <w:rFonts w:hint="default" w:ascii="Calibri" w:hAnsi="Calibri" w:cs="Calibri"/>
                <w:color w:val="1A1A1A"/>
                <w:sz w:val="22"/>
                <w:szCs w:val="22"/>
              </w:rPr>
            </w:pPr>
            <w:r>
              <w:rPr>
                <w:rStyle w:val="26"/>
                <w:rFonts w:hint="default" w:ascii="Calibri" w:hAnsi="Calibri" w:eastAsia="SimSun" w:cs="Calibri"/>
                <w:sz w:val="22"/>
                <w:szCs w:val="22"/>
                <w:bdr w:val="none" w:color="auto" w:sz="0" w:space="0"/>
              </w:rPr>
              <w:t>[Date]</w:t>
            </w:r>
          </w:p>
        </w:tc>
      </w:tr>
      <w:tr w14:paraId="0DA431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3200" w:type="dxa"/>
            <w:shd w:val="clear"/>
            <w:tcMar>
              <w:top w:w="80" w:type="dxa"/>
              <w:left w:w="0" w:type="dxa"/>
              <w:bottom w:w="80" w:type="dxa"/>
              <w:right w:w="200" w:type="dxa"/>
            </w:tcMar>
            <w:vAlign w:val="top"/>
          </w:tcPr>
          <w:p w14:paraId="243B8636">
            <w:pPr>
              <w:keepNext w:val="0"/>
              <w:keepLines w:val="0"/>
              <w:widowControl/>
              <w:suppressLineNumbers w:val="0"/>
              <w:spacing w:line="23" w:lineRule="atLeast"/>
              <w:jc w:val="left"/>
              <w:textAlignment w:val="top"/>
              <w:rPr>
                <w:rFonts w:hint="default" w:ascii="Calibri" w:hAnsi="Calibri" w:cs="Calibri"/>
                <w:b/>
                <w:bCs/>
                <w:color w:val="7A5118"/>
                <w:sz w:val="22"/>
                <w:szCs w:val="22"/>
              </w:rPr>
            </w:pPr>
            <w:r>
              <w:rPr>
                <w:rFonts w:hint="default" w:ascii="Calibri" w:hAnsi="Calibri" w:eastAsia="SimSun" w:cs="Calibri"/>
                <w:b/>
                <w:bCs/>
                <w:color w:val="7A5118"/>
                <w:sz w:val="22"/>
                <w:szCs w:val="22"/>
                <w:bdr w:val="none" w:color="auto" w:sz="0" w:space="0"/>
              </w:rPr>
              <w:t>Version</w:t>
            </w:r>
          </w:p>
        </w:tc>
        <w:tc>
          <w:tcPr>
            <w:tcW w:w="0" w:type="auto"/>
            <w:shd w:val="clear"/>
            <w:tcMar>
              <w:top w:w="80" w:type="dxa"/>
              <w:left w:w="0" w:type="dxa"/>
              <w:bottom w:w="80" w:type="dxa"/>
              <w:right w:w="200" w:type="dxa"/>
            </w:tcMar>
            <w:vAlign w:val="top"/>
          </w:tcPr>
          <w:p w14:paraId="6C5D5ECD">
            <w:pPr>
              <w:keepNext w:val="0"/>
              <w:keepLines w:val="0"/>
              <w:widowControl/>
              <w:suppressLineNumbers w:val="0"/>
              <w:spacing w:line="23" w:lineRule="atLeast"/>
              <w:jc w:val="left"/>
              <w:textAlignment w:val="top"/>
              <w:rPr>
                <w:rFonts w:hint="default" w:ascii="Calibri" w:hAnsi="Calibri" w:cs="Calibri"/>
                <w:color w:val="1A1A1A"/>
                <w:sz w:val="22"/>
                <w:szCs w:val="22"/>
              </w:rPr>
            </w:pPr>
            <w:r>
              <w:rPr>
                <w:rFonts w:hint="default" w:ascii="Calibri" w:hAnsi="Calibri" w:eastAsia="SimSun" w:cs="Calibri"/>
                <w:color w:val="1A1A1A"/>
                <w:sz w:val="22"/>
                <w:szCs w:val="22"/>
                <w:bdr w:val="none" w:color="auto" w:sz="0" w:space="0"/>
              </w:rPr>
              <w:t>1.0 (Draft for discussion)</w:t>
            </w:r>
          </w:p>
        </w:tc>
      </w:tr>
    </w:tbl>
    <w:p w14:paraId="5D09890F">
      <w:pPr>
        <w:pStyle w:val="13"/>
        <w:keepNext w:val="0"/>
        <w:keepLines w:val="0"/>
        <w:widowControl/>
        <w:suppressLineNumbers w:val="0"/>
        <w:spacing w:before="0" w:beforeAutospacing="0" w:after="160" w:afterAutospacing="0" w:line="23" w:lineRule="atLeast"/>
        <w:ind w:left="0" w:right="0"/>
      </w:pPr>
      <w:r>
        <w:rPr>
          <w:rFonts w:hint="default" w:ascii="Calibri" w:hAnsi="Calibri" w:cs="Calibri"/>
        </w:rPr>
        <w:t>Confidential — not for distribution without written consent</w:t>
      </w:r>
    </w:p>
    <w:p w14:paraId="604858DA">
      <w:pPr>
        <w:pStyle w:val="3"/>
        <w:keepNext w:val="0"/>
        <w:keepLines w:val="0"/>
        <w:widowControl/>
        <w:suppressLineNumbers w:val="0"/>
        <w:spacing w:line="23" w:lineRule="atLeast"/>
      </w:pPr>
      <w:r>
        <w:t>Confidentiality &amp; Important Notice</w:t>
      </w:r>
    </w:p>
    <w:p w14:paraId="0260EB6A">
      <w:pPr>
        <w:pStyle w:val="23"/>
        <w:keepNext w:val="0"/>
        <w:keepLines w:val="0"/>
        <w:widowControl/>
        <w:suppressLineNumbers w:val="0"/>
        <w:spacing w:beforeAutospacing="1" w:afterAutospacing="1" w:line="23" w:lineRule="atLeast"/>
      </w:pPr>
      <w:r>
        <w:rPr>
          <w:rFonts w:hint="default" w:ascii="Calibri" w:hAnsi="Calibri" w:cs="Calibri"/>
          <w:color w:val="1A1A1A"/>
          <w:sz w:val="22"/>
          <w:szCs w:val="22"/>
        </w:rPr>
        <w:t xml:space="preserve">This Confidential Investor Memorandum (the “Memorandum”) is provided by </w:t>
      </w:r>
      <w:r>
        <w:rPr>
          <w:rStyle w:val="26"/>
          <w:rFonts w:hint="default" w:ascii="Calibri" w:hAnsi="Calibri" w:cs="Calibri"/>
          <w:sz w:val="22"/>
          <w:szCs w:val="22"/>
        </w:rPr>
        <w:t>[Investprop (Pty) Ltd]</w:t>
      </w:r>
      <w:r>
        <w:rPr>
          <w:rFonts w:hint="default" w:ascii="Calibri" w:hAnsi="Calibri" w:cs="Calibri"/>
          <w:color w:val="1A1A1A"/>
          <w:sz w:val="22"/>
          <w:szCs w:val="22"/>
        </w:rPr>
        <w:t xml:space="preserve"> (“Investprop”, “we”, “us”, the “Company”) to the named recipient solely to assist in evaluating a possible equity investment in the Company. It may not be copied, reproduced, forwarded, or disclosed to any third party, in whole or in part, without our prior written consent. </w:t>
      </w:r>
    </w:p>
    <w:p w14:paraId="0158A0BB">
      <w:pPr>
        <w:pStyle w:val="23"/>
        <w:keepNext w:val="0"/>
        <w:keepLines w:val="0"/>
        <w:widowControl/>
        <w:suppressLineNumbers w:val="0"/>
        <w:spacing w:beforeAutospacing="1" w:afterAutospacing="1" w:line="23" w:lineRule="atLeast"/>
      </w:pPr>
      <w:r>
        <w:rPr>
          <w:rFonts w:hint="default" w:ascii="Calibri" w:hAnsi="Calibri" w:cs="Calibri"/>
          <w:color w:val="1A1A1A"/>
          <w:sz w:val="22"/>
          <w:szCs w:val="22"/>
        </w:rPr>
        <w:t xml:space="preserve">This Memorandum is not a prospectus, an offer to the public, financial or investment advice, or a solicitation under the South African Companies Act, 2008 or the Financial Markets Act, 2012. It is an invitation to a limited number of sophisticated / qualifying investors to discuss a private placement. Any investment will be made only to persons who qualify under applicable exemptions and solely on the terms of definitive subscription and shareholders’ agreements. </w:t>
      </w:r>
    </w:p>
    <w:p w14:paraId="1F949AFC">
      <w:pPr>
        <w:pStyle w:val="23"/>
        <w:keepNext w:val="0"/>
        <w:keepLines w:val="0"/>
        <w:widowControl/>
        <w:suppressLineNumbers w:val="0"/>
        <w:spacing w:beforeAutospacing="1" w:afterAutospacing="1" w:line="23" w:lineRule="atLeast"/>
      </w:pPr>
      <w:r>
        <w:rPr>
          <w:rFonts w:hint="default" w:ascii="Calibri" w:hAnsi="Calibri" w:cs="Calibri"/>
          <w:color w:val="1A1A1A"/>
          <w:sz w:val="22"/>
          <w:szCs w:val="22"/>
        </w:rPr>
        <w:t xml:space="preserve">All forward-looking statements, projections, and market figures are estimates and illustrations only. They are not guarantees of future performance. Actual results may differ materially. Prospective investors must rely on their own due diligence and professional advisers. Investment in an early-stage company carries a high risk of loss, including the total loss of capital invested, and the investment is illiquid. </w:t>
      </w:r>
    </w:p>
    <w:p w14:paraId="72216AD8">
      <w:pPr>
        <w:pStyle w:val="23"/>
        <w:keepNext w:val="0"/>
        <w:keepLines w:val="0"/>
        <w:widowControl/>
        <w:suppressLineNumbers w:val="0"/>
        <w:spacing w:before="200" w:beforeAutospacing="0" w:after="200" w:afterAutospacing="0" w:line="23" w:lineRule="atLeast"/>
        <w:ind w:left="0" w:right="0"/>
      </w:pPr>
      <w:r>
        <w:rPr>
          <w:rStyle w:val="12"/>
          <w:rFonts w:hint="default" w:ascii="Calibri" w:hAnsi="Calibri" w:cs="Calibri"/>
          <w:color w:val="1A1A1A"/>
          <w:sz w:val="22"/>
          <w:szCs w:val="22"/>
          <w:shd w:val="clear" w:fill="FAF6EC"/>
        </w:rPr>
        <w:t>In one line:</w:t>
      </w:r>
      <w:r>
        <w:rPr>
          <w:rFonts w:hint="default" w:ascii="Calibri" w:hAnsi="Calibri" w:cs="Calibri"/>
          <w:color w:val="1A1A1A"/>
          <w:sz w:val="22"/>
          <w:szCs w:val="22"/>
          <w:shd w:val="clear" w:fill="FAF6EC"/>
        </w:rPr>
        <w:t xml:space="preserve"> Investprop has already built a full-stack, AI-powered property co-investment platform (live web app + native mobile app). We are raising growth capital to scale origination, complete our regulated go-to-market, and grow recurring revenue.</w:t>
      </w:r>
    </w:p>
    <w:p w14:paraId="1CB5034C">
      <w:pPr>
        <w:pStyle w:val="3"/>
        <w:keepNext w:val="0"/>
        <w:keepLines w:val="0"/>
        <w:widowControl/>
        <w:suppressLineNumbers w:val="0"/>
        <w:spacing w:line="23" w:lineRule="atLeast"/>
      </w:pPr>
      <w:r>
        <w:t>Contents</w:t>
      </w:r>
    </w:p>
    <w:p w14:paraId="1B1473E1">
      <w:pPr>
        <w:keepNext w:val="0"/>
        <w:keepLines w:val="0"/>
        <w:widowControl/>
        <w:numPr>
          <w:ilvl w:val="0"/>
          <w:numId w:val="1"/>
        </w:numPr>
        <w:suppressLineNumbers w:val="0"/>
        <w:spacing w:before="0" w:beforeAutospacing="1" w:after="80" w:afterAutospacing="0" w:line="23" w:lineRule="atLeast"/>
        <w:ind w:left="720" w:hanging="360"/>
      </w:pPr>
      <w:r>
        <w:rPr>
          <w:rFonts w:hint="default" w:ascii="Calibri" w:hAnsi="Calibri" w:cs="Calibri"/>
          <w:color w:val="1A1A1A"/>
          <w:sz w:val="22"/>
          <w:szCs w:val="22"/>
        </w:rPr>
        <w:t>Executive Summary</w:t>
      </w:r>
    </w:p>
    <w:p w14:paraId="2BFE5D6E">
      <w:pPr>
        <w:keepNext w:val="0"/>
        <w:keepLines w:val="0"/>
        <w:widowControl/>
        <w:numPr>
          <w:ilvl w:val="0"/>
          <w:numId w:val="1"/>
        </w:numPr>
        <w:suppressLineNumbers w:val="0"/>
        <w:spacing w:before="0" w:beforeAutospacing="1" w:after="80" w:afterAutospacing="0" w:line="23" w:lineRule="atLeast"/>
        <w:ind w:left="720" w:hanging="360"/>
      </w:pPr>
      <w:r>
        <w:rPr>
          <w:rFonts w:hint="default" w:ascii="Calibri" w:hAnsi="Calibri" w:cs="Calibri"/>
          <w:color w:val="1A1A1A"/>
          <w:sz w:val="22"/>
          <w:szCs w:val="22"/>
        </w:rPr>
        <w:t>The Problem</w:t>
      </w:r>
    </w:p>
    <w:p w14:paraId="6A5765D9">
      <w:pPr>
        <w:keepNext w:val="0"/>
        <w:keepLines w:val="0"/>
        <w:widowControl/>
        <w:numPr>
          <w:ilvl w:val="0"/>
          <w:numId w:val="1"/>
        </w:numPr>
        <w:suppressLineNumbers w:val="0"/>
        <w:spacing w:before="0" w:beforeAutospacing="1" w:after="80" w:afterAutospacing="0" w:line="23" w:lineRule="atLeast"/>
        <w:ind w:left="720" w:hanging="360"/>
      </w:pPr>
      <w:r>
        <w:rPr>
          <w:rFonts w:hint="default" w:ascii="Calibri" w:hAnsi="Calibri" w:cs="Calibri"/>
          <w:color w:val="1A1A1A"/>
          <w:sz w:val="22"/>
          <w:szCs w:val="22"/>
        </w:rPr>
        <w:t>The Solution — What Investprop Is</w:t>
      </w:r>
    </w:p>
    <w:p w14:paraId="34AAE3FF">
      <w:pPr>
        <w:keepNext w:val="0"/>
        <w:keepLines w:val="0"/>
        <w:widowControl/>
        <w:numPr>
          <w:ilvl w:val="0"/>
          <w:numId w:val="1"/>
        </w:numPr>
        <w:suppressLineNumbers w:val="0"/>
        <w:spacing w:before="0" w:beforeAutospacing="1" w:after="80" w:afterAutospacing="0" w:line="23" w:lineRule="atLeast"/>
        <w:ind w:left="720" w:hanging="360"/>
      </w:pPr>
      <w:r>
        <w:rPr>
          <w:rFonts w:hint="default" w:ascii="Calibri" w:hAnsi="Calibri" w:cs="Calibri"/>
          <w:color w:val="1A1A1A"/>
          <w:sz w:val="22"/>
          <w:szCs w:val="22"/>
        </w:rPr>
        <w:t>Product &amp; Technology</w:t>
      </w:r>
    </w:p>
    <w:p w14:paraId="1EAF3ABC">
      <w:pPr>
        <w:keepNext w:val="0"/>
        <w:keepLines w:val="0"/>
        <w:widowControl/>
        <w:numPr>
          <w:ilvl w:val="0"/>
          <w:numId w:val="1"/>
        </w:numPr>
        <w:suppressLineNumbers w:val="0"/>
        <w:spacing w:before="0" w:beforeAutospacing="1" w:after="80" w:afterAutospacing="0" w:line="23" w:lineRule="atLeast"/>
        <w:ind w:left="720" w:hanging="360"/>
      </w:pPr>
      <w:r>
        <w:rPr>
          <w:rFonts w:hint="default" w:ascii="Calibri" w:hAnsi="Calibri" w:cs="Calibri"/>
          <w:color w:val="1A1A1A"/>
          <w:sz w:val="22"/>
          <w:szCs w:val="22"/>
        </w:rPr>
        <w:t>Artificial Intelligence Layer</w:t>
      </w:r>
    </w:p>
    <w:p w14:paraId="1800F974">
      <w:pPr>
        <w:keepNext w:val="0"/>
        <w:keepLines w:val="0"/>
        <w:widowControl/>
        <w:numPr>
          <w:ilvl w:val="0"/>
          <w:numId w:val="1"/>
        </w:numPr>
        <w:suppressLineNumbers w:val="0"/>
        <w:spacing w:before="0" w:beforeAutospacing="1" w:after="80" w:afterAutospacing="0" w:line="23" w:lineRule="atLeast"/>
        <w:ind w:left="720" w:hanging="360"/>
      </w:pPr>
      <w:r>
        <w:rPr>
          <w:rFonts w:hint="default" w:ascii="Calibri" w:hAnsi="Calibri" w:cs="Calibri"/>
          <w:color w:val="1A1A1A"/>
          <w:sz w:val="22"/>
          <w:szCs w:val="22"/>
        </w:rPr>
        <w:t>The Market Opportunity</w:t>
      </w:r>
    </w:p>
    <w:p w14:paraId="3D32D236">
      <w:pPr>
        <w:keepNext w:val="0"/>
        <w:keepLines w:val="0"/>
        <w:widowControl/>
        <w:numPr>
          <w:ilvl w:val="0"/>
          <w:numId w:val="1"/>
        </w:numPr>
        <w:suppressLineNumbers w:val="0"/>
        <w:spacing w:before="0" w:beforeAutospacing="1" w:after="80" w:afterAutospacing="0" w:line="23" w:lineRule="atLeast"/>
        <w:ind w:left="720" w:hanging="360"/>
      </w:pPr>
      <w:r>
        <w:rPr>
          <w:rFonts w:hint="default" w:ascii="Calibri" w:hAnsi="Calibri" w:cs="Calibri"/>
          <w:color w:val="1A1A1A"/>
          <w:sz w:val="22"/>
          <w:szCs w:val="22"/>
        </w:rPr>
        <w:t>Business Model &amp; Revenue Streams</w:t>
      </w:r>
    </w:p>
    <w:p w14:paraId="012E1DD8">
      <w:pPr>
        <w:keepNext w:val="0"/>
        <w:keepLines w:val="0"/>
        <w:widowControl/>
        <w:numPr>
          <w:ilvl w:val="0"/>
          <w:numId w:val="1"/>
        </w:numPr>
        <w:suppressLineNumbers w:val="0"/>
        <w:spacing w:before="0" w:beforeAutospacing="1" w:after="80" w:afterAutospacing="0" w:line="23" w:lineRule="atLeast"/>
        <w:ind w:left="720" w:hanging="360"/>
      </w:pPr>
      <w:r>
        <w:rPr>
          <w:rFonts w:hint="default" w:ascii="Calibri" w:hAnsi="Calibri" w:cs="Calibri"/>
          <w:color w:val="1A1A1A"/>
          <w:sz w:val="22"/>
          <w:szCs w:val="22"/>
        </w:rPr>
        <w:t>Unit Economics (Illustrative)</w:t>
      </w:r>
    </w:p>
    <w:p w14:paraId="1006FEC8">
      <w:pPr>
        <w:keepNext w:val="0"/>
        <w:keepLines w:val="0"/>
        <w:widowControl/>
        <w:numPr>
          <w:ilvl w:val="0"/>
          <w:numId w:val="1"/>
        </w:numPr>
        <w:suppressLineNumbers w:val="0"/>
        <w:spacing w:before="0" w:beforeAutospacing="1" w:after="80" w:afterAutospacing="0" w:line="23" w:lineRule="atLeast"/>
        <w:ind w:left="720" w:hanging="360"/>
      </w:pPr>
      <w:r>
        <w:rPr>
          <w:rFonts w:hint="default" w:ascii="Calibri" w:hAnsi="Calibri" w:cs="Calibri"/>
          <w:color w:val="1A1A1A"/>
          <w:sz w:val="22"/>
          <w:szCs w:val="22"/>
        </w:rPr>
        <w:t>Traction &amp; Current Status</w:t>
      </w:r>
    </w:p>
    <w:p w14:paraId="4151F687">
      <w:pPr>
        <w:keepNext w:val="0"/>
        <w:keepLines w:val="0"/>
        <w:widowControl/>
        <w:numPr>
          <w:ilvl w:val="0"/>
          <w:numId w:val="1"/>
        </w:numPr>
        <w:suppressLineNumbers w:val="0"/>
        <w:spacing w:before="0" w:beforeAutospacing="1" w:after="80" w:afterAutospacing="0" w:line="23" w:lineRule="atLeast"/>
        <w:ind w:left="720" w:hanging="360"/>
      </w:pPr>
      <w:r>
        <w:rPr>
          <w:rFonts w:hint="default" w:ascii="Calibri" w:hAnsi="Calibri" w:cs="Calibri"/>
          <w:color w:val="1A1A1A"/>
          <w:sz w:val="22"/>
          <w:szCs w:val="22"/>
        </w:rPr>
        <w:t>Go-to-Market Strategy</w:t>
      </w:r>
    </w:p>
    <w:p w14:paraId="4E20063F">
      <w:pPr>
        <w:keepNext w:val="0"/>
        <w:keepLines w:val="0"/>
        <w:widowControl/>
        <w:numPr>
          <w:ilvl w:val="0"/>
          <w:numId w:val="1"/>
        </w:numPr>
        <w:suppressLineNumbers w:val="0"/>
        <w:spacing w:before="0" w:beforeAutospacing="1" w:after="80" w:afterAutospacing="0" w:line="23" w:lineRule="atLeast"/>
        <w:ind w:left="720" w:hanging="360"/>
      </w:pPr>
      <w:r>
        <w:rPr>
          <w:rFonts w:hint="default" w:ascii="Calibri" w:hAnsi="Calibri" w:cs="Calibri"/>
          <w:color w:val="1A1A1A"/>
          <w:sz w:val="22"/>
          <w:szCs w:val="22"/>
        </w:rPr>
        <w:t>Competitive Landscape</w:t>
      </w:r>
    </w:p>
    <w:p w14:paraId="3B3A1014">
      <w:pPr>
        <w:keepNext w:val="0"/>
        <w:keepLines w:val="0"/>
        <w:widowControl/>
        <w:numPr>
          <w:ilvl w:val="0"/>
          <w:numId w:val="1"/>
        </w:numPr>
        <w:suppressLineNumbers w:val="0"/>
        <w:spacing w:before="0" w:beforeAutospacing="1" w:after="80" w:afterAutospacing="0" w:line="23" w:lineRule="atLeast"/>
        <w:ind w:left="720" w:hanging="360"/>
      </w:pPr>
      <w:r>
        <w:rPr>
          <w:rFonts w:hint="default" w:ascii="Calibri" w:hAnsi="Calibri" w:cs="Calibri"/>
          <w:color w:val="1A1A1A"/>
          <w:sz w:val="22"/>
          <w:szCs w:val="22"/>
        </w:rPr>
        <w:t>Regulatory, Compliance &amp; Risk</w:t>
      </w:r>
    </w:p>
    <w:p w14:paraId="63EB712A">
      <w:pPr>
        <w:keepNext w:val="0"/>
        <w:keepLines w:val="0"/>
        <w:widowControl/>
        <w:numPr>
          <w:ilvl w:val="0"/>
          <w:numId w:val="1"/>
        </w:numPr>
        <w:suppressLineNumbers w:val="0"/>
        <w:spacing w:before="0" w:beforeAutospacing="1" w:after="80" w:afterAutospacing="0" w:line="23" w:lineRule="atLeast"/>
        <w:ind w:left="720" w:hanging="360"/>
      </w:pPr>
      <w:r>
        <w:rPr>
          <w:rFonts w:hint="default" w:ascii="Calibri" w:hAnsi="Calibri" w:cs="Calibri"/>
          <w:color w:val="1A1A1A"/>
          <w:sz w:val="22"/>
          <w:szCs w:val="22"/>
        </w:rPr>
        <w:t>Financial Projections (Illustrative)</w:t>
      </w:r>
    </w:p>
    <w:p w14:paraId="678F9C2F">
      <w:pPr>
        <w:keepNext w:val="0"/>
        <w:keepLines w:val="0"/>
        <w:widowControl/>
        <w:numPr>
          <w:ilvl w:val="0"/>
          <w:numId w:val="1"/>
        </w:numPr>
        <w:suppressLineNumbers w:val="0"/>
        <w:spacing w:before="0" w:beforeAutospacing="1" w:after="80" w:afterAutospacing="0" w:line="23" w:lineRule="atLeast"/>
        <w:ind w:left="720" w:hanging="360"/>
      </w:pPr>
      <w:r>
        <w:rPr>
          <w:rFonts w:hint="default" w:ascii="Calibri" w:hAnsi="Calibri" w:cs="Calibri"/>
          <w:color w:val="1A1A1A"/>
          <w:sz w:val="22"/>
          <w:szCs w:val="22"/>
        </w:rPr>
        <w:t>The Ask &amp; Use of Funds</w:t>
      </w:r>
    </w:p>
    <w:p w14:paraId="6AAFA99F">
      <w:pPr>
        <w:keepNext w:val="0"/>
        <w:keepLines w:val="0"/>
        <w:widowControl/>
        <w:numPr>
          <w:ilvl w:val="0"/>
          <w:numId w:val="1"/>
        </w:numPr>
        <w:suppressLineNumbers w:val="0"/>
        <w:spacing w:before="0" w:beforeAutospacing="1" w:after="80" w:afterAutospacing="0" w:line="23" w:lineRule="atLeast"/>
        <w:ind w:left="720" w:hanging="360"/>
      </w:pPr>
      <w:r>
        <w:rPr>
          <w:rFonts w:hint="default" w:ascii="Calibri" w:hAnsi="Calibri" w:cs="Calibri"/>
          <w:color w:val="1A1A1A"/>
          <w:sz w:val="22"/>
          <w:szCs w:val="22"/>
        </w:rPr>
        <w:t>Investment Terms (Indicative)</w:t>
      </w:r>
    </w:p>
    <w:p w14:paraId="69573C06">
      <w:pPr>
        <w:keepNext w:val="0"/>
        <w:keepLines w:val="0"/>
        <w:widowControl/>
        <w:numPr>
          <w:ilvl w:val="0"/>
          <w:numId w:val="1"/>
        </w:numPr>
        <w:suppressLineNumbers w:val="0"/>
        <w:spacing w:before="0" w:beforeAutospacing="1" w:after="80" w:afterAutospacing="0" w:line="23" w:lineRule="atLeast"/>
        <w:ind w:left="720" w:hanging="360"/>
      </w:pPr>
      <w:r>
        <w:rPr>
          <w:rFonts w:hint="default" w:ascii="Calibri" w:hAnsi="Calibri" w:cs="Calibri"/>
          <w:color w:val="1A1A1A"/>
          <w:sz w:val="22"/>
          <w:szCs w:val="22"/>
        </w:rPr>
        <w:t>Key Risks &amp; Mitigations</w:t>
      </w:r>
    </w:p>
    <w:p w14:paraId="60D16515">
      <w:pPr>
        <w:keepNext w:val="0"/>
        <w:keepLines w:val="0"/>
        <w:widowControl/>
        <w:numPr>
          <w:ilvl w:val="0"/>
          <w:numId w:val="1"/>
        </w:numPr>
        <w:suppressLineNumbers w:val="0"/>
        <w:spacing w:before="0" w:beforeAutospacing="1" w:after="80" w:afterAutospacing="0" w:line="23" w:lineRule="atLeast"/>
        <w:ind w:left="720" w:hanging="360"/>
      </w:pPr>
      <w:r>
        <w:rPr>
          <w:rFonts w:hint="default" w:ascii="Calibri" w:hAnsi="Calibri" w:cs="Calibri"/>
          <w:color w:val="1A1A1A"/>
          <w:sz w:val="22"/>
          <w:szCs w:val="22"/>
        </w:rPr>
        <w:t>Team &amp; Governance</w:t>
      </w:r>
    </w:p>
    <w:p w14:paraId="68A76BCD">
      <w:pPr>
        <w:keepNext w:val="0"/>
        <w:keepLines w:val="0"/>
        <w:widowControl/>
        <w:numPr>
          <w:ilvl w:val="0"/>
          <w:numId w:val="1"/>
        </w:numPr>
        <w:suppressLineNumbers w:val="0"/>
        <w:spacing w:before="0" w:beforeAutospacing="1" w:after="80" w:afterAutospacing="0" w:line="23" w:lineRule="atLeast"/>
        <w:ind w:left="720" w:hanging="360"/>
      </w:pPr>
      <w:r>
        <w:rPr>
          <w:rFonts w:hint="default" w:ascii="Calibri" w:hAnsi="Calibri" w:cs="Calibri"/>
          <w:color w:val="1A1A1A"/>
          <w:sz w:val="22"/>
          <w:szCs w:val="22"/>
        </w:rPr>
        <w:t>Proposed Next Steps</w:t>
      </w:r>
    </w:p>
    <w:p w14:paraId="0EE0073B">
      <w:pPr>
        <w:keepNext w:val="0"/>
        <w:keepLines w:val="0"/>
        <w:widowControl/>
        <w:numPr>
          <w:ilvl w:val="0"/>
          <w:numId w:val="1"/>
        </w:numPr>
        <w:suppressLineNumbers w:val="0"/>
        <w:spacing w:before="0" w:beforeAutospacing="1" w:after="80" w:afterAutospacing="0" w:line="23" w:lineRule="atLeast"/>
        <w:ind w:left="720" w:hanging="360"/>
      </w:pPr>
      <w:r>
        <w:rPr>
          <w:rFonts w:hint="default" w:ascii="Calibri" w:hAnsi="Calibri" w:cs="Calibri"/>
          <w:color w:val="1A1A1A"/>
          <w:sz w:val="22"/>
          <w:szCs w:val="22"/>
        </w:rPr>
        <w:t>Appendix A — Revenue Catalogue</w:t>
      </w:r>
    </w:p>
    <w:p w14:paraId="3EDE6F0A">
      <w:pPr>
        <w:keepNext w:val="0"/>
        <w:keepLines w:val="0"/>
        <w:widowControl/>
        <w:numPr>
          <w:ilvl w:val="0"/>
          <w:numId w:val="1"/>
        </w:numPr>
        <w:suppressLineNumbers w:val="0"/>
        <w:spacing w:before="0" w:beforeAutospacing="1" w:after="80" w:afterAutospacing="0" w:line="23" w:lineRule="atLeast"/>
        <w:ind w:left="720" w:hanging="360"/>
      </w:pPr>
      <w:r>
        <w:rPr>
          <w:rFonts w:hint="default" w:ascii="Calibri" w:hAnsi="Calibri" w:cs="Calibri"/>
          <w:color w:val="1A1A1A"/>
          <w:sz w:val="22"/>
          <w:szCs w:val="22"/>
        </w:rPr>
        <w:t>Appendix B — Glossary</w:t>
      </w:r>
    </w:p>
    <w:p w14:paraId="3ECD00BB">
      <w:pPr>
        <w:pStyle w:val="3"/>
        <w:keepNext w:val="0"/>
        <w:keepLines w:val="0"/>
        <w:widowControl/>
        <w:suppressLineNumbers w:val="0"/>
        <w:spacing w:line="23" w:lineRule="atLeast"/>
      </w:pPr>
      <w:r>
        <w:t>1. Executive Summary</w:t>
      </w:r>
    </w:p>
    <w:p w14:paraId="09C4EB56">
      <w:pPr>
        <w:pStyle w:val="23"/>
        <w:keepNext w:val="0"/>
        <w:keepLines w:val="0"/>
        <w:widowControl/>
        <w:suppressLineNumbers w:val="0"/>
        <w:spacing w:beforeAutospacing="1" w:afterAutospacing="1" w:line="23" w:lineRule="atLeast"/>
      </w:pPr>
      <w:r>
        <w:rPr>
          <w:rFonts w:hint="default" w:ascii="Calibri" w:hAnsi="Calibri" w:cs="Calibri"/>
          <w:color w:val="1A1A1A"/>
          <w:sz w:val="22"/>
          <w:szCs w:val="22"/>
        </w:rPr>
        <w:t xml:space="preserve">Property is South Africa’s most trusted store of wealth, yet direct participation remains out of reach for most people because of high capital barriers, opacity, illiquidity, and heavy compliance burden. At the same time, experienced investors lack a single, data-driven tool to source below-market deals, underwrite them objectively, and manage a portfolio end-to-end. </w:t>
      </w:r>
    </w:p>
    <w:p w14:paraId="6A92A4B3">
      <w:pPr>
        <w:pStyle w:val="23"/>
        <w:keepNext w:val="0"/>
        <w:keepLines w:val="0"/>
        <w:widowControl/>
        <w:suppressLineNumbers w:val="0"/>
        <w:spacing w:beforeAutospacing="1" w:afterAutospacing="1" w:line="23" w:lineRule="atLeast"/>
      </w:pPr>
      <w:r>
        <w:rPr>
          <w:rStyle w:val="12"/>
          <w:rFonts w:hint="default" w:ascii="Calibri" w:hAnsi="Calibri" w:cs="Calibri"/>
          <w:color w:val="1A1A1A"/>
          <w:sz w:val="22"/>
          <w:szCs w:val="22"/>
        </w:rPr>
        <w:t>Investprop</w:t>
      </w:r>
      <w:r>
        <w:rPr>
          <w:rFonts w:hint="default" w:ascii="Calibri" w:hAnsi="Calibri" w:cs="Calibri"/>
          <w:color w:val="1A1A1A"/>
          <w:sz w:val="22"/>
          <w:szCs w:val="22"/>
        </w:rPr>
        <w:t xml:space="preserve"> is a fully-built, AI-powered platform that solves both sides of this market. It makes property investment accessible from </w:t>
      </w:r>
      <w:r>
        <w:rPr>
          <w:rStyle w:val="26"/>
          <w:rFonts w:hint="default" w:ascii="Calibri" w:hAnsi="Calibri" w:cs="Calibri"/>
          <w:sz w:val="22"/>
          <w:szCs w:val="22"/>
        </w:rPr>
        <w:t>[R10,000]</w:t>
      </w:r>
      <w:r>
        <w:rPr>
          <w:rFonts w:hint="default" w:ascii="Calibri" w:hAnsi="Calibri" w:cs="Calibri"/>
          <w:color w:val="1A1A1A"/>
          <w:sz w:val="22"/>
          <w:szCs w:val="22"/>
        </w:rPr>
        <w:t xml:space="preserve"> through fractional ownership held inside ring-fenced Special Purpose Vehicles (SPVs), and it arms serious investors with an AI underwriting co-pilot, a nationwide distressed-property finder, institutional-grade deal analytics, and a full seller/landlord toolkit. </w:t>
      </w:r>
    </w:p>
    <w:p w14:paraId="61EEDBEE">
      <w:pPr>
        <w:pStyle w:val="23"/>
        <w:keepNext w:val="0"/>
        <w:keepLines w:val="0"/>
        <w:widowControl/>
        <w:suppressLineNumbers w:val="0"/>
        <w:spacing w:beforeAutospacing="1" w:afterAutospacing="1" w:line="23" w:lineRule="atLeast"/>
      </w:pPr>
      <w:r>
        <w:rPr>
          <w:rFonts w:hint="default" w:ascii="Calibri" w:hAnsi="Calibri" w:cs="Calibri"/>
          <w:color w:val="1A1A1A"/>
          <w:sz w:val="22"/>
          <w:szCs w:val="22"/>
        </w:rPr>
        <w:t xml:space="preserve">The platform is </w:t>
      </w:r>
      <w:r>
        <w:rPr>
          <w:rStyle w:val="12"/>
          <w:rFonts w:hint="default" w:ascii="Calibri" w:hAnsi="Calibri" w:cs="Calibri"/>
          <w:color w:val="1A1A1A"/>
          <w:sz w:val="22"/>
          <w:szCs w:val="22"/>
        </w:rPr>
        <w:t>live today</w:t>
      </w:r>
      <w:r>
        <w:rPr>
          <w:rFonts w:hint="default" w:ascii="Calibri" w:hAnsi="Calibri" w:cs="Calibri"/>
          <w:color w:val="1A1A1A"/>
          <w:sz w:val="22"/>
          <w:szCs w:val="22"/>
        </w:rPr>
        <w:t xml:space="preserve"> as a production web application and a native mobile app (Android/iOS), built on a modern, secure, type-safe stack. Revenue is diversified across </w:t>
      </w:r>
      <w:r>
        <w:rPr>
          <w:rStyle w:val="12"/>
          <w:rFonts w:hint="default" w:ascii="Calibri" w:hAnsi="Calibri" w:cs="Calibri"/>
          <w:color w:val="1A1A1A"/>
          <w:sz w:val="22"/>
          <w:szCs w:val="22"/>
        </w:rPr>
        <w:t>recurring SaaS subscriptions</w:t>
      </w:r>
      <w:r>
        <w:rPr>
          <w:rFonts w:hint="default" w:ascii="Calibri" w:hAnsi="Calibri" w:cs="Calibri"/>
          <w:color w:val="1A1A1A"/>
          <w:sz w:val="22"/>
          <w:szCs w:val="22"/>
        </w:rPr>
        <w:t xml:space="preserve"> and </w:t>
      </w:r>
      <w:r>
        <w:rPr>
          <w:rStyle w:val="12"/>
          <w:rFonts w:hint="default" w:ascii="Calibri" w:hAnsi="Calibri" w:cs="Calibri"/>
          <w:color w:val="1A1A1A"/>
          <w:sz w:val="22"/>
          <w:szCs w:val="22"/>
        </w:rPr>
        <w:t>transaction-based platform fees</w:t>
      </w:r>
      <w:r>
        <w:rPr>
          <w:rFonts w:hint="default" w:ascii="Calibri" w:hAnsi="Calibri" w:cs="Calibri"/>
          <w:color w:val="1A1A1A"/>
          <w:sz w:val="22"/>
          <w:szCs w:val="22"/>
        </w:rPr>
        <w:t xml:space="preserve"> on capital raised, distributions, secondary trades, and seller-side facilitation — so the business earns both while deals are sourced and while they are held. </w:t>
      </w:r>
    </w:p>
    <w:p w14:paraId="3D38FE68">
      <w:pPr>
        <w:pStyle w:val="23"/>
        <w:keepNext w:val="0"/>
        <w:keepLines w:val="0"/>
        <w:widowControl/>
        <w:suppressLineNumbers w:val="0"/>
        <w:spacing w:beforeAutospacing="1" w:afterAutospacing="1" w:line="23" w:lineRule="atLeast"/>
      </w:pPr>
      <w:r>
        <w:rPr>
          <w:rFonts w:hint="default" w:ascii="Calibri" w:hAnsi="Calibri" w:cs="Calibri"/>
          <w:color w:val="1A1A1A"/>
          <w:sz w:val="22"/>
          <w:szCs w:val="22"/>
        </w:rPr>
        <w:t xml:space="preserve">We are raising </w:t>
      </w:r>
      <w:r>
        <w:rPr>
          <w:rStyle w:val="26"/>
          <w:rFonts w:hint="default" w:ascii="Calibri" w:hAnsi="Calibri" w:cs="Calibri"/>
          <w:sz w:val="22"/>
          <w:szCs w:val="22"/>
        </w:rPr>
        <w:t>[R__ million]</w:t>
      </w:r>
      <w:r>
        <w:rPr>
          <w:rFonts w:hint="default" w:ascii="Calibri" w:hAnsi="Calibri" w:cs="Calibri"/>
          <w:color w:val="1A1A1A"/>
          <w:sz w:val="22"/>
          <w:szCs w:val="22"/>
        </w:rPr>
        <w:t xml:space="preserve"> to scale deal origination, complete the FSCA-regulated go-to-market via an accredited partner, accelerate growth in paid subscriptions, and build out operations. </w:t>
      </w:r>
    </w:p>
    <w:p w14:paraId="0CE84E78">
      <w:pPr>
        <w:keepNext w:val="0"/>
        <w:keepLines w:val="0"/>
        <w:widowControl/>
        <w:suppressLineNumbers w:val="0"/>
        <w:spacing w:before="120" w:beforeAutospacing="0" w:after="200" w:afterAutospacing="0" w:line="23" w:lineRule="atLeast"/>
        <w:ind w:left="0" w:right="360"/>
        <w:jc w:val="left"/>
        <w:rPr>
          <w:rFonts w:hint="default" w:ascii="Calibri" w:hAnsi="Calibri" w:cs="Calibri"/>
          <w:b/>
          <w:bCs/>
          <w:color w:val="7A5118"/>
          <w:sz w:val="36"/>
          <w:szCs w:val="36"/>
        </w:rPr>
      </w:pPr>
      <w:r>
        <w:rPr>
          <w:rFonts w:hint="default" w:ascii="Calibri" w:hAnsi="Calibri" w:eastAsia="SimSun" w:cs="Calibri"/>
          <w:b/>
          <w:bCs/>
          <w:color w:val="7A5118"/>
          <w:sz w:val="36"/>
          <w:szCs w:val="36"/>
        </w:rPr>
        <w:t>From R10k</w:t>
      </w:r>
    </w:p>
    <w:p w14:paraId="18C470C7">
      <w:pPr>
        <w:keepNext w:val="0"/>
        <w:keepLines w:val="0"/>
        <w:widowControl/>
        <w:suppressLineNumbers w:val="0"/>
        <w:spacing w:before="120" w:beforeAutospacing="0" w:after="200" w:afterAutospacing="0" w:line="23" w:lineRule="atLeast"/>
        <w:ind w:left="0" w:right="360"/>
        <w:jc w:val="left"/>
        <w:rPr>
          <w:rFonts w:hint="default" w:ascii="Calibri" w:hAnsi="Calibri" w:cs="Calibri"/>
          <w:color w:val="4A4A4A"/>
          <w:sz w:val="19"/>
          <w:szCs w:val="19"/>
        </w:rPr>
      </w:pPr>
      <w:r>
        <w:rPr>
          <w:rFonts w:hint="default" w:ascii="Calibri" w:hAnsi="Calibri" w:eastAsia="SimSun" w:cs="Calibri"/>
          <w:color w:val="4A4A4A"/>
          <w:sz w:val="19"/>
          <w:szCs w:val="19"/>
        </w:rPr>
        <w:t>Minimum fractional ticket (target)</w:t>
      </w:r>
    </w:p>
    <w:p w14:paraId="56D9A74A">
      <w:pPr>
        <w:keepNext w:val="0"/>
        <w:keepLines w:val="0"/>
        <w:widowControl/>
        <w:suppressLineNumbers w:val="0"/>
        <w:spacing w:before="120" w:beforeAutospacing="0" w:after="200" w:afterAutospacing="0" w:line="23" w:lineRule="atLeast"/>
        <w:ind w:left="0" w:right="360"/>
        <w:jc w:val="left"/>
        <w:rPr>
          <w:rFonts w:hint="default" w:ascii="Calibri" w:hAnsi="Calibri" w:cs="Calibri"/>
          <w:b/>
          <w:bCs/>
          <w:color w:val="7A5118"/>
          <w:sz w:val="36"/>
          <w:szCs w:val="36"/>
        </w:rPr>
      </w:pPr>
      <w:r>
        <w:rPr>
          <w:rFonts w:hint="default" w:ascii="Calibri" w:hAnsi="Calibri" w:eastAsia="SimSun" w:cs="Calibri"/>
          <w:b/>
          <w:bCs/>
          <w:color w:val="7A5118"/>
          <w:sz w:val="36"/>
          <w:szCs w:val="36"/>
        </w:rPr>
        <w:t>2 apps</w:t>
      </w:r>
    </w:p>
    <w:p w14:paraId="39453E62">
      <w:pPr>
        <w:keepNext w:val="0"/>
        <w:keepLines w:val="0"/>
        <w:widowControl/>
        <w:suppressLineNumbers w:val="0"/>
        <w:spacing w:before="120" w:beforeAutospacing="0" w:after="200" w:afterAutospacing="0" w:line="23" w:lineRule="atLeast"/>
        <w:ind w:left="0" w:right="360"/>
        <w:jc w:val="left"/>
        <w:rPr>
          <w:rFonts w:hint="default" w:ascii="Calibri" w:hAnsi="Calibri" w:cs="Calibri"/>
          <w:color w:val="4A4A4A"/>
          <w:sz w:val="19"/>
          <w:szCs w:val="19"/>
        </w:rPr>
      </w:pPr>
      <w:r>
        <w:rPr>
          <w:rFonts w:hint="default" w:ascii="Calibri" w:hAnsi="Calibri" w:eastAsia="SimSun" w:cs="Calibri"/>
          <w:color w:val="4A4A4A"/>
          <w:sz w:val="19"/>
          <w:szCs w:val="19"/>
        </w:rPr>
        <w:t>Live web + native mobile</w:t>
      </w:r>
    </w:p>
    <w:p w14:paraId="10BC47B1">
      <w:pPr>
        <w:keepNext w:val="0"/>
        <w:keepLines w:val="0"/>
        <w:widowControl/>
        <w:suppressLineNumbers w:val="0"/>
        <w:spacing w:before="120" w:beforeAutospacing="0" w:after="200" w:afterAutospacing="0" w:line="23" w:lineRule="atLeast"/>
        <w:ind w:left="0" w:right="360"/>
        <w:jc w:val="left"/>
        <w:rPr>
          <w:rFonts w:hint="default" w:ascii="Calibri" w:hAnsi="Calibri" w:cs="Calibri"/>
          <w:b/>
          <w:bCs/>
          <w:color w:val="7A5118"/>
          <w:sz w:val="36"/>
          <w:szCs w:val="36"/>
        </w:rPr>
      </w:pPr>
      <w:r>
        <w:rPr>
          <w:rFonts w:hint="default" w:ascii="Calibri" w:hAnsi="Calibri" w:eastAsia="SimSun" w:cs="Calibri"/>
          <w:b/>
          <w:bCs/>
          <w:color w:val="7A5118"/>
          <w:sz w:val="36"/>
          <w:szCs w:val="36"/>
        </w:rPr>
        <w:t>6 tiers</w:t>
      </w:r>
    </w:p>
    <w:p w14:paraId="71636651">
      <w:pPr>
        <w:keepNext w:val="0"/>
        <w:keepLines w:val="0"/>
        <w:widowControl/>
        <w:suppressLineNumbers w:val="0"/>
        <w:spacing w:before="120" w:beforeAutospacing="0" w:after="200" w:afterAutospacing="0" w:line="23" w:lineRule="atLeast"/>
        <w:ind w:left="0" w:right="360"/>
        <w:jc w:val="left"/>
        <w:rPr>
          <w:rFonts w:hint="default" w:ascii="Calibri" w:hAnsi="Calibri" w:cs="Calibri"/>
          <w:color w:val="4A4A4A"/>
          <w:sz w:val="19"/>
          <w:szCs w:val="19"/>
        </w:rPr>
      </w:pPr>
      <w:r>
        <w:rPr>
          <w:rFonts w:hint="default" w:ascii="Calibri" w:hAnsi="Calibri" w:eastAsia="SimSun" w:cs="Calibri"/>
          <w:color w:val="4A4A4A"/>
          <w:sz w:val="19"/>
          <w:szCs w:val="19"/>
        </w:rPr>
        <w:t>Subscription plans live</w:t>
      </w:r>
    </w:p>
    <w:p w14:paraId="790DED55">
      <w:pPr>
        <w:keepNext w:val="0"/>
        <w:keepLines w:val="0"/>
        <w:widowControl/>
        <w:suppressLineNumbers w:val="0"/>
        <w:spacing w:before="120" w:beforeAutospacing="0" w:after="200" w:afterAutospacing="0" w:line="23" w:lineRule="atLeast"/>
        <w:ind w:left="0" w:right="360"/>
        <w:jc w:val="left"/>
        <w:rPr>
          <w:rFonts w:hint="default" w:ascii="Calibri" w:hAnsi="Calibri" w:cs="Calibri"/>
          <w:b/>
          <w:bCs/>
          <w:color w:val="7A5118"/>
          <w:sz w:val="36"/>
          <w:szCs w:val="36"/>
        </w:rPr>
      </w:pPr>
      <w:r>
        <w:rPr>
          <w:rFonts w:hint="default" w:ascii="Calibri" w:hAnsi="Calibri" w:eastAsia="SimSun" w:cs="Calibri"/>
          <w:b/>
          <w:bCs/>
          <w:color w:val="7A5118"/>
          <w:sz w:val="36"/>
          <w:szCs w:val="36"/>
        </w:rPr>
        <w:t>10+</w:t>
      </w:r>
    </w:p>
    <w:p w14:paraId="728F60EB">
      <w:pPr>
        <w:keepNext w:val="0"/>
        <w:keepLines w:val="0"/>
        <w:widowControl/>
        <w:suppressLineNumbers w:val="0"/>
        <w:spacing w:before="120" w:beforeAutospacing="0" w:after="200" w:afterAutospacing="0" w:line="23" w:lineRule="atLeast"/>
        <w:ind w:left="0" w:right="360"/>
        <w:jc w:val="left"/>
        <w:rPr>
          <w:rFonts w:hint="default" w:ascii="Calibri" w:hAnsi="Calibri" w:cs="Calibri"/>
          <w:color w:val="4A4A4A"/>
          <w:sz w:val="19"/>
          <w:szCs w:val="19"/>
        </w:rPr>
      </w:pPr>
      <w:r>
        <w:rPr>
          <w:rFonts w:hint="default" w:ascii="Calibri" w:hAnsi="Calibri" w:eastAsia="SimSun" w:cs="Calibri"/>
          <w:color w:val="4A4A4A"/>
          <w:sz w:val="19"/>
          <w:szCs w:val="19"/>
        </w:rPr>
        <w:t>Distinct revenue lines</w:t>
      </w:r>
    </w:p>
    <w:p w14:paraId="1363B004">
      <w:pPr>
        <w:pStyle w:val="3"/>
        <w:keepNext w:val="0"/>
        <w:keepLines w:val="0"/>
        <w:widowControl/>
        <w:suppressLineNumbers w:val="0"/>
        <w:spacing w:line="23" w:lineRule="atLeast"/>
      </w:pPr>
      <w:r>
        <w:t>2. The Problem</w:t>
      </w:r>
    </w:p>
    <w:p w14:paraId="4C00D29C">
      <w:pPr>
        <w:pStyle w:val="4"/>
        <w:keepNext w:val="0"/>
        <w:keepLines w:val="0"/>
        <w:widowControl/>
        <w:suppressLineNumbers w:val="0"/>
        <w:spacing w:line="23" w:lineRule="atLeast"/>
      </w:pPr>
      <w:r>
        <w:t>For everyday investors</w:t>
      </w:r>
    </w:p>
    <w:p w14:paraId="4211C71D">
      <w:pPr>
        <w:keepNext w:val="0"/>
        <w:keepLines w:val="0"/>
        <w:widowControl/>
        <w:numPr>
          <w:ilvl w:val="0"/>
          <w:numId w:val="2"/>
        </w:numPr>
        <w:suppressLineNumbers w:val="0"/>
        <w:spacing w:before="0" w:beforeAutospacing="1" w:after="80" w:afterAutospacing="0" w:line="23" w:lineRule="atLeast"/>
        <w:ind w:left="0" w:hanging="360"/>
      </w:pPr>
      <w:r>
        <w:rPr>
          <w:rStyle w:val="12"/>
          <w:rFonts w:hint="default" w:ascii="Calibri" w:hAnsi="Calibri" w:cs="Calibri"/>
          <w:color w:val="1A1A1A"/>
          <w:sz w:val="22"/>
          <w:szCs w:val="22"/>
          <w:bdr w:val="none" w:color="auto" w:sz="0" w:space="0"/>
        </w:rPr>
        <w:t>Capital barrier:</w:t>
      </w:r>
      <w:r>
        <w:rPr>
          <w:rFonts w:hint="default" w:ascii="Calibri" w:hAnsi="Calibri" w:cs="Calibri"/>
          <w:color w:val="1A1A1A"/>
          <w:sz w:val="22"/>
          <w:szCs w:val="22"/>
          <w:bdr w:val="none" w:color="auto" w:sz="0" w:space="0"/>
        </w:rPr>
        <w:t xml:space="preserve"> A single buy-to-let property requires a large deposit, bond qualification, and transfer costs — excluding most South Africans.</w:t>
      </w:r>
    </w:p>
    <w:p w14:paraId="006C8A3F">
      <w:pPr>
        <w:keepNext w:val="0"/>
        <w:keepLines w:val="0"/>
        <w:widowControl/>
        <w:numPr>
          <w:ilvl w:val="0"/>
          <w:numId w:val="2"/>
        </w:numPr>
        <w:suppressLineNumbers w:val="0"/>
        <w:spacing w:before="0" w:beforeAutospacing="1" w:after="80" w:afterAutospacing="0" w:line="23" w:lineRule="atLeast"/>
        <w:ind w:left="0" w:hanging="360"/>
      </w:pPr>
      <w:r>
        <w:rPr>
          <w:rStyle w:val="12"/>
          <w:rFonts w:hint="default" w:ascii="Calibri" w:hAnsi="Calibri" w:cs="Calibri"/>
          <w:color w:val="1A1A1A"/>
          <w:sz w:val="22"/>
          <w:szCs w:val="22"/>
          <w:bdr w:val="none" w:color="auto" w:sz="0" w:space="0"/>
        </w:rPr>
        <w:t>Opacity &amp; trust:</w:t>
      </w:r>
      <w:r>
        <w:rPr>
          <w:rFonts w:hint="default" w:ascii="Calibri" w:hAnsi="Calibri" w:cs="Calibri"/>
          <w:color w:val="1A1A1A"/>
          <w:sz w:val="22"/>
          <w:szCs w:val="22"/>
          <w:bdr w:val="none" w:color="auto" w:sz="0" w:space="0"/>
        </w:rPr>
        <w:t xml:space="preserve"> Private property syndications are often informal, with weak reporting and governance.</w:t>
      </w:r>
    </w:p>
    <w:p w14:paraId="20FA9449">
      <w:pPr>
        <w:keepNext w:val="0"/>
        <w:keepLines w:val="0"/>
        <w:widowControl/>
        <w:numPr>
          <w:ilvl w:val="0"/>
          <w:numId w:val="2"/>
        </w:numPr>
        <w:suppressLineNumbers w:val="0"/>
        <w:spacing w:before="0" w:beforeAutospacing="1" w:after="80" w:afterAutospacing="0" w:line="23" w:lineRule="atLeast"/>
        <w:ind w:left="0" w:hanging="360"/>
      </w:pPr>
      <w:r>
        <w:rPr>
          <w:rStyle w:val="12"/>
          <w:rFonts w:hint="default" w:ascii="Calibri" w:hAnsi="Calibri" w:cs="Calibri"/>
          <w:color w:val="1A1A1A"/>
          <w:sz w:val="22"/>
          <w:szCs w:val="22"/>
          <w:bdr w:val="none" w:color="auto" w:sz="0" w:space="0"/>
        </w:rPr>
        <w:t>Illiquidity:</w:t>
      </w:r>
      <w:r>
        <w:rPr>
          <w:rFonts w:hint="default" w:ascii="Calibri" w:hAnsi="Calibri" w:cs="Calibri"/>
          <w:color w:val="1A1A1A"/>
          <w:sz w:val="22"/>
          <w:szCs w:val="22"/>
          <w:bdr w:val="none" w:color="auto" w:sz="0" w:space="0"/>
        </w:rPr>
        <w:t xml:space="preserve"> Exiting a direct property holding is slow and expensive.</w:t>
      </w:r>
    </w:p>
    <w:p w14:paraId="59ACAEDC">
      <w:pPr>
        <w:keepNext w:val="0"/>
        <w:keepLines w:val="0"/>
        <w:widowControl/>
        <w:numPr>
          <w:ilvl w:val="0"/>
          <w:numId w:val="2"/>
        </w:numPr>
        <w:suppressLineNumbers w:val="0"/>
        <w:spacing w:before="0" w:beforeAutospacing="1" w:after="80" w:afterAutospacing="0" w:line="23" w:lineRule="atLeast"/>
        <w:ind w:left="0" w:hanging="360"/>
      </w:pPr>
      <w:r>
        <w:rPr>
          <w:rStyle w:val="12"/>
          <w:rFonts w:hint="default" w:ascii="Calibri" w:hAnsi="Calibri" w:cs="Calibri"/>
          <w:color w:val="1A1A1A"/>
          <w:sz w:val="22"/>
          <w:szCs w:val="22"/>
          <w:bdr w:val="none" w:color="auto" w:sz="0" w:space="0"/>
        </w:rPr>
        <w:t>Compliance:</w:t>
      </w:r>
      <w:r>
        <w:rPr>
          <w:rFonts w:hint="default" w:ascii="Calibri" w:hAnsi="Calibri" w:cs="Calibri"/>
          <w:color w:val="1A1A1A"/>
          <w:sz w:val="22"/>
          <w:szCs w:val="22"/>
          <w:bdr w:val="none" w:color="auto" w:sz="0" w:space="0"/>
        </w:rPr>
        <w:t xml:space="preserve"> FICA, POPIA, and financial-services rules are hard for informal operators to meet.</w:t>
      </w:r>
    </w:p>
    <w:p w14:paraId="570944AC">
      <w:pPr>
        <w:pStyle w:val="4"/>
        <w:keepNext w:val="0"/>
        <w:keepLines w:val="0"/>
        <w:widowControl/>
        <w:suppressLineNumbers w:val="0"/>
        <w:spacing w:line="23" w:lineRule="atLeast"/>
      </w:pPr>
      <w:r>
        <w:t>For serious / professional investors</w:t>
      </w:r>
    </w:p>
    <w:p w14:paraId="02E8A5C6">
      <w:pPr>
        <w:keepNext w:val="0"/>
        <w:keepLines w:val="0"/>
        <w:widowControl/>
        <w:numPr>
          <w:ilvl w:val="0"/>
          <w:numId w:val="3"/>
        </w:numPr>
        <w:suppressLineNumbers w:val="0"/>
        <w:spacing w:before="0" w:beforeAutospacing="1" w:after="80" w:afterAutospacing="0" w:line="23" w:lineRule="atLeast"/>
        <w:ind w:left="0" w:hanging="360"/>
      </w:pPr>
      <w:r>
        <w:rPr>
          <w:rStyle w:val="12"/>
          <w:rFonts w:hint="default" w:ascii="Calibri" w:hAnsi="Calibri" w:cs="Calibri"/>
          <w:color w:val="1A1A1A"/>
          <w:sz w:val="22"/>
          <w:szCs w:val="22"/>
          <w:bdr w:val="none" w:color="auto" w:sz="0" w:space="0"/>
        </w:rPr>
        <w:t>Deal sourcing is manual:</w:t>
      </w:r>
      <w:r>
        <w:rPr>
          <w:rFonts w:hint="default" w:ascii="Calibri" w:hAnsi="Calibri" w:cs="Calibri"/>
          <w:color w:val="1A1A1A"/>
          <w:sz w:val="22"/>
          <w:szCs w:val="22"/>
          <w:bdr w:val="none" w:color="auto" w:sz="0" w:space="0"/>
        </w:rPr>
        <w:t xml:space="preserve"> Distressed and below-market stock is scattered across auction houses, bank repossession pages, and sheriff sales.</w:t>
      </w:r>
    </w:p>
    <w:p w14:paraId="320CFA93">
      <w:pPr>
        <w:keepNext w:val="0"/>
        <w:keepLines w:val="0"/>
        <w:widowControl/>
        <w:numPr>
          <w:ilvl w:val="0"/>
          <w:numId w:val="3"/>
        </w:numPr>
        <w:suppressLineNumbers w:val="0"/>
        <w:spacing w:before="0" w:beforeAutospacing="1" w:after="80" w:afterAutospacing="0" w:line="23" w:lineRule="atLeast"/>
        <w:ind w:left="0" w:hanging="360"/>
      </w:pPr>
      <w:r>
        <w:rPr>
          <w:rStyle w:val="12"/>
          <w:rFonts w:hint="default" w:ascii="Calibri" w:hAnsi="Calibri" w:cs="Calibri"/>
          <w:color w:val="1A1A1A"/>
          <w:sz w:val="22"/>
          <w:szCs w:val="22"/>
          <w:bdr w:val="none" w:color="auto" w:sz="0" w:space="0"/>
        </w:rPr>
        <w:t>Underwriting is inconsistent:</w:t>
      </w:r>
      <w:r>
        <w:rPr>
          <w:rFonts w:hint="default" w:ascii="Calibri" w:hAnsi="Calibri" w:cs="Calibri"/>
          <w:color w:val="1A1A1A"/>
          <w:sz w:val="22"/>
          <w:szCs w:val="22"/>
          <w:bdr w:val="none" w:color="auto" w:sz="0" w:space="0"/>
        </w:rPr>
        <w:t xml:space="preserve"> Investors rely on spreadsheets and gut feel, with no independent grade on a deal.</w:t>
      </w:r>
    </w:p>
    <w:p w14:paraId="3CF86F73">
      <w:pPr>
        <w:keepNext w:val="0"/>
        <w:keepLines w:val="0"/>
        <w:widowControl/>
        <w:numPr>
          <w:ilvl w:val="0"/>
          <w:numId w:val="3"/>
        </w:numPr>
        <w:suppressLineNumbers w:val="0"/>
        <w:spacing w:before="0" w:beforeAutospacing="1" w:after="80" w:afterAutospacing="0" w:line="23" w:lineRule="atLeast"/>
        <w:ind w:left="0" w:hanging="360"/>
      </w:pPr>
      <w:r>
        <w:rPr>
          <w:rStyle w:val="12"/>
          <w:rFonts w:hint="default" w:ascii="Calibri" w:hAnsi="Calibri" w:cs="Calibri"/>
          <w:color w:val="1A1A1A"/>
          <w:sz w:val="22"/>
          <w:szCs w:val="22"/>
          <w:bdr w:val="none" w:color="auto" w:sz="0" w:space="0"/>
        </w:rPr>
        <w:t>No single cockpit:</w:t>
      </w:r>
      <w:r>
        <w:rPr>
          <w:rFonts w:hint="default" w:ascii="Calibri" w:hAnsi="Calibri" w:cs="Calibri"/>
          <w:color w:val="1A1A1A"/>
          <w:sz w:val="22"/>
          <w:szCs w:val="22"/>
          <w:bdr w:val="none" w:color="auto" w:sz="0" w:space="0"/>
        </w:rPr>
        <w:t xml:space="preserve"> Sourcing, analysis, co-investment, and portfolio reporting live in different places.</w:t>
      </w:r>
    </w:p>
    <w:p w14:paraId="67E7B1BC">
      <w:pPr>
        <w:pStyle w:val="4"/>
        <w:keepNext w:val="0"/>
        <w:keepLines w:val="0"/>
        <w:widowControl/>
        <w:suppressLineNumbers w:val="0"/>
        <w:spacing w:line="23" w:lineRule="atLeast"/>
      </w:pPr>
      <w:r>
        <w:t>For sellers &amp; landlords</w:t>
      </w:r>
    </w:p>
    <w:p w14:paraId="7FBB9967">
      <w:pPr>
        <w:keepNext w:val="0"/>
        <w:keepLines w:val="0"/>
        <w:widowControl/>
        <w:numPr>
          <w:ilvl w:val="0"/>
          <w:numId w:val="4"/>
        </w:numPr>
        <w:suppressLineNumbers w:val="0"/>
        <w:spacing w:before="0" w:beforeAutospacing="1" w:after="80" w:afterAutospacing="0" w:line="23" w:lineRule="atLeast"/>
        <w:ind w:left="0" w:hanging="360"/>
      </w:pPr>
      <w:r>
        <w:rPr>
          <w:rFonts w:hint="default" w:ascii="Calibri" w:hAnsi="Calibri" w:cs="Calibri"/>
          <w:color w:val="1A1A1A"/>
          <w:sz w:val="22"/>
          <w:szCs w:val="22"/>
          <w:bdr w:val="none" w:color="auto" w:sz="0" w:space="0"/>
        </w:rPr>
        <w:t>Selling to a cash/JV buyer is slow and opaque; fees are hidden; there is no fast, structured route to a motivated institutional buyer.</w:t>
      </w:r>
    </w:p>
    <w:p w14:paraId="7DD6AA64">
      <w:pPr>
        <w:pStyle w:val="3"/>
        <w:keepNext w:val="0"/>
        <w:keepLines w:val="0"/>
        <w:widowControl/>
        <w:suppressLineNumbers w:val="0"/>
        <w:spacing w:line="23" w:lineRule="atLeast"/>
      </w:pPr>
      <w:r>
        <w:t>3. The Solution — What Investprop Is</w:t>
      </w:r>
    </w:p>
    <w:p w14:paraId="695DA39F">
      <w:pPr>
        <w:pStyle w:val="23"/>
        <w:keepNext w:val="0"/>
        <w:keepLines w:val="0"/>
        <w:widowControl/>
        <w:suppressLineNumbers w:val="0"/>
        <w:spacing w:beforeAutospacing="1" w:afterAutospacing="1" w:line="23" w:lineRule="atLeast"/>
      </w:pPr>
      <w:r>
        <w:rPr>
          <w:rFonts w:hint="default" w:ascii="Calibri" w:hAnsi="Calibri" w:cs="Calibri"/>
          <w:color w:val="1A1A1A"/>
          <w:sz w:val="22"/>
          <w:szCs w:val="22"/>
        </w:rPr>
        <w:t>Investprop is a single platform with three connected sides:</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768"/>
        <w:gridCol w:w="2768"/>
        <w:gridCol w:w="2768"/>
      </w:tblGrid>
      <w:tr w14:paraId="636355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7A5118"/>
            <w:tcMar>
              <w:top w:w="120" w:type="dxa"/>
              <w:left w:w="160" w:type="dxa"/>
              <w:bottom w:w="120" w:type="dxa"/>
              <w:right w:w="160" w:type="dxa"/>
            </w:tcMar>
            <w:vAlign w:val="center"/>
          </w:tcPr>
          <w:p w14:paraId="5F26C5D2">
            <w:pPr>
              <w:keepNext w:val="0"/>
              <w:keepLines w:val="0"/>
              <w:widowControl/>
              <w:suppressLineNumbers w:val="0"/>
              <w:spacing w:line="23" w:lineRule="atLeast"/>
              <w:jc w:val="left"/>
              <w:rPr>
                <w:rFonts w:hint="default" w:ascii="Calibri" w:hAnsi="Calibri" w:cs="Calibri"/>
                <w:b/>
                <w:bCs/>
                <w:color w:val="FFFFFF"/>
                <w:sz w:val="21"/>
                <w:szCs w:val="21"/>
              </w:rPr>
            </w:pPr>
            <w:r>
              <w:rPr>
                <w:rFonts w:hint="default" w:ascii="Calibri" w:hAnsi="Calibri" w:eastAsia="SimSun" w:cs="Calibri"/>
                <w:b/>
                <w:bCs/>
                <w:color w:val="FFFFFF"/>
                <w:sz w:val="21"/>
                <w:szCs w:val="21"/>
                <w:bdr w:val="none" w:color="auto" w:sz="0" w:space="0"/>
              </w:rPr>
              <w:t>Side</w:t>
            </w:r>
          </w:p>
        </w:tc>
        <w:tc>
          <w:tcPr>
            <w:tcW w:w="0" w:type="auto"/>
            <w:shd w:val="clear" w:color="auto" w:fill="7A5118"/>
            <w:tcMar>
              <w:top w:w="120" w:type="dxa"/>
              <w:left w:w="160" w:type="dxa"/>
              <w:bottom w:w="120" w:type="dxa"/>
              <w:right w:w="160" w:type="dxa"/>
            </w:tcMar>
            <w:vAlign w:val="center"/>
          </w:tcPr>
          <w:p w14:paraId="0A8C2BEA">
            <w:pPr>
              <w:keepNext w:val="0"/>
              <w:keepLines w:val="0"/>
              <w:widowControl/>
              <w:suppressLineNumbers w:val="0"/>
              <w:spacing w:line="23" w:lineRule="atLeast"/>
              <w:jc w:val="left"/>
              <w:rPr>
                <w:rFonts w:hint="default" w:ascii="Calibri" w:hAnsi="Calibri" w:cs="Calibri"/>
                <w:b/>
                <w:bCs/>
                <w:color w:val="FFFFFF"/>
                <w:sz w:val="21"/>
                <w:szCs w:val="21"/>
              </w:rPr>
            </w:pPr>
            <w:r>
              <w:rPr>
                <w:rFonts w:hint="default" w:ascii="Calibri" w:hAnsi="Calibri" w:eastAsia="SimSun" w:cs="Calibri"/>
                <w:b/>
                <w:bCs/>
                <w:color w:val="FFFFFF"/>
                <w:sz w:val="21"/>
                <w:szCs w:val="21"/>
                <w:bdr w:val="none" w:color="auto" w:sz="0" w:space="0"/>
              </w:rPr>
              <w:t>Who</w:t>
            </w:r>
          </w:p>
        </w:tc>
        <w:tc>
          <w:tcPr>
            <w:tcW w:w="0" w:type="auto"/>
            <w:shd w:val="clear" w:color="auto" w:fill="7A5118"/>
            <w:tcMar>
              <w:top w:w="120" w:type="dxa"/>
              <w:left w:w="160" w:type="dxa"/>
              <w:bottom w:w="120" w:type="dxa"/>
              <w:right w:w="160" w:type="dxa"/>
            </w:tcMar>
            <w:vAlign w:val="center"/>
          </w:tcPr>
          <w:p w14:paraId="7AFDFC21">
            <w:pPr>
              <w:keepNext w:val="0"/>
              <w:keepLines w:val="0"/>
              <w:widowControl/>
              <w:suppressLineNumbers w:val="0"/>
              <w:spacing w:line="23" w:lineRule="atLeast"/>
              <w:jc w:val="left"/>
              <w:rPr>
                <w:rFonts w:hint="default" w:ascii="Calibri" w:hAnsi="Calibri" w:cs="Calibri"/>
                <w:b/>
                <w:bCs/>
                <w:color w:val="FFFFFF"/>
                <w:sz w:val="21"/>
                <w:szCs w:val="21"/>
              </w:rPr>
            </w:pPr>
            <w:r>
              <w:rPr>
                <w:rFonts w:hint="default" w:ascii="Calibri" w:hAnsi="Calibri" w:eastAsia="SimSun" w:cs="Calibri"/>
                <w:b/>
                <w:bCs/>
                <w:color w:val="FFFFFF"/>
                <w:sz w:val="21"/>
                <w:szCs w:val="21"/>
                <w:bdr w:val="none" w:color="auto" w:sz="0" w:space="0"/>
              </w:rPr>
              <w:t>What they get</w:t>
            </w:r>
          </w:p>
        </w:tc>
      </w:tr>
      <w:tr w14:paraId="3B8548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03DE498C">
            <w:pPr>
              <w:keepNext w:val="0"/>
              <w:keepLines w:val="0"/>
              <w:widowControl/>
              <w:suppressLineNumbers w:val="0"/>
              <w:spacing w:line="23" w:lineRule="atLeast"/>
              <w:jc w:val="left"/>
              <w:textAlignment w:val="top"/>
              <w:rPr>
                <w:rFonts w:hint="default" w:ascii="Calibri" w:hAnsi="Calibri" w:cs="Calibri"/>
                <w:color w:val="1A1A1A"/>
                <w:sz w:val="21"/>
                <w:szCs w:val="21"/>
              </w:rPr>
            </w:pPr>
            <w:r>
              <w:rPr>
                <w:rStyle w:val="12"/>
                <w:rFonts w:hint="default" w:ascii="Calibri" w:hAnsi="Calibri" w:eastAsia="SimSun" w:cs="Calibri"/>
                <w:color w:val="1A1A1A"/>
                <w:sz w:val="21"/>
                <w:szCs w:val="21"/>
                <w:bdr w:val="none" w:color="auto" w:sz="0" w:space="0"/>
              </w:rPr>
              <w:t>Co-investment</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4B1EB1EF">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Retail &amp; qualifying investors</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011E5728">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Fractional ownership of curated properties via ring-fenced SPVs, transparent reporting, share certificates, and a path to secondary liquidity.</w:t>
            </w:r>
          </w:p>
        </w:tc>
      </w:tr>
      <w:tr w14:paraId="7CE993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14AC9D43">
            <w:pPr>
              <w:keepNext w:val="0"/>
              <w:keepLines w:val="0"/>
              <w:widowControl/>
              <w:suppressLineNumbers w:val="0"/>
              <w:spacing w:line="23" w:lineRule="atLeast"/>
              <w:jc w:val="left"/>
              <w:textAlignment w:val="top"/>
              <w:rPr>
                <w:rFonts w:hint="default" w:ascii="Calibri" w:hAnsi="Calibri" w:cs="Calibri"/>
                <w:color w:val="1A1A1A"/>
                <w:sz w:val="21"/>
                <w:szCs w:val="21"/>
              </w:rPr>
            </w:pPr>
            <w:r>
              <w:rPr>
                <w:rStyle w:val="12"/>
                <w:rFonts w:hint="default" w:ascii="Calibri" w:hAnsi="Calibri" w:eastAsia="SimSun" w:cs="Calibri"/>
                <w:color w:val="1A1A1A"/>
                <w:sz w:val="21"/>
                <w:szCs w:val="21"/>
                <w:bdr w:val="none" w:color="auto" w:sz="0" w:space="0"/>
              </w:rPr>
              <w:t>Investor tools</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64E4FF46">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Serious / professional investors</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323477A5">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AI underwriting co-pilot, nationwide Distressed Property Finder with AI deal grades, financing/deal calculators, and portfolio analytics.</w:t>
            </w:r>
          </w:p>
        </w:tc>
      </w:tr>
      <w:tr w14:paraId="347781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38DD0834">
            <w:pPr>
              <w:keepNext w:val="0"/>
              <w:keepLines w:val="0"/>
              <w:widowControl/>
              <w:suppressLineNumbers w:val="0"/>
              <w:spacing w:line="23" w:lineRule="atLeast"/>
              <w:jc w:val="left"/>
              <w:textAlignment w:val="top"/>
              <w:rPr>
                <w:rFonts w:hint="default" w:ascii="Calibri" w:hAnsi="Calibri" w:cs="Calibri"/>
                <w:color w:val="1A1A1A"/>
                <w:sz w:val="21"/>
                <w:szCs w:val="21"/>
              </w:rPr>
            </w:pPr>
            <w:r>
              <w:rPr>
                <w:rStyle w:val="12"/>
                <w:rFonts w:hint="default" w:ascii="Calibri" w:hAnsi="Calibri" w:eastAsia="SimSun" w:cs="Calibri"/>
                <w:color w:val="1A1A1A"/>
                <w:sz w:val="21"/>
                <w:szCs w:val="21"/>
                <w:bdr w:val="none" w:color="auto" w:sz="0" w:space="0"/>
              </w:rPr>
              <w:t>Seller &amp; owner</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5BA8BBDA">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Property owners &amp; landlords</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7195A8DF">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Submit a property for cash, joint-venture, or development partnership; AI valuation; fast-tracked, transparent, fee-disclosed review.</w:t>
            </w:r>
          </w:p>
        </w:tc>
      </w:tr>
    </w:tbl>
    <w:p w14:paraId="3F80A7C5">
      <w:pPr>
        <w:pStyle w:val="23"/>
        <w:keepNext w:val="0"/>
        <w:keepLines w:val="0"/>
        <w:widowControl/>
        <w:suppressLineNumbers w:val="0"/>
        <w:spacing w:beforeAutospacing="1" w:afterAutospacing="1" w:line="23" w:lineRule="atLeast"/>
      </w:pPr>
      <w:r>
        <w:rPr>
          <w:rFonts w:hint="default" w:ascii="Calibri" w:hAnsi="Calibri" w:cs="Calibri"/>
          <w:color w:val="1A1A1A"/>
          <w:sz w:val="22"/>
          <w:szCs w:val="22"/>
        </w:rPr>
        <w:t xml:space="preserve">Deals sourced through the investor tools can be promoted into the co-investment pipeline, and properties submitted by sellers feed the same funnel — creating a compounding, two-sided origination engine that most competitors lack. </w:t>
      </w:r>
    </w:p>
    <w:p w14:paraId="30058CB6">
      <w:pPr>
        <w:pStyle w:val="3"/>
        <w:keepNext w:val="0"/>
        <w:keepLines w:val="0"/>
        <w:widowControl/>
        <w:suppressLineNumbers w:val="0"/>
        <w:spacing w:line="23" w:lineRule="atLeast"/>
      </w:pPr>
      <w:r>
        <w:t>4. Product &amp; Technology</w:t>
      </w:r>
    </w:p>
    <w:p w14:paraId="01CC5C27">
      <w:pPr>
        <w:pStyle w:val="23"/>
        <w:keepNext w:val="0"/>
        <w:keepLines w:val="0"/>
        <w:widowControl/>
        <w:suppressLineNumbers w:val="0"/>
        <w:spacing w:beforeAutospacing="1" w:afterAutospacing="1" w:line="23" w:lineRule="atLeast"/>
      </w:pPr>
      <w:r>
        <w:rPr>
          <w:rFonts w:hint="default" w:ascii="Calibri" w:hAnsi="Calibri" w:cs="Calibri"/>
          <w:color w:val="1A1A1A"/>
          <w:sz w:val="22"/>
          <w:szCs w:val="22"/>
        </w:rPr>
        <w:t>The platform is production-grade and already shipping across two clients:</w:t>
      </w:r>
    </w:p>
    <w:p w14:paraId="6714A317">
      <w:pPr>
        <w:keepNext w:val="0"/>
        <w:keepLines w:val="0"/>
        <w:widowControl/>
        <w:numPr>
          <w:ilvl w:val="0"/>
          <w:numId w:val="5"/>
        </w:numPr>
        <w:suppressLineNumbers w:val="0"/>
        <w:spacing w:before="0" w:beforeAutospacing="1" w:after="80" w:afterAutospacing="0" w:line="23" w:lineRule="atLeast"/>
        <w:ind w:left="0" w:hanging="360"/>
      </w:pPr>
      <w:r>
        <w:rPr>
          <w:rStyle w:val="12"/>
          <w:rFonts w:hint="default" w:ascii="Calibri" w:hAnsi="Calibri" w:cs="Calibri"/>
          <w:color w:val="1A1A1A"/>
          <w:sz w:val="22"/>
          <w:szCs w:val="22"/>
          <w:bdr w:val="none" w:color="auto" w:sz="0" w:space="0"/>
        </w:rPr>
        <w:t>Web application</w:t>
      </w:r>
      <w:r>
        <w:rPr>
          <w:rFonts w:hint="default" w:ascii="Calibri" w:hAnsi="Calibri" w:cs="Calibri"/>
          <w:color w:val="1A1A1A"/>
          <w:sz w:val="22"/>
          <w:szCs w:val="22"/>
          <w:bdr w:val="none" w:color="auto" w:sz="0" w:space="0"/>
        </w:rPr>
        <w:t xml:space="preserve"> — full investor, owner, and operations experience.</w:t>
      </w:r>
    </w:p>
    <w:p w14:paraId="5841BB65">
      <w:pPr>
        <w:keepNext w:val="0"/>
        <w:keepLines w:val="0"/>
        <w:widowControl/>
        <w:numPr>
          <w:ilvl w:val="0"/>
          <w:numId w:val="5"/>
        </w:numPr>
        <w:suppressLineNumbers w:val="0"/>
        <w:spacing w:before="0" w:beforeAutospacing="1" w:after="80" w:afterAutospacing="0" w:line="23" w:lineRule="atLeast"/>
        <w:ind w:left="0" w:hanging="360"/>
      </w:pPr>
      <w:r>
        <w:rPr>
          <w:rStyle w:val="12"/>
          <w:rFonts w:hint="default" w:ascii="Calibri" w:hAnsi="Calibri" w:cs="Calibri"/>
          <w:color w:val="1A1A1A"/>
          <w:sz w:val="22"/>
          <w:szCs w:val="22"/>
          <w:bdr w:val="none" w:color="auto" w:sz="0" w:space="0"/>
        </w:rPr>
        <w:t>Native mobile app</w:t>
      </w:r>
      <w:r>
        <w:rPr>
          <w:rFonts w:hint="default" w:ascii="Calibri" w:hAnsi="Calibri" w:cs="Calibri"/>
          <w:color w:val="1A1A1A"/>
          <w:sz w:val="22"/>
          <w:szCs w:val="22"/>
          <w:bdr w:val="none" w:color="auto" w:sz="0" w:space="0"/>
        </w:rPr>
        <w:t xml:space="preserve"> — Flutter-based Android/iOS app with the investor, seller, distressed-deals, and deal-calculator experiences.</w:t>
      </w:r>
    </w:p>
    <w:p w14:paraId="5A849667">
      <w:pPr>
        <w:keepNext w:val="0"/>
        <w:keepLines w:val="0"/>
        <w:widowControl/>
        <w:numPr>
          <w:ilvl w:val="0"/>
          <w:numId w:val="5"/>
        </w:numPr>
        <w:suppressLineNumbers w:val="0"/>
        <w:spacing w:before="0" w:beforeAutospacing="1" w:after="80" w:afterAutospacing="0" w:line="23" w:lineRule="atLeast"/>
        <w:ind w:left="0" w:hanging="360"/>
      </w:pPr>
      <w:r>
        <w:rPr>
          <w:rStyle w:val="12"/>
          <w:rFonts w:hint="default" w:ascii="Calibri" w:hAnsi="Calibri" w:cs="Calibri"/>
          <w:color w:val="1A1A1A"/>
          <w:sz w:val="22"/>
          <w:szCs w:val="22"/>
          <w:bdr w:val="none" w:color="auto" w:sz="0" w:space="0"/>
        </w:rPr>
        <w:t>Operations console</w:t>
      </w:r>
      <w:r>
        <w:rPr>
          <w:rFonts w:hint="default" w:ascii="Calibri" w:hAnsi="Calibri" w:cs="Calibri"/>
          <w:color w:val="1A1A1A"/>
          <w:sz w:val="22"/>
          <w:szCs w:val="22"/>
          <w:bdr w:val="none" w:color="auto" w:sz="0" w:space="0"/>
        </w:rPr>
        <w:t xml:space="preserve"> — staff workflows for deal pipeline, compliance (FICA/KYC), revenue, and reporting.</w:t>
      </w:r>
    </w:p>
    <w:p w14:paraId="3C98EEDE">
      <w:pPr>
        <w:pStyle w:val="4"/>
        <w:keepNext w:val="0"/>
        <w:keepLines w:val="0"/>
        <w:widowControl/>
        <w:suppressLineNumbers w:val="0"/>
        <w:spacing w:line="23" w:lineRule="atLeast"/>
      </w:pPr>
      <w:r>
        <w:t>Engineering highlights</w:t>
      </w:r>
    </w:p>
    <w:p w14:paraId="49536C46">
      <w:pPr>
        <w:keepNext w:val="0"/>
        <w:keepLines w:val="0"/>
        <w:widowControl/>
        <w:numPr>
          <w:ilvl w:val="0"/>
          <w:numId w:val="6"/>
        </w:numPr>
        <w:suppressLineNumbers w:val="0"/>
        <w:spacing w:before="0" w:beforeAutospacing="1" w:after="80" w:afterAutospacing="0" w:line="23" w:lineRule="atLeast"/>
        <w:ind w:left="0" w:hanging="360"/>
      </w:pPr>
      <w:r>
        <w:rPr>
          <w:rFonts w:hint="default" w:ascii="Calibri" w:hAnsi="Calibri" w:cs="Calibri"/>
          <w:color w:val="1A1A1A"/>
          <w:sz w:val="22"/>
          <w:szCs w:val="22"/>
          <w:bdr w:val="none" w:color="auto" w:sz="0" w:space="0"/>
        </w:rPr>
        <w:t>Modern type-safe stack (TypeScript, React, tRPC, Prisma, PostgreSQL) with a hardened, containerised production deployment.</w:t>
      </w:r>
    </w:p>
    <w:p w14:paraId="1E11A955">
      <w:pPr>
        <w:keepNext w:val="0"/>
        <w:keepLines w:val="0"/>
        <w:widowControl/>
        <w:numPr>
          <w:ilvl w:val="0"/>
          <w:numId w:val="6"/>
        </w:numPr>
        <w:suppressLineNumbers w:val="0"/>
        <w:spacing w:before="0" w:beforeAutospacing="1" w:after="80" w:afterAutospacing="0" w:line="23" w:lineRule="atLeast"/>
        <w:ind w:left="0" w:hanging="360"/>
      </w:pPr>
      <w:r>
        <w:rPr>
          <w:rFonts w:hint="default" w:ascii="Calibri" w:hAnsi="Calibri" w:cs="Calibri"/>
          <w:color w:val="1A1A1A"/>
          <w:sz w:val="22"/>
          <w:szCs w:val="22"/>
          <w:bdr w:val="none" w:color="auto" w:sz="0" w:space="0"/>
        </w:rPr>
        <w:t>Security-first: bank-grade password hashing, role-based access control, rate limiting, input sanitisation, SSRF guards on the scraper, and an audit log on sensitive actions.</w:t>
      </w:r>
    </w:p>
    <w:p w14:paraId="42E1B79F">
      <w:pPr>
        <w:keepNext w:val="0"/>
        <w:keepLines w:val="0"/>
        <w:widowControl/>
        <w:numPr>
          <w:ilvl w:val="0"/>
          <w:numId w:val="6"/>
        </w:numPr>
        <w:suppressLineNumbers w:val="0"/>
        <w:spacing w:before="0" w:beforeAutospacing="1" w:after="80" w:afterAutospacing="0" w:line="23" w:lineRule="atLeast"/>
        <w:ind w:left="0" w:hanging="360"/>
      </w:pPr>
      <w:r>
        <w:rPr>
          <w:rFonts w:hint="default" w:ascii="Calibri" w:hAnsi="Calibri" w:cs="Calibri"/>
          <w:color w:val="1A1A1A"/>
          <w:sz w:val="22"/>
          <w:szCs w:val="22"/>
          <w:bdr w:val="none" w:color="auto" w:sz="0" w:space="0"/>
        </w:rPr>
        <w:t>Automated schedulers for distressed-deal scraping, AI grading, alerting, and nightly market analysis.</w:t>
      </w:r>
    </w:p>
    <w:p w14:paraId="17C1B970">
      <w:pPr>
        <w:keepNext w:val="0"/>
        <w:keepLines w:val="0"/>
        <w:widowControl/>
        <w:numPr>
          <w:ilvl w:val="0"/>
          <w:numId w:val="6"/>
        </w:numPr>
        <w:suppressLineNumbers w:val="0"/>
        <w:spacing w:before="0" w:beforeAutospacing="1" w:after="80" w:afterAutospacing="0" w:line="23" w:lineRule="atLeast"/>
        <w:ind w:left="0" w:hanging="360"/>
      </w:pPr>
      <w:r>
        <w:rPr>
          <w:rFonts w:hint="default" w:ascii="Calibri" w:hAnsi="Calibri" w:cs="Calibri"/>
          <w:color w:val="1A1A1A"/>
          <w:sz w:val="22"/>
          <w:szCs w:val="22"/>
          <w:bdr w:val="none" w:color="auto" w:sz="0" w:space="0"/>
        </w:rPr>
        <w:t>Payments integration (Paystack) for subscriptions and recurring billing.</w:t>
      </w:r>
    </w:p>
    <w:p w14:paraId="20A68764">
      <w:pPr>
        <w:pStyle w:val="3"/>
        <w:keepNext w:val="0"/>
        <w:keepLines w:val="0"/>
        <w:widowControl/>
        <w:suppressLineNumbers w:val="0"/>
        <w:spacing w:line="23" w:lineRule="atLeast"/>
      </w:pPr>
      <w:r>
        <w:t>5. Artificial Intelligence Layer</w:t>
      </w:r>
    </w:p>
    <w:p w14:paraId="7EDB6E62">
      <w:pPr>
        <w:pStyle w:val="23"/>
        <w:keepNext w:val="0"/>
        <w:keepLines w:val="0"/>
        <w:widowControl/>
        <w:suppressLineNumbers w:val="0"/>
        <w:spacing w:beforeAutospacing="1" w:afterAutospacing="1" w:line="23" w:lineRule="atLeast"/>
      </w:pPr>
      <w:r>
        <w:rPr>
          <w:rFonts w:hint="default" w:ascii="Calibri" w:hAnsi="Calibri" w:cs="Calibri"/>
          <w:color w:val="1A1A1A"/>
          <w:sz w:val="22"/>
          <w:szCs w:val="22"/>
        </w:rPr>
        <w:t>AI is a core differentiator, not a bolt-on. It powers:</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153"/>
        <w:gridCol w:w="4153"/>
      </w:tblGrid>
      <w:tr w14:paraId="263BEC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7A5118"/>
            <w:tcMar>
              <w:top w:w="120" w:type="dxa"/>
              <w:left w:w="160" w:type="dxa"/>
              <w:bottom w:w="120" w:type="dxa"/>
              <w:right w:w="160" w:type="dxa"/>
            </w:tcMar>
            <w:vAlign w:val="center"/>
          </w:tcPr>
          <w:p w14:paraId="790BC65E">
            <w:pPr>
              <w:keepNext w:val="0"/>
              <w:keepLines w:val="0"/>
              <w:widowControl/>
              <w:suppressLineNumbers w:val="0"/>
              <w:spacing w:line="23" w:lineRule="atLeast"/>
              <w:jc w:val="left"/>
              <w:rPr>
                <w:rFonts w:hint="default" w:ascii="Calibri" w:hAnsi="Calibri" w:cs="Calibri"/>
                <w:b/>
                <w:bCs/>
                <w:color w:val="FFFFFF"/>
                <w:sz w:val="21"/>
                <w:szCs w:val="21"/>
              </w:rPr>
            </w:pPr>
            <w:r>
              <w:rPr>
                <w:rFonts w:hint="default" w:ascii="Calibri" w:hAnsi="Calibri" w:eastAsia="SimSun" w:cs="Calibri"/>
                <w:b/>
                <w:bCs/>
                <w:color w:val="FFFFFF"/>
                <w:sz w:val="21"/>
                <w:szCs w:val="21"/>
                <w:bdr w:val="none" w:color="auto" w:sz="0" w:space="0"/>
              </w:rPr>
              <w:t>Capability</w:t>
            </w:r>
          </w:p>
        </w:tc>
        <w:tc>
          <w:tcPr>
            <w:tcW w:w="0" w:type="auto"/>
            <w:shd w:val="clear" w:color="auto" w:fill="7A5118"/>
            <w:tcMar>
              <w:top w:w="120" w:type="dxa"/>
              <w:left w:w="160" w:type="dxa"/>
              <w:bottom w:w="120" w:type="dxa"/>
              <w:right w:w="160" w:type="dxa"/>
            </w:tcMar>
            <w:vAlign w:val="center"/>
          </w:tcPr>
          <w:p w14:paraId="61C2848F">
            <w:pPr>
              <w:keepNext w:val="0"/>
              <w:keepLines w:val="0"/>
              <w:widowControl/>
              <w:suppressLineNumbers w:val="0"/>
              <w:spacing w:line="23" w:lineRule="atLeast"/>
              <w:jc w:val="left"/>
              <w:rPr>
                <w:rFonts w:hint="default" w:ascii="Calibri" w:hAnsi="Calibri" w:cs="Calibri"/>
                <w:b/>
                <w:bCs/>
                <w:color w:val="FFFFFF"/>
                <w:sz w:val="21"/>
                <w:szCs w:val="21"/>
              </w:rPr>
            </w:pPr>
            <w:r>
              <w:rPr>
                <w:rFonts w:hint="default" w:ascii="Calibri" w:hAnsi="Calibri" w:eastAsia="SimSun" w:cs="Calibri"/>
                <w:b/>
                <w:bCs/>
                <w:color w:val="FFFFFF"/>
                <w:sz w:val="21"/>
                <w:szCs w:val="21"/>
                <w:bdr w:val="none" w:color="auto" w:sz="0" w:space="0"/>
              </w:rPr>
              <w:t>What it does</w:t>
            </w:r>
          </w:p>
        </w:tc>
      </w:tr>
      <w:tr w14:paraId="47631B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2F895E6E">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AI Investment Co-Pilot</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01377D88">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Conversational assistant that answers deal and portfolio questions in context.</w:t>
            </w:r>
          </w:p>
        </w:tc>
      </w:tr>
      <w:tr w14:paraId="5023F6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112CC7BF">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AI Underwriting</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6589C323">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Independent assumption breakdown and risk read on any deal.</w:t>
            </w:r>
          </w:p>
        </w:tc>
      </w:tr>
      <w:tr w14:paraId="66ABC0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0AC63D57">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AI Deal Grades (A–E)</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2AC2DC34">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Every distressed / auction listing is screened and graded on upside and risk.</w:t>
            </w:r>
          </w:p>
        </w:tc>
      </w:tr>
      <w:tr w14:paraId="7E9C79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2D32D2BF">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AI Portfolio Advisor</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72F2DAD9">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Strategy-level guidance across an investor’s holdings.</w:t>
            </w:r>
          </w:p>
        </w:tc>
      </w:tr>
      <w:tr w14:paraId="7C5487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3A9D260F">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Distressed Market Analysis</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2A6A9BB9">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Deterministic comparable-sales benchmarking, margin-of-safety, max-bid and flip/rental projections per listing.</w:t>
            </w:r>
          </w:p>
        </w:tc>
      </w:tr>
      <w:tr w14:paraId="70E8C5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1B7C4C84">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AI Seller Valuation</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389AB8D8">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Offer-readiness valuation report for property owners.</w:t>
            </w:r>
          </w:p>
        </w:tc>
      </w:tr>
    </w:tbl>
    <w:p w14:paraId="44BBA3DE">
      <w:pPr>
        <w:pStyle w:val="3"/>
        <w:keepNext w:val="0"/>
        <w:keepLines w:val="0"/>
        <w:widowControl/>
        <w:suppressLineNumbers w:val="0"/>
        <w:spacing w:line="23" w:lineRule="atLeast"/>
      </w:pPr>
      <w:r>
        <w:t>6. The Market Opportunity</w:t>
      </w:r>
    </w:p>
    <w:p w14:paraId="44F430E7">
      <w:pPr>
        <w:pStyle w:val="23"/>
        <w:keepNext w:val="0"/>
        <w:keepLines w:val="0"/>
        <w:widowControl/>
        <w:suppressLineNumbers w:val="0"/>
        <w:spacing w:beforeAutospacing="1" w:afterAutospacing="1" w:line="23" w:lineRule="atLeast"/>
      </w:pPr>
      <w:r>
        <w:rPr>
          <w:rFonts w:hint="default" w:ascii="Calibri" w:hAnsi="Calibri" w:cs="Calibri"/>
          <w:color w:val="1A1A1A"/>
          <w:sz w:val="22"/>
          <w:szCs w:val="22"/>
        </w:rPr>
        <w:t xml:space="preserve">South African residential property is a multi-trillion-rand asset class and the primary store of household wealth. Fractional, app-based investing is still nascent locally while it has scaled rapidly in comparable markets abroad, and distressed / auction stock is a large, perennial, under-digitised niche. </w:t>
      </w:r>
    </w:p>
    <w:p w14:paraId="43A92B6B">
      <w:pPr>
        <w:keepNext w:val="0"/>
        <w:keepLines w:val="0"/>
        <w:widowControl/>
        <w:numPr>
          <w:ilvl w:val="0"/>
          <w:numId w:val="7"/>
        </w:numPr>
        <w:suppressLineNumbers w:val="0"/>
        <w:spacing w:before="0" w:beforeAutospacing="1" w:after="80" w:afterAutospacing="0" w:line="23" w:lineRule="atLeast"/>
        <w:ind w:left="0" w:hanging="360"/>
      </w:pPr>
      <w:r>
        <w:rPr>
          <w:rStyle w:val="12"/>
          <w:rFonts w:hint="default" w:ascii="Calibri" w:hAnsi="Calibri" w:cs="Calibri"/>
          <w:color w:val="1A1A1A"/>
          <w:sz w:val="22"/>
          <w:szCs w:val="22"/>
          <w:bdr w:val="none" w:color="auto" w:sz="0" w:space="0"/>
        </w:rPr>
        <w:t>Co-investment TAM:</w:t>
      </w:r>
      <w:r>
        <w:rPr>
          <w:rFonts w:hint="default" w:ascii="Calibri" w:hAnsi="Calibri" w:cs="Calibri"/>
          <w:color w:val="1A1A1A"/>
          <w:sz w:val="22"/>
          <w:szCs w:val="22"/>
          <w:bdr w:val="none" w:color="auto" w:sz="0" w:space="0"/>
        </w:rPr>
        <w:t xml:space="preserve"> the pool of South Africans who want property exposure but cannot buy a whole property.</w:t>
      </w:r>
    </w:p>
    <w:p w14:paraId="5793AB3A">
      <w:pPr>
        <w:keepNext w:val="0"/>
        <w:keepLines w:val="0"/>
        <w:widowControl/>
        <w:numPr>
          <w:ilvl w:val="0"/>
          <w:numId w:val="7"/>
        </w:numPr>
        <w:suppressLineNumbers w:val="0"/>
        <w:spacing w:before="0" w:beforeAutospacing="1" w:after="80" w:afterAutospacing="0" w:line="23" w:lineRule="atLeast"/>
        <w:ind w:left="0" w:hanging="360"/>
      </w:pPr>
      <w:r>
        <w:rPr>
          <w:rStyle w:val="12"/>
          <w:rFonts w:hint="default" w:ascii="Calibri" w:hAnsi="Calibri" w:cs="Calibri"/>
          <w:color w:val="1A1A1A"/>
          <w:sz w:val="22"/>
          <w:szCs w:val="22"/>
          <w:bdr w:val="none" w:color="auto" w:sz="0" w:space="0"/>
        </w:rPr>
        <w:t>Investor-tools SAM:</w:t>
      </w:r>
      <w:r>
        <w:rPr>
          <w:rFonts w:hint="default" w:ascii="Calibri" w:hAnsi="Calibri" w:cs="Calibri"/>
          <w:color w:val="1A1A1A"/>
          <w:sz w:val="22"/>
          <w:szCs w:val="22"/>
          <w:bdr w:val="none" w:color="auto" w:sz="0" w:space="0"/>
        </w:rPr>
        <w:t xml:space="preserve"> active and aspiring property investors seeking sourcing + underwriting software.</w:t>
      </w:r>
    </w:p>
    <w:p w14:paraId="25B4688C">
      <w:pPr>
        <w:keepNext w:val="0"/>
        <w:keepLines w:val="0"/>
        <w:widowControl/>
        <w:numPr>
          <w:ilvl w:val="0"/>
          <w:numId w:val="7"/>
        </w:numPr>
        <w:suppressLineNumbers w:val="0"/>
        <w:spacing w:before="0" w:beforeAutospacing="1" w:after="80" w:afterAutospacing="0" w:line="23" w:lineRule="atLeast"/>
        <w:ind w:left="0" w:hanging="360"/>
      </w:pPr>
      <w:r>
        <w:rPr>
          <w:rStyle w:val="12"/>
          <w:rFonts w:hint="default" w:ascii="Calibri" w:hAnsi="Calibri" w:cs="Calibri"/>
          <w:color w:val="1A1A1A"/>
          <w:sz w:val="22"/>
          <w:szCs w:val="22"/>
          <w:bdr w:val="none" w:color="auto" w:sz="0" w:space="0"/>
        </w:rPr>
        <w:t>Distressed niche:</w:t>
      </w:r>
      <w:r>
        <w:rPr>
          <w:rFonts w:hint="default" w:ascii="Calibri" w:hAnsi="Calibri" w:cs="Calibri"/>
          <w:color w:val="1A1A1A"/>
          <w:sz w:val="22"/>
          <w:szCs w:val="22"/>
          <w:bdr w:val="none" w:color="auto" w:sz="0" w:space="0"/>
        </w:rPr>
        <w:t xml:space="preserve"> thousands of bank-repossession, sheriff, and liquidation listings each year nationwide.</w:t>
      </w:r>
    </w:p>
    <w:p w14:paraId="09498A95">
      <w:pPr>
        <w:pStyle w:val="11"/>
        <w:keepNext w:val="0"/>
        <w:keepLines w:val="0"/>
        <w:widowControl/>
        <w:suppressLineNumbers w:val="0"/>
        <w:spacing w:before="0" w:beforeAutospacing="0" w:after="160" w:afterAutospacing="0" w:line="23" w:lineRule="atLeast"/>
        <w:ind w:left="0" w:right="0"/>
      </w:pPr>
      <w:r>
        <w:rPr>
          <w:rFonts w:hint="default" w:ascii="Calibri" w:hAnsi="Calibri" w:cs="Calibri"/>
          <w:color w:val="1A1A1A"/>
          <w:sz w:val="22"/>
          <w:szCs w:val="22"/>
        </w:rPr>
        <w:t xml:space="preserve">Precise TAM/SAM/SOM figures to be inserted from the Company’s market model: </w:t>
      </w:r>
      <w:r>
        <w:rPr>
          <w:rStyle w:val="26"/>
          <w:rFonts w:hint="default" w:ascii="Calibri" w:hAnsi="Calibri" w:cs="Calibri"/>
          <w:sz w:val="22"/>
          <w:szCs w:val="22"/>
        </w:rPr>
        <w:t>[insert sized market model]</w:t>
      </w:r>
      <w:r>
        <w:rPr>
          <w:rFonts w:hint="default" w:ascii="Calibri" w:hAnsi="Calibri" w:cs="Calibri"/>
          <w:color w:val="1A1A1A"/>
          <w:sz w:val="22"/>
          <w:szCs w:val="22"/>
        </w:rPr>
        <w:t>.</w:t>
      </w:r>
    </w:p>
    <w:p w14:paraId="716D8E14">
      <w:pPr>
        <w:pStyle w:val="3"/>
        <w:keepNext w:val="0"/>
        <w:keepLines w:val="0"/>
        <w:widowControl/>
        <w:suppressLineNumbers w:val="0"/>
        <w:spacing w:line="23" w:lineRule="atLeast"/>
      </w:pPr>
      <w:r>
        <w:t>7. Business Model &amp; Revenue Streams</w:t>
      </w:r>
    </w:p>
    <w:p w14:paraId="57DC3021">
      <w:pPr>
        <w:pStyle w:val="23"/>
        <w:keepNext w:val="0"/>
        <w:keepLines w:val="0"/>
        <w:widowControl/>
        <w:suppressLineNumbers w:val="0"/>
        <w:spacing w:beforeAutospacing="1" w:afterAutospacing="1" w:line="23" w:lineRule="atLeast"/>
      </w:pPr>
      <w:r>
        <w:rPr>
          <w:rFonts w:hint="default" w:ascii="Calibri" w:hAnsi="Calibri" w:cs="Calibri"/>
          <w:color w:val="1A1A1A"/>
          <w:sz w:val="22"/>
          <w:szCs w:val="22"/>
        </w:rPr>
        <w:t xml:space="preserve">Investprop monetises in two complementary ways — </w:t>
      </w:r>
      <w:r>
        <w:rPr>
          <w:rStyle w:val="12"/>
          <w:rFonts w:hint="default" w:ascii="Calibri" w:hAnsi="Calibri" w:cs="Calibri"/>
          <w:color w:val="1A1A1A"/>
          <w:sz w:val="22"/>
          <w:szCs w:val="22"/>
        </w:rPr>
        <w:t>recurring subscriptions</w:t>
      </w:r>
      <w:r>
        <w:rPr>
          <w:rFonts w:hint="default" w:ascii="Calibri" w:hAnsi="Calibri" w:cs="Calibri"/>
          <w:color w:val="1A1A1A"/>
          <w:sz w:val="22"/>
          <w:szCs w:val="22"/>
        </w:rPr>
        <w:t xml:space="preserve"> and </w:t>
      </w:r>
      <w:r>
        <w:rPr>
          <w:rStyle w:val="12"/>
          <w:rFonts w:hint="default" w:ascii="Calibri" w:hAnsi="Calibri" w:cs="Calibri"/>
          <w:color w:val="1A1A1A"/>
          <w:sz w:val="22"/>
          <w:szCs w:val="22"/>
        </w:rPr>
        <w:t>transaction fees</w:t>
      </w:r>
      <w:r>
        <w:rPr>
          <w:rFonts w:hint="default" w:ascii="Calibri" w:hAnsi="Calibri" w:cs="Calibri"/>
          <w:color w:val="1A1A1A"/>
          <w:sz w:val="22"/>
          <w:szCs w:val="22"/>
        </w:rPr>
        <w:t>.</w:t>
      </w:r>
    </w:p>
    <w:p w14:paraId="6304C129">
      <w:pPr>
        <w:pStyle w:val="4"/>
        <w:keepNext w:val="0"/>
        <w:keepLines w:val="0"/>
        <w:widowControl/>
        <w:suppressLineNumbers w:val="0"/>
        <w:spacing w:line="23" w:lineRule="atLeast"/>
      </w:pPr>
      <w:r>
        <w:t>A. Recurring subscriptions (SaaS)</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76"/>
        <w:gridCol w:w="2076"/>
        <w:gridCol w:w="2076"/>
        <w:gridCol w:w="2076"/>
      </w:tblGrid>
      <w:tr w14:paraId="0AB795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7A5118"/>
            <w:tcMar>
              <w:top w:w="120" w:type="dxa"/>
              <w:left w:w="160" w:type="dxa"/>
              <w:bottom w:w="120" w:type="dxa"/>
              <w:right w:w="160" w:type="dxa"/>
            </w:tcMar>
            <w:vAlign w:val="center"/>
          </w:tcPr>
          <w:p w14:paraId="2B03C0B9">
            <w:pPr>
              <w:keepNext w:val="0"/>
              <w:keepLines w:val="0"/>
              <w:widowControl/>
              <w:suppressLineNumbers w:val="0"/>
              <w:spacing w:line="23" w:lineRule="atLeast"/>
              <w:jc w:val="left"/>
              <w:rPr>
                <w:rFonts w:hint="default" w:ascii="Calibri" w:hAnsi="Calibri" w:cs="Calibri"/>
                <w:b/>
                <w:bCs/>
                <w:color w:val="FFFFFF"/>
                <w:sz w:val="21"/>
                <w:szCs w:val="21"/>
              </w:rPr>
            </w:pPr>
            <w:r>
              <w:rPr>
                <w:rFonts w:hint="default" w:ascii="Calibri" w:hAnsi="Calibri" w:eastAsia="SimSun" w:cs="Calibri"/>
                <w:b/>
                <w:bCs/>
                <w:color w:val="FFFFFF"/>
                <w:sz w:val="21"/>
                <w:szCs w:val="21"/>
                <w:bdr w:val="none" w:color="auto" w:sz="0" w:space="0"/>
              </w:rPr>
              <w:t>Plan</w:t>
            </w:r>
          </w:p>
        </w:tc>
        <w:tc>
          <w:tcPr>
            <w:tcW w:w="0" w:type="auto"/>
            <w:shd w:val="clear" w:color="auto" w:fill="7A5118"/>
            <w:tcMar>
              <w:top w:w="120" w:type="dxa"/>
              <w:left w:w="160" w:type="dxa"/>
              <w:bottom w:w="120" w:type="dxa"/>
              <w:right w:w="160" w:type="dxa"/>
            </w:tcMar>
            <w:vAlign w:val="center"/>
          </w:tcPr>
          <w:p w14:paraId="312C0BD3">
            <w:pPr>
              <w:keepNext w:val="0"/>
              <w:keepLines w:val="0"/>
              <w:widowControl/>
              <w:suppressLineNumbers w:val="0"/>
              <w:spacing w:line="23" w:lineRule="atLeast"/>
              <w:jc w:val="left"/>
              <w:rPr>
                <w:rFonts w:hint="default" w:ascii="Calibri" w:hAnsi="Calibri" w:cs="Calibri"/>
                <w:b/>
                <w:bCs/>
                <w:color w:val="FFFFFF"/>
                <w:sz w:val="21"/>
                <w:szCs w:val="21"/>
              </w:rPr>
            </w:pPr>
            <w:r>
              <w:rPr>
                <w:rFonts w:hint="default" w:ascii="Calibri" w:hAnsi="Calibri" w:eastAsia="SimSun" w:cs="Calibri"/>
                <w:b/>
                <w:bCs/>
                <w:color w:val="FFFFFF"/>
                <w:sz w:val="21"/>
                <w:szCs w:val="21"/>
                <w:bdr w:val="none" w:color="auto" w:sz="0" w:space="0"/>
              </w:rPr>
              <w:t>Monthly</w:t>
            </w:r>
          </w:p>
        </w:tc>
        <w:tc>
          <w:tcPr>
            <w:tcW w:w="0" w:type="auto"/>
            <w:shd w:val="clear" w:color="auto" w:fill="7A5118"/>
            <w:tcMar>
              <w:top w:w="120" w:type="dxa"/>
              <w:left w:w="160" w:type="dxa"/>
              <w:bottom w:w="120" w:type="dxa"/>
              <w:right w:w="160" w:type="dxa"/>
            </w:tcMar>
            <w:vAlign w:val="center"/>
          </w:tcPr>
          <w:p w14:paraId="4946A36A">
            <w:pPr>
              <w:keepNext w:val="0"/>
              <w:keepLines w:val="0"/>
              <w:widowControl/>
              <w:suppressLineNumbers w:val="0"/>
              <w:spacing w:line="23" w:lineRule="atLeast"/>
              <w:jc w:val="left"/>
              <w:rPr>
                <w:rFonts w:hint="default" w:ascii="Calibri" w:hAnsi="Calibri" w:cs="Calibri"/>
                <w:b/>
                <w:bCs/>
                <w:color w:val="FFFFFF"/>
                <w:sz w:val="21"/>
                <w:szCs w:val="21"/>
              </w:rPr>
            </w:pPr>
            <w:r>
              <w:rPr>
                <w:rFonts w:hint="default" w:ascii="Calibri" w:hAnsi="Calibri" w:eastAsia="SimSun" w:cs="Calibri"/>
                <w:b/>
                <w:bCs/>
                <w:color w:val="FFFFFF"/>
                <w:sz w:val="21"/>
                <w:szCs w:val="21"/>
                <w:bdr w:val="none" w:color="auto" w:sz="0" w:space="0"/>
              </w:rPr>
              <w:t>Annual</w:t>
            </w:r>
          </w:p>
        </w:tc>
        <w:tc>
          <w:tcPr>
            <w:tcW w:w="0" w:type="auto"/>
            <w:shd w:val="clear" w:color="auto" w:fill="7A5118"/>
            <w:tcMar>
              <w:top w:w="120" w:type="dxa"/>
              <w:left w:w="160" w:type="dxa"/>
              <w:bottom w:w="120" w:type="dxa"/>
              <w:right w:w="160" w:type="dxa"/>
            </w:tcMar>
            <w:vAlign w:val="center"/>
          </w:tcPr>
          <w:p w14:paraId="5A433570">
            <w:pPr>
              <w:keepNext w:val="0"/>
              <w:keepLines w:val="0"/>
              <w:widowControl/>
              <w:suppressLineNumbers w:val="0"/>
              <w:spacing w:line="23" w:lineRule="atLeast"/>
              <w:jc w:val="left"/>
              <w:rPr>
                <w:rFonts w:hint="default" w:ascii="Calibri" w:hAnsi="Calibri" w:cs="Calibri"/>
                <w:b/>
                <w:bCs/>
                <w:color w:val="FFFFFF"/>
                <w:sz w:val="21"/>
                <w:szCs w:val="21"/>
              </w:rPr>
            </w:pPr>
            <w:r>
              <w:rPr>
                <w:rFonts w:hint="default" w:ascii="Calibri" w:hAnsi="Calibri" w:eastAsia="SimSun" w:cs="Calibri"/>
                <w:b/>
                <w:bCs/>
                <w:color w:val="FFFFFF"/>
                <w:sz w:val="21"/>
                <w:szCs w:val="21"/>
                <w:bdr w:val="none" w:color="auto" w:sz="0" w:space="0"/>
              </w:rPr>
              <w:t>Who it’s for</w:t>
            </w:r>
          </w:p>
        </w:tc>
      </w:tr>
      <w:tr w14:paraId="371507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013D501A">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Starter (Free)</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29688851">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R0</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36C6BD8E">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R0</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5BDF6DFB">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Entry / funnel</w:t>
            </w:r>
          </w:p>
        </w:tc>
      </w:tr>
      <w:tr w14:paraId="2AD9BB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4F3991E3">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Investor Plus</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06382CDB">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R299</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7CB3694B">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R2,990</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654289DF">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AI co-pilot + portfolio advisor</w:t>
            </w:r>
          </w:p>
        </w:tc>
      </w:tr>
      <w:tr w14:paraId="24CE53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0A347947">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Pro</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2F1656CF">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R799</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5446B61B">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R7,990</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09C2F85A">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 AI underwriting, distressed full access, priority support</w:t>
            </w:r>
          </w:p>
        </w:tc>
      </w:tr>
      <w:tr w14:paraId="0BBADD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1CBBDA18">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Enterprise</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25B3D5BF">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R2,499</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123953BA">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R24,990</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0A33DD9F">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 multi-SPV reporting, market-data API</w:t>
            </w:r>
          </w:p>
        </w:tc>
      </w:tr>
      <w:tr w14:paraId="2AA5CB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2D99B750">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DistressedDeals SA</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07D0071E">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R499</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025533D2">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R4,990</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1954387A">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Standalone distressed finder</w:t>
            </w:r>
          </w:p>
        </w:tc>
      </w:tr>
      <w:tr w14:paraId="3FC14E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54011071">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Seller Pro</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5C65192C">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R499</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3F051AC3">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R4,990</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242A3AFD">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Standalone seller / landlord toolkit</w:t>
            </w:r>
          </w:p>
        </w:tc>
      </w:tr>
    </w:tbl>
    <w:p w14:paraId="2F2798A7">
      <w:pPr>
        <w:pStyle w:val="4"/>
        <w:keepNext w:val="0"/>
        <w:keepLines w:val="0"/>
        <w:widowControl/>
        <w:suppressLineNumbers w:val="0"/>
        <w:spacing w:line="23" w:lineRule="atLeast"/>
      </w:pPr>
      <w:r>
        <w:t>B. Transaction &amp; platform fees</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768"/>
        <w:gridCol w:w="2768"/>
        <w:gridCol w:w="2768"/>
      </w:tblGrid>
      <w:tr w14:paraId="3AB7DF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7A5118"/>
            <w:tcMar>
              <w:top w:w="120" w:type="dxa"/>
              <w:left w:w="160" w:type="dxa"/>
              <w:bottom w:w="120" w:type="dxa"/>
              <w:right w:w="160" w:type="dxa"/>
            </w:tcMar>
            <w:vAlign w:val="center"/>
          </w:tcPr>
          <w:p w14:paraId="38304275">
            <w:pPr>
              <w:keepNext w:val="0"/>
              <w:keepLines w:val="0"/>
              <w:widowControl/>
              <w:suppressLineNumbers w:val="0"/>
              <w:spacing w:line="23" w:lineRule="atLeast"/>
              <w:jc w:val="left"/>
              <w:rPr>
                <w:rFonts w:hint="default" w:ascii="Calibri" w:hAnsi="Calibri" w:cs="Calibri"/>
                <w:b/>
                <w:bCs/>
                <w:color w:val="FFFFFF"/>
                <w:sz w:val="21"/>
                <w:szCs w:val="21"/>
              </w:rPr>
            </w:pPr>
            <w:r>
              <w:rPr>
                <w:rFonts w:hint="default" w:ascii="Calibri" w:hAnsi="Calibri" w:eastAsia="SimSun" w:cs="Calibri"/>
                <w:b/>
                <w:bCs/>
                <w:color w:val="FFFFFF"/>
                <w:sz w:val="21"/>
                <w:szCs w:val="21"/>
                <w:bdr w:val="none" w:color="auto" w:sz="0" w:space="0"/>
              </w:rPr>
              <w:t>Fee</w:t>
            </w:r>
          </w:p>
        </w:tc>
        <w:tc>
          <w:tcPr>
            <w:tcW w:w="0" w:type="auto"/>
            <w:shd w:val="clear" w:color="auto" w:fill="7A5118"/>
            <w:tcMar>
              <w:top w:w="120" w:type="dxa"/>
              <w:left w:w="160" w:type="dxa"/>
              <w:bottom w:w="120" w:type="dxa"/>
              <w:right w:w="160" w:type="dxa"/>
            </w:tcMar>
            <w:vAlign w:val="center"/>
          </w:tcPr>
          <w:p w14:paraId="49F642AE">
            <w:pPr>
              <w:keepNext w:val="0"/>
              <w:keepLines w:val="0"/>
              <w:widowControl/>
              <w:suppressLineNumbers w:val="0"/>
              <w:spacing w:line="23" w:lineRule="atLeast"/>
              <w:jc w:val="left"/>
              <w:rPr>
                <w:rFonts w:hint="default" w:ascii="Calibri" w:hAnsi="Calibri" w:cs="Calibri"/>
                <w:b/>
                <w:bCs/>
                <w:color w:val="FFFFFF"/>
                <w:sz w:val="21"/>
                <w:szCs w:val="21"/>
              </w:rPr>
            </w:pPr>
            <w:r>
              <w:rPr>
                <w:rFonts w:hint="default" w:ascii="Calibri" w:hAnsi="Calibri" w:eastAsia="SimSun" w:cs="Calibri"/>
                <w:b/>
                <w:bCs/>
                <w:color w:val="FFFFFF"/>
                <w:sz w:val="21"/>
                <w:szCs w:val="21"/>
                <w:bdr w:val="none" w:color="auto" w:sz="0" w:space="0"/>
              </w:rPr>
              <w:t>Rate (default)</w:t>
            </w:r>
          </w:p>
        </w:tc>
        <w:tc>
          <w:tcPr>
            <w:tcW w:w="0" w:type="auto"/>
            <w:shd w:val="clear" w:color="auto" w:fill="7A5118"/>
            <w:tcMar>
              <w:top w:w="120" w:type="dxa"/>
              <w:left w:w="160" w:type="dxa"/>
              <w:bottom w:w="120" w:type="dxa"/>
              <w:right w:w="160" w:type="dxa"/>
            </w:tcMar>
            <w:vAlign w:val="center"/>
          </w:tcPr>
          <w:p w14:paraId="54A4E8A8">
            <w:pPr>
              <w:keepNext w:val="0"/>
              <w:keepLines w:val="0"/>
              <w:widowControl/>
              <w:suppressLineNumbers w:val="0"/>
              <w:spacing w:line="23" w:lineRule="atLeast"/>
              <w:jc w:val="left"/>
              <w:rPr>
                <w:rFonts w:hint="default" w:ascii="Calibri" w:hAnsi="Calibri" w:cs="Calibri"/>
                <w:b/>
                <w:bCs/>
                <w:color w:val="FFFFFF"/>
                <w:sz w:val="21"/>
                <w:szCs w:val="21"/>
              </w:rPr>
            </w:pPr>
            <w:r>
              <w:rPr>
                <w:rFonts w:hint="default" w:ascii="Calibri" w:hAnsi="Calibri" w:eastAsia="SimSun" w:cs="Calibri"/>
                <w:b/>
                <w:bCs/>
                <w:color w:val="FFFFFF"/>
                <w:sz w:val="21"/>
                <w:szCs w:val="21"/>
                <w:bdr w:val="none" w:color="auto" w:sz="0" w:space="0"/>
              </w:rPr>
              <w:t>Charged on</w:t>
            </w:r>
          </w:p>
        </w:tc>
      </w:tr>
      <w:tr w14:paraId="227070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5AE554E9">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Capital raise fee</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25D1D28C">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2.5%</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01B66099">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Investor capital contributed into a deal</w:t>
            </w:r>
          </w:p>
        </w:tc>
      </w:tr>
      <w:tr w14:paraId="4DAAE7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32BC8F2D">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Distribution fee</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65342E3E">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2.0%</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72081031">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Income / profit distributed to investors</w:t>
            </w:r>
          </w:p>
        </w:tc>
      </w:tr>
      <w:tr w14:paraId="17854B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25145823">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Secondary trade fee</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68F8098C">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1.0%</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3808E477">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Investor-to-investor share trades</w:t>
            </w:r>
          </w:p>
        </w:tc>
      </w:tr>
      <w:tr w14:paraId="275F2B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67105236">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Sourcing fee</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3E6EBCE0">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1.0%</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381F9302">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Deals sourced into the pipeline</w:t>
            </w:r>
          </w:p>
        </w:tc>
      </w:tr>
      <w:tr w14:paraId="016B85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7187EBB3">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Seller facilitation fee</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43993A67">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2.0%</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52727838">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Agreed sale price, at close (seller-side)</w:t>
            </w:r>
          </w:p>
        </w:tc>
      </w:tr>
      <w:tr w14:paraId="75CF2E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53B00ACF">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Assessment / DD pack</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1CE75178">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R2,500 (credited at close)</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7F4AE292">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Seller due-diligence pack</w:t>
            </w:r>
          </w:p>
        </w:tc>
      </w:tr>
      <w:tr w14:paraId="119B4B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5644D058">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JV promote</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5CF3E75B">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10.0%</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0E7F32CD">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Joint-venture / partnership payouts</w:t>
            </w:r>
          </w:p>
        </w:tc>
      </w:tr>
      <w:tr w14:paraId="6F024B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510443D0">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Lease-back setup</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5DF34251">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R5,000</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34B27770">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Structuring a sale-and-leaseback</w:t>
            </w:r>
          </w:p>
        </w:tc>
      </w:tr>
      <w:tr w14:paraId="5AB8E4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72BBAA0E">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Lease-back rental management</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3640E9F1">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8.0%</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3DF09564">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Monthly rent under a leaseback</w:t>
            </w:r>
          </w:p>
        </w:tc>
      </w:tr>
      <w:tr w14:paraId="563413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258ACD0D">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Bond referral</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481DA7A2">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Configurable</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3014D36F">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Referrals to bond originators</w:t>
            </w:r>
          </w:p>
        </w:tc>
      </w:tr>
    </w:tbl>
    <w:p w14:paraId="1A5E007F">
      <w:pPr>
        <w:pStyle w:val="11"/>
        <w:keepNext w:val="0"/>
        <w:keepLines w:val="0"/>
        <w:widowControl/>
        <w:suppressLineNumbers w:val="0"/>
        <w:spacing w:before="0" w:beforeAutospacing="0" w:after="160" w:afterAutospacing="0" w:line="23" w:lineRule="atLeast"/>
        <w:ind w:left="0" w:right="0"/>
      </w:pPr>
      <w:r>
        <w:rPr>
          <w:rFonts w:hint="default" w:ascii="Calibri" w:hAnsi="Calibri" w:cs="Calibri"/>
          <w:color w:val="1A1A1A"/>
          <w:sz w:val="22"/>
          <w:szCs w:val="22"/>
        </w:rPr>
        <w:t>Rates are platform defaults and are centrally configurable. Every fee is booked to a single revenue ledger for clean reporting.</w:t>
      </w:r>
    </w:p>
    <w:p w14:paraId="09733863">
      <w:pPr>
        <w:pStyle w:val="3"/>
        <w:keepNext w:val="0"/>
        <w:keepLines w:val="0"/>
        <w:widowControl/>
        <w:suppressLineNumbers w:val="0"/>
        <w:spacing w:line="23" w:lineRule="atLeast"/>
      </w:pPr>
      <w:r>
        <w:t>8. Unit Economics (Illustrative)</w:t>
      </w:r>
    </w:p>
    <w:p w14:paraId="52E6B6F5">
      <w:pPr>
        <w:pStyle w:val="23"/>
        <w:keepNext w:val="0"/>
        <w:keepLines w:val="0"/>
        <w:widowControl/>
        <w:suppressLineNumbers w:val="0"/>
        <w:spacing w:beforeAutospacing="1" w:afterAutospacing="1" w:line="23" w:lineRule="atLeast"/>
      </w:pPr>
      <w:r>
        <w:rPr>
          <w:rFonts w:hint="default" w:ascii="Calibri" w:hAnsi="Calibri" w:cs="Calibri"/>
          <w:color w:val="1A1A1A"/>
          <w:sz w:val="22"/>
          <w:szCs w:val="22"/>
        </w:rPr>
        <w:t xml:space="preserve">The model earns on </w:t>
      </w:r>
      <w:r>
        <w:rPr>
          <w:rStyle w:val="12"/>
          <w:rFonts w:hint="default" w:ascii="Calibri" w:hAnsi="Calibri" w:cs="Calibri"/>
          <w:color w:val="1A1A1A"/>
          <w:sz w:val="22"/>
          <w:szCs w:val="22"/>
        </w:rPr>
        <w:t>both</w:t>
      </w:r>
      <w:r>
        <w:rPr>
          <w:rFonts w:hint="default" w:ascii="Calibri" w:hAnsi="Calibri" w:cs="Calibri"/>
          <w:color w:val="1A1A1A"/>
          <w:sz w:val="22"/>
          <w:szCs w:val="22"/>
        </w:rPr>
        <w:t xml:space="preserve"> the subscription and the deal. A single Pro subscriber at R799/month contributes ~R9,588/year of high-margin recurring revenue. Separately, a R1,000,000 co-investment deal generates ~R25,000 at capital-raise (2.5%), plus distribution fees over the hold, plus any secondary-trade fees on exit — all on top of subscription revenue. </w:t>
      </w:r>
    </w:p>
    <w:p w14:paraId="49EF58C8">
      <w:pPr>
        <w:pStyle w:val="23"/>
        <w:keepNext w:val="0"/>
        <w:keepLines w:val="0"/>
        <w:widowControl/>
        <w:suppressLineNumbers w:val="0"/>
        <w:spacing w:before="200" w:beforeAutospacing="0" w:after="200" w:afterAutospacing="0" w:line="23" w:lineRule="atLeast"/>
        <w:ind w:left="0" w:right="0"/>
      </w:pPr>
      <w:r>
        <w:rPr>
          <w:rStyle w:val="12"/>
          <w:rFonts w:hint="default" w:ascii="Calibri" w:hAnsi="Calibri" w:cs="Calibri"/>
          <w:color w:val="1A1A1A"/>
          <w:sz w:val="22"/>
          <w:szCs w:val="22"/>
          <w:shd w:val="clear" w:fill="FAF6EC"/>
        </w:rPr>
        <w:t>Key point:</w:t>
      </w:r>
      <w:r>
        <w:rPr>
          <w:rFonts w:hint="default" w:ascii="Calibri" w:hAnsi="Calibri" w:cs="Calibri"/>
          <w:color w:val="1A1A1A"/>
          <w:sz w:val="22"/>
          <w:szCs w:val="22"/>
          <w:shd w:val="clear" w:fill="FAF6EC"/>
        </w:rPr>
        <w:t xml:space="preserve"> because sourcing, subscriptions, transactions, and seller-side fees stack on the same user base, lifetime value compounds as a user moves from browsing to subscribing to transacting.</w:t>
      </w:r>
    </w:p>
    <w:p w14:paraId="56BA9C9C">
      <w:pPr>
        <w:pStyle w:val="11"/>
        <w:keepNext w:val="0"/>
        <w:keepLines w:val="0"/>
        <w:widowControl/>
        <w:suppressLineNumbers w:val="0"/>
        <w:spacing w:before="0" w:beforeAutospacing="0" w:after="160" w:afterAutospacing="0" w:line="23" w:lineRule="atLeast"/>
        <w:ind w:left="0" w:right="0"/>
      </w:pPr>
      <w:r>
        <w:rPr>
          <w:rFonts w:hint="default" w:ascii="Calibri" w:hAnsi="Calibri" w:cs="Calibri"/>
          <w:color w:val="1A1A1A"/>
          <w:sz w:val="22"/>
          <w:szCs w:val="22"/>
        </w:rPr>
        <w:t xml:space="preserve">Full CAC / LTV / payback and cohort assumptions: </w:t>
      </w:r>
      <w:r>
        <w:rPr>
          <w:rStyle w:val="26"/>
          <w:rFonts w:hint="default" w:ascii="Calibri" w:hAnsi="Calibri" w:cs="Calibri"/>
          <w:sz w:val="22"/>
          <w:szCs w:val="22"/>
        </w:rPr>
        <w:t>[insert from financial model]</w:t>
      </w:r>
      <w:r>
        <w:rPr>
          <w:rFonts w:hint="default" w:ascii="Calibri" w:hAnsi="Calibri" w:cs="Calibri"/>
          <w:color w:val="1A1A1A"/>
          <w:sz w:val="22"/>
          <w:szCs w:val="22"/>
        </w:rPr>
        <w:t>.</w:t>
      </w:r>
    </w:p>
    <w:p w14:paraId="746BA0F1">
      <w:pPr>
        <w:pStyle w:val="3"/>
        <w:keepNext w:val="0"/>
        <w:keepLines w:val="0"/>
        <w:widowControl/>
        <w:suppressLineNumbers w:val="0"/>
        <w:spacing w:line="23" w:lineRule="atLeast"/>
      </w:pPr>
      <w:r>
        <w:t>9. Traction &amp; Current Status</w:t>
      </w:r>
    </w:p>
    <w:p w14:paraId="57191362">
      <w:pPr>
        <w:keepNext w:val="0"/>
        <w:keepLines w:val="0"/>
        <w:widowControl/>
        <w:numPr>
          <w:ilvl w:val="0"/>
          <w:numId w:val="8"/>
        </w:numPr>
        <w:suppressLineNumbers w:val="0"/>
        <w:spacing w:before="0" w:beforeAutospacing="1" w:after="80" w:afterAutospacing="0" w:line="23" w:lineRule="atLeast"/>
        <w:ind w:left="0" w:hanging="360"/>
      </w:pPr>
      <w:r>
        <w:rPr>
          <w:rStyle w:val="12"/>
          <w:rFonts w:hint="default" w:ascii="Calibri" w:hAnsi="Calibri" w:cs="Calibri"/>
          <w:color w:val="1A1A1A"/>
          <w:sz w:val="22"/>
          <w:szCs w:val="22"/>
          <w:bdr w:val="none" w:color="auto" w:sz="0" w:space="0"/>
        </w:rPr>
        <w:t>Product:</w:t>
      </w:r>
      <w:r>
        <w:rPr>
          <w:rFonts w:hint="default" w:ascii="Calibri" w:hAnsi="Calibri" w:cs="Calibri"/>
          <w:color w:val="1A1A1A"/>
          <w:sz w:val="22"/>
          <w:szCs w:val="22"/>
          <w:bdr w:val="none" w:color="auto" w:sz="0" w:space="0"/>
        </w:rPr>
        <w:t xml:space="preserve"> Live production web app and native mobile app; feature-complete across investor, seller, and ops journeys.</w:t>
      </w:r>
    </w:p>
    <w:p w14:paraId="5081CEBA">
      <w:pPr>
        <w:keepNext w:val="0"/>
        <w:keepLines w:val="0"/>
        <w:widowControl/>
        <w:numPr>
          <w:ilvl w:val="0"/>
          <w:numId w:val="8"/>
        </w:numPr>
        <w:suppressLineNumbers w:val="0"/>
        <w:spacing w:before="0" w:beforeAutospacing="1" w:after="80" w:afterAutospacing="0" w:line="23" w:lineRule="atLeast"/>
        <w:ind w:left="0" w:hanging="360"/>
      </w:pPr>
      <w:r>
        <w:rPr>
          <w:rStyle w:val="12"/>
          <w:rFonts w:hint="default" w:ascii="Calibri" w:hAnsi="Calibri" w:cs="Calibri"/>
          <w:color w:val="1A1A1A"/>
          <w:sz w:val="22"/>
          <w:szCs w:val="22"/>
          <w:bdr w:val="none" w:color="auto" w:sz="0" w:space="0"/>
        </w:rPr>
        <w:t>Monetisation:</w:t>
      </w:r>
      <w:r>
        <w:rPr>
          <w:rFonts w:hint="default" w:ascii="Calibri" w:hAnsi="Calibri" w:cs="Calibri"/>
          <w:color w:val="1A1A1A"/>
          <w:sz w:val="22"/>
          <w:szCs w:val="22"/>
          <w:bdr w:val="none" w:color="auto" w:sz="0" w:space="0"/>
        </w:rPr>
        <w:t xml:space="preserve"> Subscription billing and the full platform-fee engine are built and operational.</w:t>
      </w:r>
    </w:p>
    <w:p w14:paraId="68EE3926">
      <w:pPr>
        <w:keepNext w:val="0"/>
        <w:keepLines w:val="0"/>
        <w:widowControl/>
        <w:numPr>
          <w:ilvl w:val="0"/>
          <w:numId w:val="8"/>
        </w:numPr>
        <w:suppressLineNumbers w:val="0"/>
        <w:spacing w:before="0" w:beforeAutospacing="1" w:after="80" w:afterAutospacing="0" w:line="23" w:lineRule="atLeast"/>
        <w:ind w:left="0" w:hanging="360"/>
      </w:pPr>
      <w:r>
        <w:rPr>
          <w:rStyle w:val="12"/>
          <w:rFonts w:hint="default" w:ascii="Calibri" w:hAnsi="Calibri" w:cs="Calibri"/>
          <w:color w:val="1A1A1A"/>
          <w:sz w:val="22"/>
          <w:szCs w:val="22"/>
          <w:bdr w:val="none" w:color="auto" w:sz="0" w:space="0"/>
        </w:rPr>
        <w:t>Distressed engine:</w:t>
      </w:r>
      <w:r>
        <w:rPr>
          <w:rFonts w:hint="default" w:ascii="Calibri" w:hAnsi="Calibri" w:cs="Calibri"/>
          <w:color w:val="1A1A1A"/>
          <w:sz w:val="22"/>
          <w:szCs w:val="22"/>
          <w:bdr w:val="none" w:color="auto" w:sz="0" w:space="0"/>
        </w:rPr>
        <w:t xml:space="preserve"> Automated nationwide scraping, AI grading, alerting, and nightly market analysis running on schedule.</w:t>
      </w:r>
    </w:p>
    <w:p w14:paraId="1F851C94">
      <w:pPr>
        <w:keepNext w:val="0"/>
        <w:keepLines w:val="0"/>
        <w:widowControl/>
        <w:numPr>
          <w:ilvl w:val="0"/>
          <w:numId w:val="8"/>
        </w:numPr>
        <w:suppressLineNumbers w:val="0"/>
        <w:spacing w:before="0" w:beforeAutospacing="1" w:after="80" w:afterAutospacing="0" w:line="23" w:lineRule="atLeast"/>
        <w:ind w:left="0" w:hanging="360"/>
      </w:pPr>
      <w:r>
        <w:rPr>
          <w:rStyle w:val="12"/>
          <w:rFonts w:hint="default" w:ascii="Calibri" w:hAnsi="Calibri" w:cs="Calibri"/>
          <w:color w:val="1A1A1A"/>
          <w:sz w:val="22"/>
          <w:szCs w:val="22"/>
          <w:bdr w:val="none" w:color="auto" w:sz="0" w:space="0"/>
        </w:rPr>
        <w:t>Compliance scaffolding:</w:t>
      </w:r>
      <w:r>
        <w:rPr>
          <w:rFonts w:hint="default" w:ascii="Calibri" w:hAnsi="Calibri" w:cs="Calibri"/>
          <w:color w:val="1A1A1A"/>
          <w:sz w:val="22"/>
          <w:szCs w:val="22"/>
          <w:bdr w:val="none" w:color="auto" w:sz="0" w:space="0"/>
        </w:rPr>
        <w:t xml:space="preserve"> FICA/KYC workflows, POPIA-aware data handling, audit logging, and an admin compliance console.</w:t>
      </w:r>
    </w:p>
    <w:p w14:paraId="7ECAFECF">
      <w:pPr>
        <w:pStyle w:val="11"/>
        <w:keepNext w:val="0"/>
        <w:keepLines w:val="0"/>
        <w:widowControl/>
        <w:suppressLineNumbers w:val="0"/>
        <w:spacing w:before="0" w:beforeAutospacing="0" w:after="160" w:afterAutospacing="0" w:line="23" w:lineRule="atLeast"/>
        <w:ind w:left="0" w:right="0"/>
      </w:pPr>
      <w:r>
        <w:rPr>
          <w:rFonts w:hint="default" w:ascii="Calibri" w:hAnsi="Calibri" w:cs="Calibri"/>
          <w:color w:val="1A1A1A"/>
          <w:sz w:val="22"/>
          <w:szCs w:val="22"/>
        </w:rPr>
        <w:t xml:space="preserve">Live KPI snapshot (users, subscribers, GMV, pipeline value) to insert at issue: </w:t>
      </w:r>
      <w:r>
        <w:rPr>
          <w:rStyle w:val="26"/>
          <w:rFonts w:hint="default" w:ascii="Calibri" w:hAnsi="Calibri" w:cs="Calibri"/>
          <w:sz w:val="22"/>
          <w:szCs w:val="22"/>
        </w:rPr>
        <w:t>[insert current metrics]</w:t>
      </w:r>
      <w:r>
        <w:rPr>
          <w:rFonts w:hint="default" w:ascii="Calibri" w:hAnsi="Calibri" w:cs="Calibri"/>
          <w:color w:val="1A1A1A"/>
          <w:sz w:val="22"/>
          <w:szCs w:val="22"/>
        </w:rPr>
        <w:t>.</w:t>
      </w:r>
    </w:p>
    <w:p w14:paraId="717A3E3F">
      <w:pPr>
        <w:pStyle w:val="3"/>
        <w:keepNext w:val="0"/>
        <w:keepLines w:val="0"/>
        <w:widowControl/>
        <w:suppressLineNumbers w:val="0"/>
        <w:spacing w:line="23" w:lineRule="atLeast"/>
      </w:pPr>
      <w:r>
        <w:t>10. Go-to-Market Strategy</w:t>
      </w:r>
    </w:p>
    <w:p w14:paraId="31FE8713">
      <w:pPr>
        <w:keepNext w:val="0"/>
        <w:keepLines w:val="0"/>
        <w:widowControl/>
        <w:numPr>
          <w:ilvl w:val="0"/>
          <w:numId w:val="9"/>
        </w:numPr>
        <w:suppressLineNumbers w:val="0"/>
        <w:spacing w:before="0" w:beforeAutospacing="1" w:after="80" w:afterAutospacing="0" w:line="23" w:lineRule="atLeast"/>
        <w:ind w:left="0" w:hanging="360"/>
      </w:pPr>
      <w:r>
        <w:rPr>
          <w:rStyle w:val="12"/>
          <w:rFonts w:hint="default" w:ascii="Calibri" w:hAnsi="Calibri" w:cs="Calibri"/>
          <w:color w:val="1A1A1A"/>
          <w:sz w:val="22"/>
          <w:szCs w:val="22"/>
          <w:bdr w:val="none" w:color="auto" w:sz="0" w:space="0"/>
        </w:rPr>
        <w:t>Lead with tools:</w:t>
      </w:r>
      <w:r>
        <w:rPr>
          <w:rFonts w:hint="default" w:ascii="Calibri" w:hAnsi="Calibri" w:cs="Calibri"/>
          <w:color w:val="1A1A1A"/>
          <w:sz w:val="22"/>
          <w:szCs w:val="22"/>
          <w:bdr w:val="none" w:color="auto" w:sz="0" w:space="0"/>
        </w:rPr>
        <w:t xml:space="preserve"> acquire serious investors via the Distressed Finder and AI underwriting (clear, immediate ROI), then upsell to co-investment.</w:t>
      </w:r>
    </w:p>
    <w:p w14:paraId="217FA9BF">
      <w:pPr>
        <w:keepNext w:val="0"/>
        <w:keepLines w:val="0"/>
        <w:widowControl/>
        <w:numPr>
          <w:ilvl w:val="0"/>
          <w:numId w:val="9"/>
        </w:numPr>
        <w:suppressLineNumbers w:val="0"/>
        <w:spacing w:before="0" w:beforeAutospacing="1" w:after="80" w:afterAutospacing="0" w:line="23" w:lineRule="atLeast"/>
        <w:ind w:left="0" w:hanging="360"/>
      </w:pPr>
      <w:r>
        <w:rPr>
          <w:rStyle w:val="12"/>
          <w:rFonts w:hint="default" w:ascii="Calibri" w:hAnsi="Calibri" w:cs="Calibri"/>
          <w:color w:val="1A1A1A"/>
          <w:sz w:val="22"/>
          <w:szCs w:val="22"/>
          <w:bdr w:val="none" w:color="auto" w:sz="0" w:space="0"/>
        </w:rPr>
        <w:t>Content &amp; community:</w:t>
      </w:r>
      <w:r>
        <w:rPr>
          <w:rFonts w:hint="default" w:ascii="Calibri" w:hAnsi="Calibri" w:cs="Calibri"/>
          <w:color w:val="1A1A1A"/>
          <w:sz w:val="22"/>
          <w:szCs w:val="22"/>
          <w:bdr w:val="none" w:color="auto" w:sz="0" w:space="0"/>
        </w:rPr>
        <w:t xml:space="preserve"> educational content on SA property investing to build an organic funnel into the free tier.</w:t>
      </w:r>
    </w:p>
    <w:p w14:paraId="23C979B0">
      <w:pPr>
        <w:keepNext w:val="0"/>
        <w:keepLines w:val="0"/>
        <w:widowControl/>
        <w:numPr>
          <w:ilvl w:val="0"/>
          <w:numId w:val="9"/>
        </w:numPr>
        <w:suppressLineNumbers w:val="0"/>
        <w:spacing w:before="0" w:beforeAutospacing="1" w:after="80" w:afterAutospacing="0" w:line="23" w:lineRule="atLeast"/>
        <w:ind w:left="0" w:hanging="360"/>
      </w:pPr>
      <w:r>
        <w:rPr>
          <w:rStyle w:val="12"/>
          <w:rFonts w:hint="default" w:ascii="Calibri" w:hAnsi="Calibri" w:cs="Calibri"/>
          <w:color w:val="1A1A1A"/>
          <w:sz w:val="22"/>
          <w:szCs w:val="22"/>
          <w:bdr w:val="none" w:color="auto" w:sz="0" w:space="0"/>
        </w:rPr>
        <w:t>Seller inbound:</w:t>
      </w:r>
      <w:r>
        <w:rPr>
          <w:rFonts w:hint="default" w:ascii="Calibri" w:hAnsi="Calibri" w:cs="Calibri"/>
          <w:color w:val="1A1A1A"/>
          <w:sz w:val="22"/>
          <w:szCs w:val="22"/>
          <w:bdr w:val="none" w:color="auto" w:sz="0" w:space="0"/>
        </w:rPr>
        <w:t xml:space="preserve"> the seller toolkit brings motivated, off-market stock that fuels the co-investment pipeline.</w:t>
      </w:r>
    </w:p>
    <w:p w14:paraId="1D1CB5EA">
      <w:pPr>
        <w:keepNext w:val="0"/>
        <w:keepLines w:val="0"/>
        <w:widowControl/>
        <w:numPr>
          <w:ilvl w:val="0"/>
          <w:numId w:val="9"/>
        </w:numPr>
        <w:suppressLineNumbers w:val="0"/>
        <w:spacing w:before="0" w:beforeAutospacing="1" w:after="80" w:afterAutospacing="0" w:line="23" w:lineRule="atLeast"/>
        <w:ind w:left="0" w:hanging="360"/>
      </w:pPr>
      <w:r>
        <w:rPr>
          <w:rStyle w:val="12"/>
          <w:rFonts w:hint="default" w:ascii="Calibri" w:hAnsi="Calibri" w:cs="Calibri"/>
          <w:color w:val="1A1A1A"/>
          <w:sz w:val="22"/>
          <w:szCs w:val="22"/>
          <w:bdr w:val="none" w:color="auto" w:sz="0" w:space="0"/>
        </w:rPr>
        <w:t>Regulated wrapper:</w:t>
      </w:r>
      <w:r>
        <w:rPr>
          <w:rFonts w:hint="default" w:ascii="Calibri" w:hAnsi="Calibri" w:cs="Calibri"/>
          <w:color w:val="1A1A1A"/>
          <w:sz w:val="22"/>
          <w:szCs w:val="22"/>
          <w:bdr w:val="none" w:color="auto" w:sz="0" w:space="0"/>
        </w:rPr>
        <w:t xml:space="preserve"> partner with an FSCA-accredited institution to take fractional co-investment fully to market.</w:t>
      </w:r>
    </w:p>
    <w:p w14:paraId="5D03A9AF">
      <w:pPr>
        <w:keepNext w:val="0"/>
        <w:keepLines w:val="0"/>
        <w:widowControl/>
        <w:numPr>
          <w:ilvl w:val="0"/>
          <w:numId w:val="9"/>
        </w:numPr>
        <w:suppressLineNumbers w:val="0"/>
        <w:spacing w:before="0" w:beforeAutospacing="1" w:after="80" w:afterAutospacing="0" w:line="23" w:lineRule="atLeast"/>
        <w:ind w:left="0" w:hanging="360"/>
      </w:pPr>
      <w:r>
        <w:rPr>
          <w:rStyle w:val="12"/>
          <w:rFonts w:hint="default" w:ascii="Calibri" w:hAnsi="Calibri" w:cs="Calibri"/>
          <w:color w:val="1A1A1A"/>
          <w:sz w:val="22"/>
          <w:szCs w:val="22"/>
          <w:bdr w:val="none" w:color="auto" w:sz="0" w:space="0"/>
        </w:rPr>
        <w:t>Partnerships:</w:t>
      </w:r>
      <w:r>
        <w:rPr>
          <w:rFonts w:hint="default" w:ascii="Calibri" w:hAnsi="Calibri" w:cs="Calibri"/>
          <w:color w:val="1A1A1A"/>
          <w:sz w:val="22"/>
          <w:szCs w:val="22"/>
          <w:bdr w:val="none" w:color="auto" w:sz="0" w:space="0"/>
        </w:rPr>
        <w:t xml:space="preserve"> bond originators, conveyancers, and auction houses for referrals and deal flow.</w:t>
      </w:r>
    </w:p>
    <w:p w14:paraId="1138CFF7">
      <w:pPr>
        <w:pStyle w:val="3"/>
        <w:keepNext w:val="0"/>
        <w:keepLines w:val="0"/>
        <w:widowControl/>
        <w:suppressLineNumbers w:val="0"/>
        <w:spacing w:line="23" w:lineRule="atLeast"/>
      </w:pPr>
      <w:r>
        <w:t>11. Competitive Landscape</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768"/>
        <w:gridCol w:w="2768"/>
        <w:gridCol w:w="2768"/>
      </w:tblGrid>
      <w:tr w14:paraId="1F4295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7A5118"/>
            <w:tcMar>
              <w:top w:w="120" w:type="dxa"/>
              <w:left w:w="160" w:type="dxa"/>
              <w:bottom w:w="120" w:type="dxa"/>
              <w:right w:w="160" w:type="dxa"/>
            </w:tcMar>
            <w:vAlign w:val="center"/>
          </w:tcPr>
          <w:p w14:paraId="09AB9F8F">
            <w:pPr>
              <w:keepNext w:val="0"/>
              <w:keepLines w:val="0"/>
              <w:widowControl/>
              <w:suppressLineNumbers w:val="0"/>
              <w:spacing w:line="23" w:lineRule="atLeast"/>
              <w:jc w:val="left"/>
              <w:rPr>
                <w:rFonts w:hint="default" w:ascii="Calibri" w:hAnsi="Calibri" w:cs="Calibri"/>
                <w:b/>
                <w:bCs/>
                <w:color w:val="FFFFFF"/>
                <w:sz w:val="21"/>
                <w:szCs w:val="21"/>
              </w:rPr>
            </w:pPr>
            <w:r>
              <w:rPr>
                <w:rFonts w:hint="default" w:ascii="Calibri" w:hAnsi="Calibri" w:eastAsia="SimSun" w:cs="Calibri"/>
                <w:b/>
                <w:bCs/>
                <w:color w:val="FFFFFF"/>
                <w:sz w:val="21"/>
                <w:szCs w:val="21"/>
                <w:bdr w:val="none" w:color="auto" w:sz="0" w:space="0"/>
              </w:rPr>
              <w:t>Category</w:t>
            </w:r>
          </w:p>
        </w:tc>
        <w:tc>
          <w:tcPr>
            <w:tcW w:w="0" w:type="auto"/>
            <w:shd w:val="clear" w:color="auto" w:fill="7A5118"/>
            <w:tcMar>
              <w:top w:w="120" w:type="dxa"/>
              <w:left w:w="160" w:type="dxa"/>
              <w:bottom w:w="120" w:type="dxa"/>
              <w:right w:w="160" w:type="dxa"/>
            </w:tcMar>
            <w:vAlign w:val="center"/>
          </w:tcPr>
          <w:p w14:paraId="6EC872FF">
            <w:pPr>
              <w:keepNext w:val="0"/>
              <w:keepLines w:val="0"/>
              <w:widowControl/>
              <w:suppressLineNumbers w:val="0"/>
              <w:spacing w:line="23" w:lineRule="atLeast"/>
              <w:jc w:val="left"/>
              <w:rPr>
                <w:rFonts w:hint="default" w:ascii="Calibri" w:hAnsi="Calibri" w:cs="Calibri"/>
                <w:b/>
                <w:bCs/>
                <w:color w:val="FFFFFF"/>
                <w:sz w:val="21"/>
                <w:szCs w:val="21"/>
              </w:rPr>
            </w:pPr>
            <w:r>
              <w:rPr>
                <w:rFonts w:hint="default" w:ascii="Calibri" w:hAnsi="Calibri" w:eastAsia="SimSun" w:cs="Calibri"/>
                <w:b/>
                <w:bCs/>
                <w:color w:val="FFFFFF"/>
                <w:sz w:val="21"/>
                <w:szCs w:val="21"/>
                <w:bdr w:val="none" w:color="auto" w:sz="0" w:space="0"/>
              </w:rPr>
              <w:t>Examples</w:t>
            </w:r>
          </w:p>
        </w:tc>
        <w:tc>
          <w:tcPr>
            <w:tcW w:w="0" w:type="auto"/>
            <w:shd w:val="clear" w:color="auto" w:fill="7A5118"/>
            <w:tcMar>
              <w:top w:w="120" w:type="dxa"/>
              <w:left w:w="160" w:type="dxa"/>
              <w:bottom w:w="120" w:type="dxa"/>
              <w:right w:w="160" w:type="dxa"/>
            </w:tcMar>
            <w:vAlign w:val="center"/>
          </w:tcPr>
          <w:p w14:paraId="5F3AD47A">
            <w:pPr>
              <w:keepNext w:val="0"/>
              <w:keepLines w:val="0"/>
              <w:widowControl/>
              <w:suppressLineNumbers w:val="0"/>
              <w:spacing w:line="23" w:lineRule="atLeast"/>
              <w:jc w:val="left"/>
              <w:rPr>
                <w:rFonts w:hint="default" w:ascii="Calibri" w:hAnsi="Calibri" w:cs="Calibri"/>
                <w:b/>
                <w:bCs/>
                <w:color w:val="FFFFFF"/>
                <w:sz w:val="21"/>
                <w:szCs w:val="21"/>
              </w:rPr>
            </w:pPr>
            <w:r>
              <w:rPr>
                <w:rFonts w:hint="default" w:ascii="Calibri" w:hAnsi="Calibri" w:eastAsia="SimSun" w:cs="Calibri"/>
                <w:b/>
                <w:bCs/>
                <w:color w:val="FFFFFF"/>
                <w:sz w:val="21"/>
                <w:szCs w:val="21"/>
                <w:bdr w:val="none" w:color="auto" w:sz="0" w:space="0"/>
              </w:rPr>
              <w:t>Investprop edge</w:t>
            </w:r>
          </w:p>
        </w:tc>
      </w:tr>
      <w:tr w14:paraId="2F9855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42FD9047">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Fractional property platforms</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27FBA9FF">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Local &amp; offshore fractional apps</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66119ACC">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We add AI underwriting + a distressed sourcing engine + seller funnel, not just a marketplace.</w:t>
            </w:r>
          </w:p>
        </w:tc>
      </w:tr>
      <w:tr w14:paraId="115E35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09F7B164">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Property portals</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08550E99">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Listing sites</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55F1EB3A">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We underwrite, grade, and let users co-invest — not just browse.</w:t>
            </w:r>
          </w:p>
        </w:tc>
      </w:tr>
      <w:tr w14:paraId="3C432F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7BF721BE">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Spreadsheets / manual syndication</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7086AD63">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Informal JV groups</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0F580B0D">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Compliant SPV structuring, transparent reporting, and automation.</w:t>
            </w:r>
          </w:p>
        </w:tc>
      </w:tr>
      <w:tr w14:paraId="2F4850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12CACBF9">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Auction / repo aggregators</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23AC2603">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Scattered auction houses</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3F1246B6">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One AI-graded, filterable feed with alerts and market analysis.</w:t>
            </w:r>
          </w:p>
        </w:tc>
      </w:tr>
    </w:tbl>
    <w:p w14:paraId="5F3FA972">
      <w:pPr>
        <w:pStyle w:val="3"/>
        <w:keepNext w:val="0"/>
        <w:keepLines w:val="0"/>
        <w:widowControl/>
        <w:suppressLineNumbers w:val="0"/>
        <w:spacing w:line="23" w:lineRule="atLeast"/>
      </w:pPr>
      <w:r>
        <w:t>12. Regulatory, Compliance &amp; Risk</w:t>
      </w:r>
    </w:p>
    <w:p w14:paraId="4E4E45D1">
      <w:pPr>
        <w:pStyle w:val="23"/>
        <w:keepNext w:val="0"/>
        <w:keepLines w:val="0"/>
        <w:widowControl/>
        <w:suppressLineNumbers w:val="0"/>
        <w:spacing w:beforeAutospacing="1" w:afterAutospacing="1" w:line="23" w:lineRule="atLeast"/>
      </w:pPr>
      <w:r>
        <w:rPr>
          <w:rFonts w:hint="default" w:ascii="Calibri" w:hAnsi="Calibri" w:cs="Calibri"/>
          <w:color w:val="1A1A1A"/>
          <w:sz w:val="22"/>
          <w:szCs w:val="22"/>
        </w:rPr>
        <w:t xml:space="preserve">Fractional property co-investment touches South African financial-services regulation. Investprop’s strategy is to operate the regulated co-investment product through an </w:t>
      </w:r>
      <w:r>
        <w:rPr>
          <w:rStyle w:val="12"/>
          <w:rFonts w:hint="default" w:ascii="Calibri" w:hAnsi="Calibri" w:cs="Calibri"/>
          <w:color w:val="1A1A1A"/>
          <w:sz w:val="22"/>
          <w:szCs w:val="22"/>
        </w:rPr>
        <w:t>FSCA-accredited partner</w:t>
      </w:r>
      <w:r>
        <w:rPr>
          <w:rFonts w:hint="default" w:ascii="Calibri" w:hAnsi="Calibri" w:cs="Calibri"/>
          <w:color w:val="1A1A1A"/>
          <w:sz w:val="22"/>
          <w:szCs w:val="22"/>
        </w:rPr>
        <w:t xml:space="preserve"> that provides the licence and product-structuring oversight, while Investprop provides the technology, origination, and operations. The tool/SaaS and seller-facilitation lines are lighter-touch and can scale in parallel. </w:t>
      </w:r>
    </w:p>
    <w:p w14:paraId="59308AE9">
      <w:pPr>
        <w:keepNext w:val="0"/>
        <w:keepLines w:val="0"/>
        <w:widowControl/>
        <w:numPr>
          <w:ilvl w:val="0"/>
          <w:numId w:val="10"/>
        </w:numPr>
        <w:suppressLineNumbers w:val="0"/>
        <w:spacing w:before="0" w:beforeAutospacing="1" w:after="80" w:afterAutospacing="0" w:line="23" w:lineRule="atLeast"/>
        <w:ind w:left="0" w:hanging="360"/>
      </w:pPr>
      <w:r>
        <w:rPr>
          <w:rStyle w:val="12"/>
          <w:rFonts w:hint="default" w:ascii="Calibri" w:hAnsi="Calibri" w:cs="Calibri"/>
          <w:color w:val="1A1A1A"/>
          <w:sz w:val="22"/>
          <w:szCs w:val="22"/>
          <w:bdr w:val="none" w:color="auto" w:sz="0" w:space="0"/>
        </w:rPr>
        <w:t>FICA / AML:</w:t>
      </w:r>
      <w:r>
        <w:rPr>
          <w:rFonts w:hint="default" w:ascii="Calibri" w:hAnsi="Calibri" w:cs="Calibri"/>
          <w:color w:val="1A1A1A"/>
          <w:sz w:val="22"/>
          <w:szCs w:val="22"/>
          <w:bdr w:val="none" w:color="auto" w:sz="0" w:space="0"/>
        </w:rPr>
        <w:t xml:space="preserve"> identity verification and KYC workflows built in.</w:t>
      </w:r>
    </w:p>
    <w:p w14:paraId="0F2D6BBA">
      <w:pPr>
        <w:keepNext w:val="0"/>
        <w:keepLines w:val="0"/>
        <w:widowControl/>
        <w:numPr>
          <w:ilvl w:val="0"/>
          <w:numId w:val="10"/>
        </w:numPr>
        <w:suppressLineNumbers w:val="0"/>
        <w:spacing w:before="0" w:beforeAutospacing="1" w:after="80" w:afterAutospacing="0" w:line="23" w:lineRule="atLeast"/>
        <w:ind w:left="0" w:hanging="360"/>
      </w:pPr>
      <w:r>
        <w:rPr>
          <w:rStyle w:val="12"/>
          <w:rFonts w:hint="default" w:ascii="Calibri" w:hAnsi="Calibri" w:cs="Calibri"/>
          <w:color w:val="1A1A1A"/>
          <w:sz w:val="22"/>
          <w:szCs w:val="22"/>
          <w:bdr w:val="none" w:color="auto" w:sz="0" w:space="0"/>
        </w:rPr>
        <w:t>POPIA:</w:t>
      </w:r>
      <w:r>
        <w:rPr>
          <w:rFonts w:hint="default" w:ascii="Calibri" w:hAnsi="Calibri" w:cs="Calibri"/>
          <w:color w:val="1A1A1A"/>
          <w:sz w:val="22"/>
          <w:szCs w:val="22"/>
          <w:bdr w:val="none" w:color="auto" w:sz="0" w:space="0"/>
        </w:rPr>
        <w:t xml:space="preserve"> privacy-aware data handling and consent.</w:t>
      </w:r>
    </w:p>
    <w:p w14:paraId="6EEB6B4A">
      <w:pPr>
        <w:keepNext w:val="0"/>
        <w:keepLines w:val="0"/>
        <w:widowControl/>
        <w:numPr>
          <w:ilvl w:val="0"/>
          <w:numId w:val="10"/>
        </w:numPr>
        <w:suppressLineNumbers w:val="0"/>
        <w:spacing w:before="0" w:beforeAutospacing="1" w:after="80" w:afterAutospacing="0" w:line="23" w:lineRule="atLeast"/>
        <w:ind w:left="0" w:hanging="360"/>
      </w:pPr>
      <w:r>
        <w:rPr>
          <w:rStyle w:val="12"/>
          <w:rFonts w:hint="default" w:ascii="Calibri" w:hAnsi="Calibri" w:cs="Calibri"/>
          <w:color w:val="1A1A1A"/>
          <w:sz w:val="22"/>
          <w:szCs w:val="22"/>
          <w:bdr w:val="none" w:color="auto" w:sz="0" w:space="0"/>
        </w:rPr>
        <w:t>Governance:</w:t>
      </w:r>
      <w:r>
        <w:rPr>
          <w:rFonts w:hint="default" w:ascii="Calibri" w:hAnsi="Calibri" w:cs="Calibri"/>
          <w:color w:val="1A1A1A"/>
          <w:sz w:val="22"/>
          <w:szCs w:val="22"/>
          <w:bdr w:val="none" w:color="auto" w:sz="0" w:space="0"/>
        </w:rPr>
        <w:t xml:space="preserve"> ring-fenced SPVs, audit logging, and transparent fee disclosure.</w:t>
      </w:r>
    </w:p>
    <w:p w14:paraId="4C9C3997">
      <w:pPr>
        <w:pStyle w:val="11"/>
        <w:keepNext w:val="0"/>
        <w:keepLines w:val="0"/>
        <w:widowControl/>
        <w:suppressLineNumbers w:val="0"/>
        <w:spacing w:before="0" w:beforeAutospacing="0" w:after="160" w:afterAutospacing="0" w:line="23" w:lineRule="atLeast"/>
        <w:ind w:left="0" w:right="0"/>
      </w:pPr>
      <w:r>
        <w:rPr>
          <w:rFonts w:hint="default" w:ascii="Calibri" w:hAnsi="Calibri" w:cs="Calibri"/>
          <w:color w:val="1A1A1A"/>
          <w:sz w:val="22"/>
          <w:szCs w:val="22"/>
        </w:rPr>
        <w:t>A detailed FSCA gap analysis and compliance roadmap are available in the data room.</w:t>
      </w:r>
    </w:p>
    <w:p w14:paraId="0BC451FD">
      <w:pPr>
        <w:pStyle w:val="3"/>
        <w:keepNext w:val="0"/>
        <w:keepLines w:val="0"/>
        <w:widowControl/>
        <w:suppressLineNumbers w:val="0"/>
        <w:spacing w:line="23" w:lineRule="atLeast"/>
      </w:pPr>
      <w:r>
        <w:t>13. Financial Projections (Illustrative)</w:t>
      </w:r>
    </w:p>
    <w:p w14:paraId="74F31214">
      <w:pPr>
        <w:pStyle w:val="11"/>
        <w:keepNext w:val="0"/>
        <w:keepLines w:val="0"/>
        <w:widowControl/>
        <w:suppressLineNumbers w:val="0"/>
        <w:spacing w:before="0" w:beforeAutospacing="0" w:after="160" w:afterAutospacing="0" w:line="23" w:lineRule="atLeast"/>
        <w:ind w:left="0" w:right="0"/>
      </w:pPr>
      <w:r>
        <w:rPr>
          <w:rFonts w:hint="default" w:ascii="Calibri" w:hAnsi="Calibri" w:cs="Calibri"/>
          <w:color w:val="1A1A1A"/>
          <w:sz w:val="22"/>
          <w:szCs w:val="22"/>
        </w:rPr>
        <w:t xml:space="preserve">The figures below are </w:t>
      </w:r>
      <w:r>
        <w:rPr>
          <w:rStyle w:val="12"/>
          <w:rFonts w:hint="default" w:ascii="Calibri" w:hAnsi="Calibri" w:cs="Calibri"/>
          <w:color w:val="1A1A1A"/>
          <w:sz w:val="22"/>
          <w:szCs w:val="22"/>
        </w:rPr>
        <w:t>illustrative placeholders</w:t>
      </w:r>
      <w:r>
        <w:rPr>
          <w:rFonts w:hint="default" w:ascii="Calibri" w:hAnsi="Calibri" w:cs="Calibri"/>
          <w:color w:val="1A1A1A"/>
          <w:sz w:val="22"/>
          <w:szCs w:val="22"/>
        </w:rPr>
        <w:t xml:space="preserve"> to show the shape of the model. Replace with the Company’s financial model before issue.</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84"/>
        <w:gridCol w:w="1384"/>
        <w:gridCol w:w="1384"/>
        <w:gridCol w:w="1384"/>
        <w:gridCol w:w="1384"/>
        <w:gridCol w:w="1384"/>
      </w:tblGrid>
      <w:tr w14:paraId="07FFB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7A5118"/>
            <w:tcMar>
              <w:top w:w="120" w:type="dxa"/>
              <w:left w:w="160" w:type="dxa"/>
              <w:bottom w:w="120" w:type="dxa"/>
              <w:right w:w="160" w:type="dxa"/>
            </w:tcMar>
            <w:vAlign w:val="center"/>
          </w:tcPr>
          <w:p w14:paraId="110108B6">
            <w:pPr>
              <w:keepNext w:val="0"/>
              <w:keepLines w:val="0"/>
              <w:widowControl/>
              <w:suppressLineNumbers w:val="0"/>
              <w:spacing w:line="23" w:lineRule="atLeast"/>
              <w:jc w:val="left"/>
              <w:rPr>
                <w:rFonts w:hint="default" w:ascii="Calibri" w:hAnsi="Calibri" w:cs="Calibri"/>
                <w:b/>
                <w:bCs/>
                <w:color w:val="FFFFFF"/>
                <w:sz w:val="21"/>
                <w:szCs w:val="21"/>
              </w:rPr>
            </w:pPr>
            <w:r>
              <w:rPr>
                <w:rFonts w:hint="default" w:ascii="Calibri" w:hAnsi="Calibri" w:eastAsia="SimSun" w:cs="Calibri"/>
                <w:b/>
                <w:bCs/>
                <w:color w:val="FFFFFF"/>
                <w:sz w:val="21"/>
                <w:szCs w:val="21"/>
                <w:bdr w:val="none" w:color="auto" w:sz="0" w:space="0"/>
              </w:rPr>
              <w:t>Metric (R’000)</w:t>
            </w:r>
          </w:p>
        </w:tc>
        <w:tc>
          <w:tcPr>
            <w:tcW w:w="0" w:type="auto"/>
            <w:shd w:val="clear" w:color="auto" w:fill="7A5118"/>
            <w:tcMar>
              <w:top w:w="120" w:type="dxa"/>
              <w:left w:w="160" w:type="dxa"/>
              <w:bottom w:w="120" w:type="dxa"/>
              <w:right w:w="160" w:type="dxa"/>
            </w:tcMar>
            <w:vAlign w:val="center"/>
          </w:tcPr>
          <w:p w14:paraId="586920BF">
            <w:pPr>
              <w:keepNext w:val="0"/>
              <w:keepLines w:val="0"/>
              <w:widowControl/>
              <w:suppressLineNumbers w:val="0"/>
              <w:spacing w:line="23" w:lineRule="atLeast"/>
              <w:jc w:val="left"/>
              <w:rPr>
                <w:rFonts w:hint="default" w:ascii="Calibri" w:hAnsi="Calibri" w:cs="Calibri"/>
                <w:b/>
                <w:bCs/>
                <w:color w:val="FFFFFF"/>
                <w:sz w:val="21"/>
                <w:szCs w:val="21"/>
              </w:rPr>
            </w:pPr>
            <w:r>
              <w:rPr>
                <w:rFonts w:hint="default" w:ascii="Calibri" w:hAnsi="Calibri" w:eastAsia="SimSun" w:cs="Calibri"/>
                <w:b/>
                <w:bCs/>
                <w:color w:val="FFFFFF"/>
                <w:sz w:val="21"/>
                <w:szCs w:val="21"/>
                <w:bdr w:val="none" w:color="auto" w:sz="0" w:space="0"/>
              </w:rPr>
              <w:t>Yr 1</w:t>
            </w:r>
          </w:p>
        </w:tc>
        <w:tc>
          <w:tcPr>
            <w:tcW w:w="0" w:type="auto"/>
            <w:shd w:val="clear" w:color="auto" w:fill="7A5118"/>
            <w:tcMar>
              <w:top w:w="120" w:type="dxa"/>
              <w:left w:w="160" w:type="dxa"/>
              <w:bottom w:w="120" w:type="dxa"/>
              <w:right w:w="160" w:type="dxa"/>
            </w:tcMar>
            <w:vAlign w:val="center"/>
          </w:tcPr>
          <w:p w14:paraId="042B0324">
            <w:pPr>
              <w:keepNext w:val="0"/>
              <w:keepLines w:val="0"/>
              <w:widowControl/>
              <w:suppressLineNumbers w:val="0"/>
              <w:spacing w:line="23" w:lineRule="atLeast"/>
              <w:jc w:val="left"/>
              <w:rPr>
                <w:rFonts w:hint="default" w:ascii="Calibri" w:hAnsi="Calibri" w:cs="Calibri"/>
                <w:b/>
                <w:bCs/>
                <w:color w:val="FFFFFF"/>
                <w:sz w:val="21"/>
                <w:szCs w:val="21"/>
              </w:rPr>
            </w:pPr>
            <w:r>
              <w:rPr>
                <w:rFonts w:hint="default" w:ascii="Calibri" w:hAnsi="Calibri" w:eastAsia="SimSun" w:cs="Calibri"/>
                <w:b/>
                <w:bCs/>
                <w:color w:val="FFFFFF"/>
                <w:sz w:val="21"/>
                <w:szCs w:val="21"/>
                <w:bdr w:val="none" w:color="auto" w:sz="0" w:space="0"/>
              </w:rPr>
              <w:t>Yr 2</w:t>
            </w:r>
          </w:p>
        </w:tc>
        <w:tc>
          <w:tcPr>
            <w:tcW w:w="0" w:type="auto"/>
            <w:shd w:val="clear" w:color="auto" w:fill="7A5118"/>
            <w:tcMar>
              <w:top w:w="120" w:type="dxa"/>
              <w:left w:w="160" w:type="dxa"/>
              <w:bottom w:w="120" w:type="dxa"/>
              <w:right w:w="160" w:type="dxa"/>
            </w:tcMar>
            <w:vAlign w:val="center"/>
          </w:tcPr>
          <w:p w14:paraId="553648C8">
            <w:pPr>
              <w:keepNext w:val="0"/>
              <w:keepLines w:val="0"/>
              <w:widowControl/>
              <w:suppressLineNumbers w:val="0"/>
              <w:spacing w:line="23" w:lineRule="atLeast"/>
              <w:jc w:val="left"/>
              <w:rPr>
                <w:rFonts w:hint="default" w:ascii="Calibri" w:hAnsi="Calibri" w:cs="Calibri"/>
                <w:b/>
                <w:bCs/>
                <w:color w:val="FFFFFF"/>
                <w:sz w:val="21"/>
                <w:szCs w:val="21"/>
              </w:rPr>
            </w:pPr>
            <w:r>
              <w:rPr>
                <w:rFonts w:hint="default" w:ascii="Calibri" w:hAnsi="Calibri" w:eastAsia="SimSun" w:cs="Calibri"/>
                <w:b/>
                <w:bCs/>
                <w:color w:val="FFFFFF"/>
                <w:sz w:val="21"/>
                <w:szCs w:val="21"/>
                <w:bdr w:val="none" w:color="auto" w:sz="0" w:space="0"/>
              </w:rPr>
              <w:t>Yr 3</w:t>
            </w:r>
          </w:p>
        </w:tc>
        <w:tc>
          <w:tcPr>
            <w:tcW w:w="0" w:type="auto"/>
            <w:shd w:val="clear" w:color="auto" w:fill="7A5118"/>
            <w:tcMar>
              <w:top w:w="120" w:type="dxa"/>
              <w:left w:w="160" w:type="dxa"/>
              <w:bottom w:w="120" w:type="dxa"/>
              <w:right w:w="160" w:type="dxa"/>
            </w:tcMar>
            <w:vAlign w:val="center"/>
          </w:tcPr>
          <w:p w14:paraId="3F05F8A9">
            <w:pPr>
              <w:keepNext w:val="0"/>
              <w:keepLines w:val="0"/>
              <w:widowControl/>
              <w:suppressLineNumbers w:val="0"/>
              <w:spacing w:line="23" w:lineRule="atLeast"/>
              <w:jc w:val="left"/>
              <w:rPr>
                <w:rFonts w:hint="default" w:ascii="Calibri" w:hAnsi="Calibri" w:cs="Calibri"/>
                <w:b/>
                <w:bCs/>
                <w:color w:val="FFFFFF"/>
                <w:sz w:val="21"/>
                <w:szCs w:val="21"/>
              </w:rPr>
            </w:pPr>
            <w:r>
              <w:rPr>
                <w:rFonts w:hint="default" w:ascii="Calibri" w:hAnsi="Calibri" w:eastAsia="SimSun" w:cs="Calibri"/>
                <w:b/>
                <w:bCs/>
                <w:color w:val="FFFFFF"/>
                <w:sz w:val="21"/>
                <w:szCs w:val="21"/>
                <w:bdr w:val="none" w:color="auto" w:sz="0" w:space="0"/>
              </w:rPr>
              <w:t>Yr 4</w:t>
            </w:r>
          </w:p>
        </w:tc>
        <w:tc>
          <w:tcPr>
            <w:tcW w:w="0" w:type="auto"/>
            <w:shd w:val="clear" w:color="auto" w:fill="7A5118"/>
            <w:tcMar>
              <w:top w:w="120" w:type="dxa"/>
              <w:left w:w="160" w:type="dxa"/>
              <w:bottom w:w="120" w:type="dxa"/>
              <w:right w:w="160" w:type="dxa"/>
            </w:tcMar>
            <w:vAlign w:val="center"/>
          </w:tcPr>
          <w:p w14:paraId="00CACE5C">
            <w:pPr>
              <w:keepNext w:val="0"/>
              <w:keepLines w:val="0"/>
              <w:widowControl/>
              <w:suppressLineNumbers w:val="0"/>
              <w:spacing w:line="23" w:lineRule="atLeast"/>
              <w:jc w:val="left"/>
              <w:rPr>
                <w:rFonts w:hint="default" w:ascii="Calibri" w:hAnsi="Calibri" w:cs="Calibri"/>
                <w:b/>
                <w:bCs/>
                <w:color w:val="FFFFFF"/>
                <w:sz w:val="21"/>
                <w:szCs w:val="21"/>
              </w:rPr>
            </w:pPr>
            <w:r>
              <w:rPr>
                <w:rFonts w:hint="default" w:ascii="Calibri" w:hAnsi="Calibri" w:eastAsia="SimSun" w:cs="Calibri"/>
                <w:b/>
                <w:bCs/>
                <w:color w:val="FFFFFF"/>
                <w:sz w:val="21"/>
                <w:szCs w:val="21"/>
                <w:bdr w:val="none" w:color="auto" w:sz="0" w:space="0"/>
              </w:rPr>
              <w:t>Yr 5</w:t>
            </w:r>
          </w:p>
        </w:tc>
      </w:tr>
      <w:tr w14:paraId="274F54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0206F8FB">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Subscription revenue</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595DB657">
            <w:pPr>
              <w:keepNext w:val="0"/>
              <w:keepLines w:val="0"/>
              <w:widowControl/>
              <w:suppressLineNumbers w:val="0"/>
              <w:spacing w:line="23" w:lineRule="atLeast"/>
              <w:jc w:val="left"/>
              <w:textAlignment w:val="top"/>
              <w:rPr>
                <w:rFonts w:hint="default" w:ascii="Calibri" w:hAnsi="Calibri" w:cs="Calibri"/>
                <w:b/>
                <w:bCs/>
                <w:color w:val="B45309"/>
                <w:sz w:val="21"/>
                <w:szCs w:val="21"/>
              </w:rPr>
            </w:pPr>
            <w:r>
              <w:rPr>
                <w:rFonts w:hint="default" w:ascii="Calibri" w:hAnsi="Calibri" w:eastAsia="SimSun" w:cs="Calibri"/>
                <w:b/>
                <w:bCs/>
                <w:color w:val="B45309"/>
                <w:sz w:val="21"/>
                <w:szCs w:val="21"/>
                <w:bdr w:val="none" w:color="auto" w:sz="0" w:space="0"/>
              </w:rPr>
              <w:t>[__]</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0694678D">
            <w:pPr>
              <w:keepNext w:val="0"/>
              <w:keepLines w:val="0"/>
              <w:widowControl/>
              <w:suppressLineNumbers w:val="0"/>
              <w:spacing w:line="23" w:lineRule="atLeast"/>
              <w:jc w:val="left"/>
              <w:textAlignment w:val="top"/>
              <w:rPr>
                <w:rFonts w:hint="default" w:ascii="Calibri" w:hAnsi="Calibri" w:cs="Calibri"/>
                <w:b/>
                <w:bCs/>
                <w:color w:val="B45309"/>
                <w:sz w:val="21"/>
                <w:szCs w:val="21"/>
              </w:rPr>
            </w:pPr>
            <w:r>
              <w:rPr>
                <w:rFonts w:hint="default" w:ascii="Calibri" w:hAnsi="Calibri" w:eastAsia="SimSun" w:cs="Calibri"/>
                <w:b/>
                <w:bCs/>
                <w:color w:val="B45309"/>
                <w:sz w:val="21"/>
                <w:szCs w:val="21"/>
                <w:bdr w:val="none" w:color="auto" w:sz="0" w:space="0"/>
              </w:rPr>
              <w:t>[__]</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6B3D901D">
            <w:pPr>
              <w:keepNext w:val="0"/>
              <w:keepLines w:val="0"/>
              <w:widowControl/>
              <w:suppressLineNumbers w:val="0"/>
              <w:spacing w:line="23" w:lineRule="atLeast"/>
              <w:jc w:val="left"/>
              <w:textAlignment w:val="top"/>
              <w:rPr>
                <w:rFonts w:hint="default" w:ascii="Calibri" w:hAnsi="Calibri" w:cs="Calibri"/>
                <w:b/>
                <w:bCs/>
                <w:color w:val="B45309"/>
                <w:sz w:val="21"/>
                <w:szCs w:val="21"/>
              </w:rPr>
            </w:pPr>
            <w:r>
              <w:rPr>
                <w:rFonts w:hint="default" w:ascii="Calibri" w:hAnsi="Calibri" w:eastAsia="SimSun" w:cs="Calibri"/>
                <w:b/>
                <w:bCs/>
                <w:color w:val="B45309"/>
                <w:sz w:val="21"/>
                <w:szCs w:val="21"/>
                <w:bdr w:val="none" w:color="auto" w:sz="0" w:space="0"/>
              </w:rPr>
              <w:t>[__]</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6A107182">
            <w:pPr>
              <w:keepNext w:val="0"/>
              <w:keepLines w:val="0"/>
              <w:widowControl/>
              <w:suppressLineNumbers w:val="0"/>
              <w:spacing w:line="23" w:lineRule="atLeast"/>
              <w:jc w:val="left"/>
              <w:textAlignment w:val="top"/>
              <w:rPr>
                <w:rFonts w:hint="default" w:ascii="Calibri" w:hAnsi="Calibri" w:cs="Calibri"/>
                <w:b/>
                <w:bCs/>
                <w:color w:val="B45309"/>
                <w:sz w:val="21"/>
                <w:szCs w:val="21"/>
              </w:rPr>
            </w:pPr>
            <w:r>
              <w:rPr>
                <w:rFonts w:hint="default" w:ascii="Calibri" w:hAnsi="Calibri" w:eastAsia="SimSun" w:cs="Calibri"/>
                <w:b/>
                <w:bCs/>
                <w:color w:val="B45309"/>
                <w:sz w:val="21"/>
                <w:szCs w:val="21"/>
                <w:bdr w:val="none" w:color="auto" w:sz="0" w:space="0"/>
              </w:rPr>
              <w:t>[__]</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459280F8">
            <w:pPr>
              <w:keepNext w:val="0"/>
              <w:keepLines w:val="0"/>
              <w:widowControl/>
              <w:suppressLineNumbers w:val="0"/>
              <w:spacing w:line="23" w:lineRule="atLeast"/>
              <w:jc w:val="left"/>
              <w:textAlignment w:val="top"/>
              <w:rPr>
                <w:rFonts w:hint="default" w:ascii="Calibri" w:hAnsi="Calibri" w:cs="Calibri"/>
                <w:b/>
                <w:bCs/>
                <w:color w:val="B45309"/>
                <w:sz w:val="21"/>
                <w:szCs w:val="21"/>
              </w:rPr>
            </w:pPr>
            <w:r>
              <w:rPr>
                <w:rFonts w:hint="default" w:ascii="Calibri" w:hAnsi="Calibri" w:eastAsia="SimSun" w:cs="Calibri"/>
                <w:b/>
                <w:bCs/>
                <w:color w:val="B45309"/>
                <w:sz w:val="21"/>
                <w:szCs w:val="21"/>
                <w:bdr w:val="none" w:color="auto" w:sz="0" w:space="0"/>
              </w:rPr>
              <w:t>[__]</w:t>
            </w:r>
          </w:p>
        </w:tc>
      </w:tr>
      <w:tr w14:paraId="14B275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3C1931C3">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Transaction &amp; seller fees</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648718E6">
            <w:pPr>
              <w:keepNext w:val="0"/>
              <w:keepLines w:val="0"/>
              <w:widowControl/>
              <w:suppressLineNumbers w:val="0"/>
              <w:spacing w:line="23" w:lineRule="atLeast"/>
              <w:jc w:val="left"/>
              <w:textAlignment w:val="top"/>
              <w:rPr>
                <w:rFonts w:hint="default" w:ascii="Calibri" w:hAnsi="Calibri" w:cs="Calibri"/>
                <w:b/>
                <w:bCs/>
                <w:color w:val="B45309"/>
                <w:sz w:val="21"/>
                <w:szCs w:val="21"/>
              </w:rPr>
            </w:pPr>
            <w:r>
              <w:rPr>
                <w:rFonts w:hint="default" w:ascii="Calibri" w:hAnsi="Calibri" w:eastAsia="SimSun" w:cs="Calibri"/>
                <w:b/>
                <w:bCs/>
                <w:color w:val="B45309"/>
                <w:sz w:val="21"/>
                <w:szCs w:val="21"/>
                <w:bdr w:val="none" w:color="auto" w:sz="0" w:space="0"/>
              </w:rPr>
              <w:t>[__]</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22E14A9A">
            <w:pPr>
              <w:keepNext w:val="0"/>
              <w:keepLines w:val="0"/>
              <w:widowControl/>
              <w:suppressLineNumbers w:val="0"/>
              <w:spacing w:line="23" w:lineRule="atLeast"/>
              <w:jc w:val="left"/>
              <w:textAlignment w:val="top"/>
              <w:rPr>
                <w:rFonts w:hint="default" w:ascii="Calibri" w:hAnsi="Calibri" w:cs="Calibri"/>
                <w:b/>
                <w:bCs/>
                <w:color w:val="B45309"/>
                <w:sz w:val="21"/>
                <w:szCs w:val="21"/>
              </w:rPr>
            </w:pPr>
            <w:r>
              <w:rPr>
                <w:rFonts w:hint="default" w:ascii="Calibri" w:hAnsi="Calibri" w:eastAsia="SimSun" w:cs="Calibri"/>
                <w:b/>
                <w:bCs/>
                <w:color w:val="B45309"/>
                <w:sz w:val="21"/>
                <w:szCs w:val="21"/>
                <w:bdr w:val="none" w:color="auto" w:sz="0" w:space="0"/>
              </w:rPr>
              <w:t>[__]</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6E66B330">
            <w:pPr>
              <w:keepNext w:val="0"/>
              <w:keepLines w:val="0"/>
              <w:widowControl/>
              <w:suppressLineNumbers w:val="0"/>
              <w:spacing w:line="23" w:lineRule="atLeast"/>
              <w:jc w:val="left"/>
              <w:textAlignment w:val="top"/>
              <w:rPr>
                <w:rFonts w:hint="default" w:ascii="Calibri" w:hAnsi="Calibri" w:cs="Calibri"/>
                <w:b/>
                <w:bCs/>
                <w:color w:val="B45309"/>
                <w:sz w:val="21"/>
                <w:szCs w:val="21"/>
              </w:rPr>
            </w:pPr>
            <w:r>
              <w:rPr>
                <w:rFonts w:hint="default" w:ascii="Calibri" w:hAnsi="Calibri" w:eastAsia="SimSun" w:cs="Calibri"/>
                <w:b/>
                <w:bCs/>
                <w:color w:val="B45309"/>
                <w:sz w:val="21"/>
                <w:szCs w:val="21"/>
                <w:bdr w:val="none" w:color="auto" w:sz="0" w:space="0"/>
              </w:rPr>
              <w:t>[__]</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731F3E5B">
            <w:pPr>
              <w:keepNext w:val="0"/>
              <w:keepLines w:val="0"/>
              <w:widowControl/>
              <w:suppressLineNumbers w:val="0"/>
              <w:spacing w:line="23" w:lineRule="atLeast"/>
              <w:jc w:val="left"/>
              <w:textAlignment w:val="top"/>
              <w:rPr>
                <w:rFonts w:hint="default" w:ascii="Calibri" w:hAnsi="Calibri" w:cs="Calibri"/>
                <w:b/>
                <w:bCs/>
                <w:color w:val="B45309"/>
                <w:sz w:val="21"/>
                <w:szCs w:val="21"/>
              </w:rPr>
            </w:pPr>
            <w:r>
              <w:rPr>
                <w:rFonts w:hint="default" w:ascii="Calibri" w:hAnsi="Calibri" w:eastAsia="SimSun" w:cs="Calibri"/>
                <w:b/>
                <w:bCs/>
                <w:color w:val="B45309"/>
                <w:sz w:val="21"/>
                <w:szCs w:val="21"/>
                <w:bdr w:val="none" w:color="auto" w:sz="0" w:space="0"/>
              </w:rPr>
              <w:t>[__]</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4C591E2E">
            <w:pPr>
              <w:keepNext w:val="0"/>
              <w:keepLines w:val="0"/>
              <w:widowControl/>
              <w:suppressLineNumbers w:val="0"/>
              <w:spacing w:line="23" w:lineRule="atLeast"/>
              <w:jc w:val="left"/>
              <w:textAlignment w:val="top"/>
              <w:rPr>
                <w:rFonts w:hint="default" w:ascii="Calibri" w:hAnsi="Calibri" w:cs="Calibri"/>
                <w:b/>
                <w:bCs/>
                <w:color w:val="B45309"/>
                <w:sz w:val="21"/>
                <w:szCs w:val="21"/>
              </w:rPr>
            </w:pPr>
            <w:r>
              <w:rPr>
                <w:rFonts w:hint="default" w:ascii="Calibri" w:hAnsi="Calibri" w:eastAsia="SimSun" w:cs="Calibri"/>
                <w:b/>
                <w:bCs/>
                <w:color w:val="B45309"/>
                <w:sz w:val="21"/>
                <w:szCs w:val="21"/>
                <w:bdr w:val="none" w:color="auto" w:sz="0" w:space="0"/>
              </w:rPr>
              <w:t>[__]</w:t>
            </w:r>
          </w:p>
        </w:tc>
      </w:tr>
      <w:tr w14:paraId="5161E4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709D2475">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Total revenue</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0CA7D816">
            <w:pPr>
              <w:keepNext w:val="0"/>
              <w:keepLines w:val="0"/>
              <w:widowControl/>
              <w:suppressLineNumbers w:val="0"/>
              <w:spacing w:line="23" w:lineRule="atLeast"/>
              <w:jc w:val="left"/>
              <w:textAlignment w:val="top"/>
              <w:rPr>
                <w:rFonts w:hint="default" w:ascii="Calibri" w:hAnsi="Calibri" w:cs="Calibri"/>
                <w:b/>
                <w:bCs/>
                <w:color w:val="B45309"/>
                <w:sz w:val="21"/>
                <w:szCs w:val="21"/>
              </w:rPr>
            </w:pPr>
            <w:r>
              <w:rPr>
                <w:rFonts w:hint="default" w:ascii="Calibri" w:hAnsi="Calibri" w:eastAsia="SimSun" w:cs="Calibri"/>
                <w:b/>
                <w:bCs/>
                <w:color w:val="B45309"/>
                <w:sz w:val="21"/>
                <w:szCs w:val="21"/>
                <w:bdr w:val="none" w:color="auto" w:sz="0" w:space="0"/>
              </w:rPr>
              <w:t>[__]</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235C2737">
            <w:pPr>
              <w:keepNext w:val="0"/>
              <w:keepLines w:val="0"/>
              <w:widowControl/>
              <w:suppressLineNumbers w:val="0"/>
              <w:spacing w:line="23" w:lineRule="atLeast"/>
              <w:jc w:val="left"/>
              <w:textAlignment w:val="top"/>
              <w:rPr>
                <w:rFonts w:hint="default" w:ascii="Calibri" w:hAnsi="Calibri" w:cs="Calibri"/>
                <w:b/>
                <w:bCs/>
                <w:color w:val="B45309"/>
                <w:sz w:val="21"/>
                <w:szCs w:val="21"/>
              </w:rPr>
            </w:pPr>
            <w:r>
              <w:rPr>
                <w:rFonts w:hint="default" w:ascii="Calibri" w:hAnsi="Calibri" w:eastAsia="SimSun" w:cs="Calibri"/>
                <w:b/>
                <w:bCs/>
                <w:color w:val="B45309"/>
                <w:sz w:val="21"/>
                <w:szCs w:val="21"/>
                <w:bdr w:val="none" w:color="auto" w:sz="0" w:space="0"/>
              </w:rPr>
              <w:t>[__]</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77454F28">
            <w:pPr>
              <w:keepNext w:val="0"/>
              <w:keepLines w:val="0"/>
              <w:widowControl/>
              <w:suppressLineNumbers w:val="0"/>
              <w:spacing w:line="23" w:lineRule="atLeast"/>
              <w:jc w:val="left"/>
              <w:textAlignment w:val="top"/>
              <w:rPr>
                <w:rFonts w:hint="default" w:ascii="Calibri" w:hAnsi="Calibri" w:cs="Calibri"/>
                <w:b/>
                <w:bCs/>
                <w:color w:val="B45309"/>
                <w:sz w:val="21"/>
                <w:szCs w:val="21"/>
              </w:rPr>
            </w:pPr>
            <w:r>
              <w:rPr>
                <w:rFonts w:hint="default" w:ascii="Calibri" w:hAnsi="Calibri" w:eastAsia="SimSun" w:cs="Calibri"/>
                <w:b/>
                <w:bCs/>
                <w:color w:val="B45309"/>
                <w:sz w:val="21"/>
                <w:szCs w:val="21"/>
                <w:bdr w:val="none" w:color="auto" w:sz="0" w:space="0"/>
              </w:rPr>
              <w:t>[__]</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758CEEB1">
            <w:pPr>
              <w:keepNext w:val="0"/>
              <w:keepLines w:val="0"/>
              <w:widowControl/>
              <w:suppressLineNumbers w:val="0"/>
              <w:spacing w:line="23" w:lineRule="atLeast"/>
              <w:jc w:val="left"/>
              <w:textAlignment w:val="top"/>
              <w:rPr>
                <w:rFonts w:hint="default" w:ascii="Calibri" w:hAnsi="Calibri" w:cs="Calibri"/>
                <w:b/>
                <w:bCs/>
                <w:color w:val="B45309"/>
                <w:sz w:val="21"/>
                <w:szCs w:val="21"/>
              </w:rPr>
            </w:pPr>
            <w:r>
              <w:rPr>
                <w:rFonts w:hint="default" w:ascii="Calibri" w:hAnsi="Calibri" w:eastAsia="SimSun" w:cs="Calibri"/>
                <w:b/>
                <w:bCs/>
                <w:color w:val="B45309"/>
                <w:sz w:val="21"/>
                <w:szCs w:val="21"/>
                <w:bdr w:val="none" w:color="auto" w:sz="0" w:space="0"/>
              </w:rPr>
              <w:t>[__]</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15359756">
            <w:pPr>
              <w:keepNext w:val="0"/>
              <w:keepLines w:val="0"/>
              <w:widowControl/>
              <w:suppressLineNumbers w:val="0"/>
              <w:spacing w:line="23" w:lineRule="atLeast"/>
              <w:jc w:val="left"/>
              <w:textAlignment w:val="top"/>
              <w:rPr>
                <w:rFonts w:hint="default" w:ascii="Calibri" w:hAnsi="Calibri" w:cs="Calibri"/>
                <w:b/>
                <w:bCs/>
                <w:color w:val="B45309"/>
                <w:sz w:val="21"/>
                <w:szCs w:val="21"/>
              </w:rPr>
            </w:pPr>
            <w:r>
              <w:rPr>
                <w:rFonts w:hint="default" w:ascii="Calibri" w:hAnsi="Calibri" w:eastAsia="SimSun" w:cs="Calibri"/>
                <w:b/>
                <w:bCs/>
                <w:color w:val="B45309"/>
                <w:sz w:val="21"/>
                <w:szCs w:val="21"/>
                <w:bdr w:val="none" w:color="auto" w:sz="0" w:space="0"/>
              </w:rPr>
              <w:t>[__]</w:t>
            </w:r>
          </w:p>
        </w:tc>
      </w:tr>
      <w:tr w14:paraId="73D572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28846283">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Gross margin %</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55D45B5C">
            <w:pPr>
              <w:keepNext w:val="0"/>
              <w:keepLines w:val="0"/>
              <w:widowControl/>
              <w:suppressLineNumbers w:val="0"/>
              <w:spacing w:line="23" w:lineRule="atLeast"/>
              <w:jc w:val="left"/>
              <w:textAlignment w:val="top"/>
              <w:rPr>
                <w:rFonts w:hint="default" w:ascii="Calibri" w:hAnsi="Calibri" w:cs="Calibri"/>
                <w:b/>
                <w:bCs/>
                <w:color w:val="B45309"/>
                <w:sz w:val="21"/>
                <w:szCs w:val="21"/>
              </w:rPr>
            </w:pPr>
            <w:r>
              <w:rPr>
                <w:rFonts w:hint="default" w:ascii="Calibri" w:hAnsi="Calibri" w:eastAsia="SimSun" w:cs="Calibri"/>
                <w:b/>
                <w:bCs/>
                <w:color w:val="B45309"/>
                <w:sz w:val="21"/>
                <w:szCs w:val="21"/>
                <w:bdr w:val="none" w:color="auto" w:sz="0" w:space="0"/>
              </w:rPr>
              <w:t>[__]</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71981C4A">
            <w:pPr>
              <w:keepNext w:val="0"/>
              <w:keepLines w:val="0"/>
              <w:widowControl/>
              <w:suppressLineNumbers w:val="0"/>
              <w:spacing w:line="23" w:lineRule="atLeast"/>
              <w:jc w:val="left"/>
              <w:textAlignment w:val="top"/>
              <w:rPr>
                <w:rFonts w:hint="default" w:ascii="Calibri" w:hAnsi="Calibri" w:cs="Calibri"/>
                <w:b/>
                <w:bCs/>
                <w:color w:val="B45309"/>
                <w:sz w:val="21"/>
                <w:szCs w:val="21"/>
              </w:rPr>
            </w:pPr>
            <w:r>
              <w:rPr>
                <w:rFonts w:hint="default" w:ascii="Calibri" w:hAnsi="Calibri" w:eastAsia="SimSun" w:cs="Calibri"/>
                <w:b/>
                <w:bCs/>
                <w:color w:val="B45309"/>
                <w:sz w:val="21"/>
                <w:szCs w:val="21"/>
                <w:bdr w:val="none" w:color="auto" w:sz="0" w:space="0"/>
              </w:rPr>
              <w:t>[__]</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5BE79E7F">
            <w:pPr>
              <w:keepNext w:val="0"/>
              <w:keepLines w:val="0"/>
              <w:widowControl/>
              <w:suppressLineNumbers w:val="0"/>
              <w:spacing w:line="23" w:lineRule="atLeast"/>
              <w:jc w:val="left"/>
              <w:textAlignment w:val="top"/>
              <w:rPr>
                <w:rFonts w:hint="default" w:ascii="Calibri" w:hAnsi="Calibri" w:cs="Calibri"/>
                <w:b/>
                <w:bCs/>
                <w:color w:val="B45309"/>
                <w:sz w:val="21"/>
                <w:szCs w:val="21"/>
              </w:rPr>
            </w:pPr>
            <w:r>
              <w:rPr>
                <w:rFonts w:hint="default" w:ascii="Calibri" w:hAnsi="Calibri" w:eastAsia="SimSun" w:cs="Calibri"/>
                <w:b/>
                <w:bCs/>
                <w:color w:val="B45309"/>
                <w:sz w:val="21"/>
                <w:szCs w:val="21"/>
                <w:bdr w:val="none" w:color="auto" w:sz="0" w:space="0"/>
              </w:rPr>
              <w:t>[__]</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32F22DBA">
            <w:pPr>
              <w:keepNext w:val="0"/>
              <w:keepLines w:val="0"/>
              <w:widowControl/>
              <w:suppressLineNumbers w:val="0"/>
              <w:spacing w:line="23" w:lineRule="atLeast"/>
              <w:jc w:val="left"/>
              <w:textAlignment w:val="top"/>
              <w:rPr>
                <w:rFonts w:hint="default" w:ascii="Calibri" w:hAnsi="Calibri" w:cs="Calibri"/>
                <w:b/>
                <w:bCs/>
                <w:color w:val="B45309"/>
                <w:sz w:val="21"/>
                <w:szCs w:val="21"/>
              </w:rPr>
            </w:pPr>
            <w:r>
              <w:rPr>
                <w:rFonts w:hint="default" w:ascii="Calibri" w:hAnsi="Calibri" w:eastAsia="SimSun" w:cs="Calibri"/>
                <w:b/>
                <w:bCs/>
                <w:color w:val="B45309"/>
                <w:sz w:val="21"/>
                <w:szCs w:val="21"/>
                <w:bdr w:val="none" w:color="auto" w:sz="0" w:space="0"/>
              </w:rPr>
              <w:t>[__]</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7964BB86">
            <w:pPr>
              <w:keepNext w:val="0"/>
              <w:keepLines w:val="0"/>
              <w:widowControl/>
              <w:suppressLineNumbers w:val="0"/>
              <w:spacing w:line="23" w:lineRule="atLeast"/>
              <w:jc w:val="left"/>
              <w:textAlignment w:val="top"/>
              <w:rPr>
                <w:rFonts w:hint="default" w:ascii="Calibri" w:hAnsi="Calibri" w:cs="Calibri"/>
                <w:b/>
                <w:bCs/>
                <w:color w:val="B45309"/>
                <w:sz w:val="21"/>
                <w:szCs w:val="21"/>
              </w:rPr>
            </w:pPr>
            <w:r>
              <w:rPr>
                <w:rFonts w:hint="default" w:ascii="Calibri" w:hAnsi="Calibri" w:eastAsia="SimSun" w:cs="Calibri"/>
                <w:b/>
                <w:bCs/>
                <w:color w:val="B45309"/>
                <w:sz w:val="21"/>
                <w:szCs w:val="21"/>
                <w:bdr w:val="none" w:color="auto" w:sz="0" w:space="0"/>
              </w:rPr>
              <w:t>[__]</w:t>
            </w:r>
          </w:p>
        </w:tc>
      </w:tr>
      <w:tr w14:paraId="71EF16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75712B2A">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EBITDA</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52CCBE40">
            <w:pPr>
              <w:keepNext w:val="0"/>
              <w:keepLines w:val="0"/>
              <w:widowControl/>
              <w:suppressLineNumbers w:val="0"/>
              <w:spacing w:line="23" w:lineRule="atLeast"/>
              <w:jc w:val="left"/>
              <w:textAlignment w:val="top"/>
              <w:rPr>
                <w:rFonts w:hint="default" w:ascii="Calibri" w:hAnsi="Calibri" w:cs="Calibri"/>
                <w:b/>
                <w:bCs/>
                <w:color w:val="B45309"/>
                <w:sz w:val="21"/>
                <w:szCs w:val="21"/>
              </w:rPr>
            </w:pPr>
            <w:r>
              <w:rPr>
                <w:rFonts w:hint="default" w:ascii="Calibri" w:hAnsi="Calibri" w:eastAsia="SimSun" w:cs="Calibri"/>
                <w:b/>
                <w:bCs/>
                <w:color w:val="B45309"/>
                <w:sz w:val="21"/>
                <w:szCs w:val="21"/>
                <w:bdr w:val="none" w:color="auto" w:sz="0" w:space="0"/>
              </w:rPr>
              <w:t>[__]</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399ACE12">
            <w:pPr>
              <w:keepNext w:val="0"/>
              <w:keepLines w:val="0"/>
              <w:widowControl/>
              <w:suppressLineNumbers w:val="0"/>
              <w:spacing w:line="23" w:lineRule="atLeast"/>
              <w:jc w:val="left"/>
              <w:textAlignment w:val="top"/>
              <w:rPr>
                <w:rFonts w:hint="default" w:ascii="Calibri" w:hAnsi="Calibri" w:cs="Calibri"/>
                <w:b/>
                <w:bCs/>
                <w:color w:val="B45309"/>
                <w:sz w:val="21"/>
                <w:szCs w:val="21"/>
              </w:rPr>
            </w:pPr>
            <w:r>
              <w:rPr>
                <w:rFonts w:hint="default" w:ascii="Calibri" w:hAnsi="Calibri" w:eastAsia="SimSun" w:cs="Calibri"/>
                <w:b/>
                <w:bCs/>
                <w:color w:val="B45309"/>
                <w:sz w:val="21"/>
                <w:szCs w:val="21"/>
                <w:bdr w:val="none" w:color="auto" w:sz="0" w:space="0"/>
              </w:rPr>
              <w:t>[__]</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5C756F39">
            <w:pPr>
              <w:keepNext w:val="0"/>
              <w:keepLines w:val="0"/>
              <w:widowControl/>
              <w:suppressLineNumbers w:val="0"/>
              <w:spacing w:line="23" w:lineRule="atLeast"/>
              <w:jc w:val="left"/>
              <w:textAlignment w:val="top"/>
              <w:rPr>
                <w:rFonts w:hint="default" w:ascii="Calibri" w:hAnsi="Calibri" w:cs="Calibri"/>
                <w:b/>
                <w:bCs/>
                <w:color w:val="B45309"/>
                <w:sz w:val="21"/>
                <w:szCs w:val="21"/>
              </w:rPr>
            </w:pPr>
            <w:r>
              <w:rPr>
                <w:rFonts w:hint="default" w:ascii="Calibri" w:hAnsi="Calibri" w:eastAsia="SimSun" w:cs="Calibri"/>
                <w:b/>
                <w:bCs/>
                <w:color w:val="B45309"/>
                <w:sz w:val="21"/>
                <w:szCs w:val="21"/>
                <w:bdr w:val="none" w:color="auto" w:sz="0" w:space="0"/>
              </w:rPr>
              <w:t>[__]</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4EEFEE0B">
            <w:pPr>
              <w:keepNext w:val="0"/>
              <w:keepLines w:val="0"/>
              <w:widowControl/>
              <w:suppressLineNumbers w:val="0"/>
              <w:spacing w:line="23" w:lineRule="atLeast"/>
              <w:jc w:val="left"/>
              <w:textAlignment w:val="top"/>
              <w:rPr>
                <w:rFonts w:hint="default" w:ascii="Calibri" w:hAnsi="Calibri" w:cs="Calibri"/>
                <w:b/>
                <w:bCs/>
                <w:color w:val="B45309"/>
                <w:sz w:val="21"/>
                <w:szCs w:val="21"/>
              </w:rPr>
            </w:pPr>
            <w:r>
              <w:rPr>
                <w:rFonts w:hint="default" w:ascii="Calibri" w:hAnsi="Calibri" w:eastAsia="SimSun" w:cs="Calibri"/>
                <w:b/>
                <w:bCs/>
                <w:color w:val="B45309"/>
                <w:sz w:val="21"/>
                <w:szCs w:val="21"/>
                <w:bdr w:val="none" w:color="auto" w:sz="0" w:space="0"/>
              </w:rPr>
              <w:t>[__]</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2C23D476">
            <w:pPr>
              <w:keepNext w:val="0"/>
              <w:keepLines w:val="0"/>
              <w:widowControl/>
              <w:suppressLineNumbers w:val="0"/>
              <w:spacing w:line="23" w:lineRule="atLeast"/>
              <w:jc w:val="left"/>
              <w:textAlignment w:val="top"/>
              <w:rPr>
                <w:rFonts w:hint="default" w:ascii="Calibri" w:hAnsi="Calibri" w:cs="Calibri"/>
                <w:b/>
                <w:bCs/>
                <w:color w:val="B45309"/>
                <w:sz w:val="21"/>
                <w:szCs w:val="21"/>
              </w:rPr>
            </w:pPr>
            <w:r>
              <w:rPr>
                <w:rFonts w:hint="default" w:ascii="Calibri" w:hAnsi="Calibri" w:eastAsia="SimSun" w:cs="Calibri"/>
                <w:b/>
                <w:bCs/>
                <w:color w:val="B45309"/>
                <w:sz w:val="21"/>
                <w:szCs w:val="21"/>
                <w:bdr w:val="none" w:color="auto" w:sz="0" w:space="0"/>
              </w:rPr>
              <w:t>[__]</w:t>
            </w:r>
          </w:p>
        </w:tc>
      </w:tr>
    </w:tbl>
    <w:p w14:paraId="471A82DD">
      <w:pPr>
        <w:pStyle w:val="3"/>
        <w:keepNext w:val="0"/>
        <w:keepLines w:val="0"/>
        <w:widowControl/>
        <w:suppressLineNumbers w:val="0"/>
        <w:spacing w:line="23" w:lineRule="atLeast"/>
      </w:pPr>
      <w:r>
        <w:t>14. The Ask &amp; Use of Funds</w:t>
      </w:r>
    </w:p>
    <w:p w14:paraId="68668E1A">
      <w:pPr>
        <w:pStyle w:val="23"/>
        <w:keepNext w:val="0"/>
        <w:keepLines w:val="0"/>
        <w:widowControl/>
        <w:suppressLineNumbers w:val="0"/>
        <w:spacing w:beforeAutospacing="1" w:afterAutospacing="1" w:line="23" w:lineRule="atLeast"/>
      </w:pPr>
      <w:r>
        <w:rPr>
          <w:rFonts w:hint="default" w:ascii="Calibri" w:hAnsi="Calibri" w:cs="Calibri"/>
          <w:color w:val="1A1A1A"/>
          <w:sz w:val="22"/>
          <w:szCs w:val="22"/>
        </w:rPr>
        <w:t xml:space="preserve">Investprop is raising </w:t>
      </w:r>
      <w:r>
        <w:rPr>
          <w:rStyle w:val="26"/>
          <w:rFonts w:hint="default" w:ascii="Calibri" w:hAnsi="Calibri" w:cs="Calibri"/>
          <w:sz w:val="22"/>
          <w:szCs w:val="22"/>
        </w:rPr>
        <w:t>[R__ million]</w:t>
      </w:r>
      <w:r>
        <w:rPr>
          <w:rFonts w:hint="default" w:ascii="Calibri" w:hAnsi="Calibri" w:cs="Calibri"/>
          <w:color w:val="1A1A1A"/>
          <w:sz w:val="22"/>
          <w:szCs w:val="22"/>
        </w:rPr>
        <w:t xml:space="preserve"> in this round.</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768"/>
        <w:gridCol w:w="2768"/>
        <w:gridCol w:w="2768"/>
      </w:tblGrid>
      <w:tr w14:paraId="6FD368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7A5118"/>
            <w:tcMar>
              <w:top w:w="120" w:type="dxa"/>
              <w:left w:w="160" w:type="dxa"/>
              <w:bottom w:w="120" w:type="dxa"/>
              <w:right w:w="160" w:type="dxa"/>
            </w:tcMar>
            <w:vAlign w:val="center"/>
          </w:tcPr>
          <w:p w14:paraId="24921914">
            <w:pPr>
              <w:keepNext w:val="0"/>
              <w:keepLines w:val="0"/>
              <w:widowControl/>
              <w:suppressLineNumbers w:val="0"/>
              <w:spacing w:line="23" w:lineRule="atLeast"/>
              <w:jc w:val="left"/>
              <w:rPr>
                <w:rFonts w:hint="default" w:ascii="Calibri" w:hAnsi="Calibri" w:cs="Calibri"/>
                <w:b/>
                <w:bCs/>
                <w:color w:val="FFFFFF"/>
                <w:sz w:val="21"/>
                <w:szCs w:val="21"/>
              </w:rPr>
            </w:pPr>
            <w:r>
              <w:rPr>
                <w:rFonts w:hint="default" w:ascii="Calibri" w:hAnsi="Calibri" w:eastAsia="SimSun" w:cs="Calibri"/>
                <w:b/>
                <w:bCs/>
                <w:color w:val="FFFFFF"/>
                <w:sz w:val="21"/>
                <w:szCs w:val="21"/>
                <w:bdr w:val="none" w:color="auto" w:sz="0" w:space="0"/>
              </w:rPr>
              <w:t>Use of funds</w:t>
            </w:r>
          </w:p>
        </w:tc>
        <w:tc>
          <w:tcPr>
            <w:tcW w:w="0" w:type="auto"/>
            <w:shd w:val="clear" w:color="auto" w:fill="7A5118"/>
            <w:tcMar>
              <w:top w:w="120" w:type="dxa"/>
              <w:left w:w="160" w:type="dxa"/>
              <w:bottom w:w="120" w:type="dxa"/>
              <w:right w:w="160" w:type="dxa"/>
            </w:tcMar>
            <w:vAlign w:val="center"/>
          </w:tcPr>
          <w:p w14:paraId="1B6E3381">
            <w:pPr>
              <w:keepNext w:val="0"/>
              <w:keepLines w:val="0"/>
              <w:widowControl/>
              <w:suppressLineNumbers w:val="0"/>
              <w:spacing w:line="23" w:lineRule="atLeast"/>
              <w:jc w:val="left"/>
              <w:rPr>
                <w:rFonts w:hint="default" w:ascii="Calibri" w:hAnsi="Calibri" w:cs="Calibri"/>
                <w:b/>
                <w:bCs/>
                <w:color w:val="FFFFFF"/>
                <w:sz w:val="21"/>
                <w:szCs w:val="21"/>
              </w:rPr>
            </w:pPr>
            <w:r>
              <w:rPr>
                <w:rFonts w:hint="default" w:ascii="Calibri" w:hAnsi="Calibri" w:eastAsia="SimSun" w:cs="Calibri"/>
                <w:b/>
                <w:bCs/>
                <w:color w:val="FFFFFF"/>
                <w:sz w:val="21"/>
                <w:szCs w:val="21"/>
                <w:bdr w:val="none" w:color="auto" w:sz="0" w:space="0"/>
              </w:rPr>
              <w:t>Allocation</w:t>
            </w:r>
          </w:p>
        </w:tc>
        <w:tc>
          <w:tcPr>
            <w:tcW w:w="0" w:type="auto"/>
            <w:shd w:val="clear" w:color="auto" w:fill="7A5118"/>
            <w:tcMar>
              <w:top w:w="120" w:type="dxa"/>
              <w:left w:w="160" w:type="dxa"/>
              <w:bottom w:w="120" w:type="dxa"/>
              <w:right w:w="160" w:type="dxa"/>
            </w:tcMar>
            <w:vAlign w:val="center"/>
          </w:tcPr>
          <w:p w14:paraId="405D66A8">
            <w:pPr>
              <w:keepNext w:val="0"/>
              <w:keepLines w:val="0"/>
              <w:widowControl/>
              <w:suppressLineNumbers w:val="0"/>
              <w:spacing w:line="23" w:lineRule="atLeast"/>
              <w:jc w:val="left"/>
              <w:rPr>
                <w:rFonts w:hint="default" w:ascii="Calibri" w:hAnsi="Calibri" w:cs="Calibri"/>
                <w:b/>
                <w:bCs/>
                <w:color w:val="FFFFFF"/>
                <w:sz w:val="21"/>
                <w:szCs w:val="21"/>
              </w:rPr>
            </w:pPr>
            <w:r>
              <w:rPr>
                <w:rFonts w:hint="default" w:ascii="Calibri" w:hAnsi="Calibri" w:eastAsia="SimSun" w:cs="Calibri"/>
                <w:b/>
                <w:bCs/>
                <w:color w:val="FFFFFF"/>
                <w:sz w:val="21"/>
                <w:szCs w:val="21"/>
                <w:bdr w:val="none" w:color="auto" w:sz="0" w:space="0"/>
              </w:rPr>
              <w:t>Purpose</w:t>
            </w:r>
          </w:p>
        </w:tc>
      </w:tr>
      <w:tr w14:paraId="6965E1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6536003B">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Growth &amp; marketing</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3D959222">
            <w:pPr>
              <w:keepNext w:val="0"/>
              <w:keepLines w:val="0"/>
              <w:widowControl/>
              <w:suppressLineNumbers w:val="0"/>
              <w:spacing w:line="23" w:lineRule="atLeast"/>
              <w:jc w:val="left"/>
              <w:textAlignment w:val="top"/>
              <w:rPr>
                <w:rFonts w:hint="default" w:ascii="Calibri" w:hAnsi="Calibri" w:cs="Calibri"/>
                <w:b/>
                <w:bCs/>
                <w:color w:val="B45309"/>
                <w:sz w:val="21"/>
                <w:szCs w:val="21"/>
              </w:rPr>
            </w:pPr>
            <w:r>
              <w:rPr>
                <w:rFonts w:hint="default" w:ascii="Calibri" w:hAnsi="Calibri" w:eastAsia="SimSun" w:cs="Calibri"/>
                <w:b/>
                <w:bCs/>
                <w:color w:val="B45309"/>
                <w:sz w:val="21"/>
                <w:szCs w:val="21"/>
                <w:bdr w:val="none" w:color="auto" w:sz="0" w:space="0"/>
              </w:rPr>
              <w:t>[__]%</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4DF525CD">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Paid acquisition, content, partnerships, subscriber growth.</w:t>
            </w:r>
          </w:p>
        </w:tc>
      </w:tr>
      <w:tr w14:paraId="5B313B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3F96FA34">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Deal origination</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29953F2B">
            <w:pPr>
              <w:keepNext w:val="0"/>
              <w:keepLines w:val="0"/>
              <w:widowControl/>
              <w:suppressLineNumbers w:val="0"/>
              <w:spacing w:line="23" w:lineRule="atLeast"/>
              <w:jc w:val="left"/>
              <w:textAlignment w:val="top"/>
              <w:rPr>
                <w:rFonts w:hint="default" w:ascii="Calibri" w:hAnsi="Calibri" w:cs="Calibri"/>
                <w:b/>
                <w:bCs/>
                <w:color w:val="B45309"/>
                <w:sz w:val="21"/>
                <w:szCs w:val="21"/>
              </w:rPr>
            </w:pPr>
            <w:r>
              <w:rPr>
                <w:rFonts w:hint="default" w:ascii="Calibri" w:hAnsi="Calibri" w:eastAsia="SimSun" w:cs="Calibri"/>
                <w:b/>
                <w:bCs/>
                <w:color w:val="B45309"/>
                <w:sz w:val="21"/>
                <w:szCs w:val="21"/>
                <w:bdr w:val="none" w:color="auto" w:sz="0" w:space="0"/>
              </w:rPr>
              <w:t>[__]%</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308F981E">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Sourcing capacity and first-party deal flow.</w:t>
            </w:r>
          </w:p>
        </w:tc>
      </w:tr>
      <w:tr w14:paraId="5C3571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027C86D2">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Regulatory &amp; compliance</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0BCD7DD6">
            <w:pPr>
              <w:keepNext w:val="0"/>
              <w:keepLines w:val="0"/>
              <w:widowControl/>
              <w:suppressLineNumbers w:val="0"/>
              <w:spacing w:line="23" w:lineRule="atLeast"/>
              <w:jc w:val="left"/>
              <w:textAlignment w:val="top"/>
              <w:rPr>
                <w:rFonts w:hint="default" w:ascii="Calibri" w:hAnsi="Calibri" w:cs="Calibri"/>
                <w:b/>
                <w:bCs/>
                <w:color w:val="B45309"/>
                <w:sz w:val="21"/>
                <w:szCs w:val="21"/>
              </w:rPr>
            </w:pPr>
            <w:r>
              <w:rPr>
                <w:rFonts w:hint="default" w:ascii="Calibri" w:hAnsi="Calibri" w:eastAsia="SimSun" w:cs="Calibri"/>
                <w:b/>
                <w:bCs/>
                <w:color w:val="B45309"/>
                <w:sz w:val="21"/>
                <w:szCs w:val="21"/>
                <w:bdr w:val="none" w:color="auto" w:sz="0" w:space="0"/>
              </w:rPr>
              <w:t>[__]%</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3519BDAD">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FSCA partner integration, legal, licensing, audit.</w:t>
            </w:r>
          </w:p>
        </w:tc>
      </w:tr>
      <w:tr w14:paraId="7D690F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0791F39E">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Product &amp; engineering</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1FA4239F">
            <w:pPr>
              <w:keepNext w:val="0"/>
              <w:keepLines w:val="0"/>
              <w:widowControl/>
              <w:suppressLineNumbers w:val="0"/>
              <w:spacing w:line="23" w:lineRule="atLeast"/>
              <w:jc w:val="left"/>
              <w:textAlignment w:val="top"/>
              <w:rPr>
                <w:rFonts w:hint="default" w:ascii="Calibri" w:hAnsi="Calibri" w:cs="Calibri"/>
                <w:b/>
                <w:bCs/>
                <w:color w:val="B45309"/>
                <w:sz w:val="21"/>
                <w:szCs w:val="21"/>
              </w:rPr>
            </w:pPr>
            <w:r>
              <w:rPr>
                <w:rFonts w:hint="default" w:ascii="Calibri" w:hAnsi="Calibri" w:eastAsia="SimSun" w:cs="Calibri"/>
                <w:b/>
                <w:bCs/>
                <w:color w:val="B45309"/>
                <w:sz w:val="21"/>
                <w:szCs w:val="21"/>
                <w:bdr w:val="none" w:color="auto" w:sz="0" w:space="0"/>
              </w:rPr>
              <w:t>[__]%</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2CE3241B">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Feature depth, scale, data &amp; AI.</w:t>
            </w:r>
          </w:p>
        </w:tc>
      </w:tr>
      <w:tr w14:paraId="2C7339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088AE5D8">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Operations &amp; team</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51296F57">
            <w:pPr>
              <w:keepNext w:val="0"/>
              <w:keepLines w:val="0"/>
              <w:widowControl/>
              <w:suppressLineNumbers w:val="0"/>
              <w:spacing w:line="23" w:lineRule="atLeast"/>
              <w:jc w:val="left"/>
              <w:textAlignment w:val="top"/>
              <w:rPr>
                <w:rFonts w:hint="default" w:ascii="Calibri" w:hAnsi="Calibri" w:cs="Calibri"/>
                <w:b/>
                <w:bCs/>
                <w:color w:val="B45309"/>
                <w:sz w:val="21"/>
                <w:szCs w:val="21"/>
              </w:rPr>
            </w:pPr>
            <w:r>
              <w:rPr>
                <w:rFonts w:hint="default" w:ascii="Calibri" w:hAnsi="Calibri" w:eastAsia="SimSun" w:cs="Calibri"/>
                <w:b/>
                <w:bCs/>
                <w:color w:val="B45309"/>
                <w:sz w:val="21"/>
                <w:szCs w:val="21"/>
                <w:bdr w:val="none" w:color="auto" w:sz="0" w:space="0"/>
              </w:rPr>
              <w:t>[__]%</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52C7DC6B">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Key hires across ops, compliance, and support.</w:t>
            </w:r>
          </w:p>
        </w:tc>
      </w:tr>
      <w:tr w14:paraId="61C24F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09AE176B">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Working capital</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28A96285">
            <w:pPr>
              <w:keepNext w:val="0"/>
              <w:keepLines w:val="0"/>
              <w:widowControl/>
              <w:suppressLineNumbers w:val="0"/>
              <w:spacing w:line="23" w:lineRule="atLeast"/>
              <w:jc w:val="left"/>
              <w:textAlignment w:val="top"/>
              <w:rPr>
                <w:rFonts w:hint="default" w:ascii="Calibri" w:hAnsi="Calibri" w:cs="Calibri"/>
                <w:b/>
                <w:bCs/>
                <w:color w:val="B45309"/>
                <w:sz w:val="21"/>
                <w:szCs w:val="21"/>
              </w:rPr>
            </w:pPr>
            <w:r>
              <w:rPr>
                <w:rFonts w:hint="default" w:ascii="Calibri" w:hAnsi="Calibri" w:eastAsia="SimSun" w:cs="Calibri"/>
                <w:b/>
                <w:bCs/>
                <w:color w:val="B45309"/>
                <w:sz w:val="21"/>
                <w:szCs w:val="21"/>
                <w:bdr w:val="none" w:color="auto" w:sz="0" w:space="0"/>
              </w:rPr>
              <w:t>[__]%</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24E34F19">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Runway buffer.</w:t>
            </w:r>
          </w:p>
        </w:tc>
      </w:tr>
    </w:tbl>
    <w:p w14:paraId="55084AF8">
      <w:pPr>
        <w:pStyle w:val="3"/>
        <w:keepNext w:val="0"/>
        <w:keepLines w:val="0"/>
        <w:widowControl/>
        <w:suppressLineNumbers w:val="0"/>
        <w:spacing w:line="23" w:lineRule="atLeast"/>
      </w:pPr>
      <w:r>
        <w:t>15. Investment Terms (Indicative)</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153"/>
        <w:gridCol w:w="4153"/>
      </w:tblGrid>
      <w:tr w14:paraId="2E47C0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4C3D4452">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Instrument</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5724CF29">
            <w:pPr>
              <w:keepNext w:val="0"/>
              <w:keepLines w:val="0"/>
              <w:widowControl/>
              <w:suppressLineNumbers w:val="0"/>
              <w:spacing w:line="23" w:lineRule="atLeast"/>
              <w:jc w:val="left"/>
              <w:textAlignment w:val="top"/>
              <w:rPr>
                <w:rFonts w:hint="default" w:ascii="Calibri" w:hAnsi="Calibri" w:cs="Calibri"/>
                <w:color w:val="1A1A1A"/>
                <w:sz w:val="21"/>
                <w:szCs w:val="21"/>
              </w:rPr>
            </w:pPr>
            <w:r>
              <w:rPr>
                <w:rStyle w:val="26"/>
                <w:rFonts w:hint="default" w:ascii="Calibri" w:hAnsi="Calibri" w:eastAsia="SimSun" w:cs="Calibri"/>
                <w:sz w:val="21"/>
                <w:szCs w:val="21"/>
                <w:bdr w:val="none" w:color="auto" w:sz="0" w:space="0"/>
              </w:rPr>
              <w:t>[Ordinary equity / SAFE / convertible]</w:t>
            </w:r>
          </w:p>
        </w:tc>
      </w:tr>
      <w:tr w14:paraId="0C58DF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7AF91BCA">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Pre-money valuation</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60729F77">
            <w:pPr>
              <w:keepNext w:val="0"/>
              <w:keepLines w:val="0"/>
              <w:widowControl/>
              <w:suppressLineNumbers w:val="0"/>
              <w:spacing w:line="23" w:lineRule="atLeast"/>
              <w:jc w:val="left"/>
              <w:textAlignment w:val="top"/>
              <w:rPr>
                <w:rFonts w:hint="default" w:ascii="Calibri" w:hAnsi="Calibri" w:cs="Calibri"/>
                <w:color w:val="1A1A1A"/>
                <w:sz w:val="21"/>
                <w:szCs w:val="21"/>
              </w:rPr>
            </w:pPr>
            <w:r>
              <w:rPr>
                <w:rStyle w:val="26"/>
                <w:rFonts w:hint="default" w:ascii="Calibri" w:hAnsi="Calibri" w:eastAsia="SimSun" w:cs="Calibri"/>
                <w:sz w:val="21"/>
                <w:szCs w:val="21"/>
                <w:bdr w:val="none" w:color="auto" w:sz="0" w:space="0"/>
              </w:rPr>
              <w:t>[R__ million]</w:t>
            </w:r>
          </w:p>
        </w:tc>
      </w:tr>
      <w:tr w14:paraId="7C3103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7CDE43A6">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Amount sought</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62F3E0A0">
            <w:pPr>
              <w:keepNext w:val="0"/>
              <w:keepLines w:val="0"/>
              <w:widowControl/>
              <w:suppressLineNumbers w:val="0"/>
              <w:spacing w:line="23" w:lineRule="atLeast"/>
              <w:jc w:val="left"/>
              <w:textAlignment w:val="top"/>
              <w:rPr>
                <w:rFonts w:hint="default" w:ascii="Calibri" w:hAnsi="Calibri" w:cs="Calibri"/>
                <w:color w:val="1A1A1A"/>
                <w:sz w:val="21"/>
                <w:szCs w:val="21"/>
              </w:rPr>
            </w:pPr>
            <w:r>
              <w:rPr>
                <w:rStyle w:val="26"/>
                <w:rFonts w:hint="default" w:ascii="Calibri" w:hAnsi="Calibri" w:eastAsia="SimSun" w:cs="Calibri"/>
                <w:sz w:val="21"/>
                <w:szCs w:val="21"/>
                <w:bdr w:val="none" w:color="auto" w:sz="0" w:space="0"/>
              </w:rPr>
              <w:t>[R__ million]</w:t>
            </w:r>
          </w:p>
        </w:tc>
      </w:tr>
      <w:tr w14:paraId="1F9E13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42B38917">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Minimum ticket</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0352CBEE">
            <w:pPr>
              <w:keepNext w:val="0"/>
              <w:keepLines w:val="0"/>
              <w:widowControl/>
              <w:suppressLineNumbers w:val="0"/>
              <w:spacing w:line="23" w:lineRule="atLeast"/>
              <w:jc w:val="left"/>
              <w:textAlignment w:val="top"/>
              <w:rPr>
                <w:rFonts w:hint="default" w:ascii="Calibri" w:hAnsi="Calibri" w:cs="Calibri"/>
                <w:color w:val="1A1A1A"/>
                <w:sz w:val="21"/>
                <w:szCs w:val="21"/>
              </w:rPr>
            </w:pPr>
            <w:r>
              <w:rPr>
                <w:rStyle w:val="26"/>
                <w:rFonts w:hint="default" w:ascii="Calibri" w:hAnsi="Calibri" w:eastAsia="SimSun" w:cs="Calibri"/>
                <w:sz w:val="21"/>
                <w:szCs w:val="21"/>
                <w:bdr w:val="none" w:color="auto" w:sz="0" w:space="0"/>
              </w:rPr>
              <w:t>[R__]</w:t>
            </w:r>
          </w:p>
        </w:tc>
      </w:tr>
      <w:tr w14:paraId="2AC893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0C9F9611">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Investor rights</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43F64B02">
            <w:pPr>
              <w:keepNext w:val="0"/>
              <w:keepLines w:val="0"/>
              <w:widowControl/>
              <w:suppressLineNumbers w:val="0"/>
              <w:spacing w:line="23" w:lineRule="atLeast"/>
              <w:jc w:val="left"/>
              <w:textAlignment w:val="top"/>
              <w:rPr>
                <w:rFonts w:hint="default" w:ascii="Calibri" w:hAnsi="Calibri" w:cs="Calibri"/>
                <w:color w:val="1A1A1A"/>
                <w:sz w:val="21"/>
                <w:szCs w:val="21"/>
              </w:rPr>
            </w:pPr>
            <w:r>
              <w:rPr>
                <w:rStyle w:val="26"/>
                <w:rFonts w:hint="default" w:ascii="Calibri" w:hAnsi="Calibri" w:eastAsia="SimSun" w:cs="Calibri"/>
                <w:sz w:val="21"/>
                <w:szCs w:val="21"/>
                <w:bdr w:val="none" w:color="auto" w:sz="0" w:space="0"/>
              </w:rPr>
              <w:t>[Information rights, pro-rata, board observer, etc.]</w:t>
            </w:r>
          </w:p>
        </w:tc>
      </w:tr>
      <w:tr w14:paraId="31E6C6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5F3F68CB">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Use of proceeds</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1675B5CF">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As per Section 14</w:t>
            </w:r>
          </w:p>
        </w:tc>
      </w:tr>
    </w:tbl>
    <w:p w14:paraId="6E33FDF9">
      <w:pPr>
        <w:pStyle w:val="11"/>
        <w:keepNext w:val="0"/>
        <w:keepLines w:val="0"/>
        <w:widowControl/>
        <w:suppressLineNumbers w:val="0"/>
        <w:spacing w:before="0" w:beforeAutospacing="0" w:after="160" w:afterAutospacing="0" w:line="23" w:lineRule="atLeast"/>
        <w:ind w:left="0" w:right="0"/>
      </w:pPr>
      <w:r>
        <w:rPr>
          <w:rFonts w:hint="default" w:ascii="Calibri" w:hAnsi="Calibri" w:cs="Calibri"/>
          <w:color w:val="1A1A1A"/>
          <w:sz w:val="22"/>
          <w:szCs w:val="22"/>
        </w:rPr>
        <w:t>Indicative only and subject to definitive subscription and shareholders’ agreements.</w:t>
      </w:r>
    </w:p>
    <w:p w14:paraId="645FC398">
      <w:pPr>
        <w:pStyle w:val="3"/>
        <w:keepNext w:val="0"/>
        <w:keepLines w:val="0"/>
        <w:widowControl/>
        <w:suppressLineNumbers w:val="0"/>
        <w:spacing w:line="23" w:lineRule="atLeast"/>
      </w:pPr>
      <w:r>
        <w:t>16. Key Risks &amp; Mitigations</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153"/>
        <w:gridCol w:w="4153"/>
      </w:tblGrid>
      <w:tr w14:paraId="5A49B8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7A5118"/>
            <w:tcMar>
              <w:top w:w="120" w:type="dxa"/>
              <w:left w:w="160" w:type="dxa"/>
              <w:bottom w:w="120" w:type="dxa"/>
              <w:right w:w="160" w:type="dxa"/>
            </w:tcMar>
            <w:vAlign w:val="center"/>
          </w:tcPr>
          <w:p w14:paraId="7C68C9A4">
            <w:pPr>
              <w:keepNext w:val="0"/>
              <w:keepLines w:val="0"/>
              <w:widowControl/>
              <w:suppressLineNumbers w:val="0"/>
              <w:spacing w:line="23" w:lineRule="atLeast"/>
              <w:jc w:val="left"/>
              <w:rPr>
                <w:rFonts w:hint="default" w:ascii="Calibri" w:hAnsi="Calibri" w:cs="Calibri"/>
                <w:b/>
                <w:bCs/>
                <w:color w:val="FFFFFF"/>
                <w:sz w:val="21"/>
                <w:szCs w:val="21"/>
              </w:rPr>
            </w:pPr>
            <w:r>
              <w:rPr>
                <w:rFonts w:hint="default" w:ascii="Calibri" w:hAnsi="Calibri" w:eastAsia="SimSun" w:cs="Calibri"/>
                <w:b/>
                <w:bCs/>
                <w:color w:val="FFFFFF"/>
                <w:sz w:val="21"/>
                <w:szCs w:val="21"/>
                <w:bdr w:val="none" w:color="auto" w:sz="0" w:space="0"/>
              </w:rPr>
              <w:t>Risk</w:t>
            </w:r>
          </w:p>
        </w:tc>
        <w:tc>
          <w:tcPr>
            <w:tcW w:w="0" w:type="auto"/>
            <w:shd w:val="clear" w:color="auto" w:fill="7A5118"/>
            <w:tcMar>
              <w:top w:w="120" w:type="dxa"/>
              <w:left w:w="160" w:type="dxa"/>
              <w:bottom w:w="120" w:type="dxa"/>
              <w:right w:w="160" w:type="dxa"/>
            </w:tcMar>
            <w:vAlign w:val="center"/>
          </w:tcPr>
          <w:p w14:paraId="29E9C92C">
            <w:pPr>
              <w:keepNext w:val="0"/>
              <w:keepLines w:val="0"/>
              <w:widowControl/>
              <w:suppressLineNumbers w:val="0"/>
              <w:spacing w:line="23" w:lineRule="atLeast"/>
              <w:jc w:val="left"/>
              <w:rPr>
                <w:rFonts w:hint="default" w:ascii="Calibri" w:hAnsi="Calibri" w:cs="Calibri"/>
                <w:b/>
                <w:bCs/>
                <w:color w:val="FFFFFF"/>
                <w:sz w:val="21"/>
                <w:szCs w:val="21"/>
              </w:rPr>
            </w:pPr>
            <w:r>
              <w:rPr>
                <w:rFonts w:hint="default" w:ascii="Calibri" w:hAnsi="Calibri" w:eastAsia="SimSun" w:cs="Calibri"/>
                <w:b/>
                <w:bCs/>
                <w:color w:val="FFFFFF"/>
                <w:sz w:val="21"/>
                <w:szCs w:val="21"/>
                <w:bdr w:val="none" w:color="auto" w:sz="0" w:space="0"/>
              </w:rPr>
              <w:t>Mitigation</w:t>
            </w:r>
          </w:p>
        </w:tc>
      </w:tr>
      <w:tr w14:paraId="44749B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6E819115">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Regulatory (fractional co-investment)</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012E9392">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Operate through an FSCA-accredited partner; phased rollout; legal counsel.</w:t>
            </w:r>
          </w:p>
        </w:tc>
      </w:tr>
      <w:tr w14:paraId="7A4596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122D71DF">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Market / property cycle</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3158A999">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Diversified SPVs, conservative underwriting, distressed focus (margin of safety).</w:t>
            </w:r>
          </w:p>
        </w:tc>
      </w:tr>
      <w:tr w14:paraId="6E136E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41C6D25B">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Adoption / CAC</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2F6B0BFD">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Lead with high-ROI tools; organic content funnel; two-sided origination.</w:t>
            </w:r>
          </w:p>
        </w:tc>
      </w:tr>
      <w:tr w14:paraId="315843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2B8E46A0">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Execution / key-person</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0CA475BF">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Documented systems, automation, planned key hires.</w:t>
            </w:r>
          </w:p>
        </w:tc>
      </w:tr>
      <w:tr w14:paraId="5D9704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0680C25C">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Liquidity for investors</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229C1053">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Secondary-trade mechanism and defined exit pathways.</w:t>
            </w:r>
          </w:p>
        </w:tc>
      </w:tr>
      <w:tr w14:paraId="20D0D8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05EE90F8">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Technology / security</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2792DD6C">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Hardened stack, audits, monitoring, and incident processes.</w:t>
            </w:r>
          </w:p>
        </w:tc>
      </w:tr>
    </w:tbl>
    <w:p w14:paraId="23AD4D29">
      <w:pPr>
        <w:pStyle w:val="3"/>
        <w:keepNext w:val="0"/>
        <w:keepLines w:val="0"/>
        <w:widowControl/>
        <w:suppressLineNumbers w:val="0"/>
        <w:spacing w:line="23" w:lineRule="atLeast"/>
      </w:pPr>
      <w:r>
        <w:t>17. Team &amp; Governance</w:t>
      </w:r>
    </w:p>
    <w:p w14:paraId="1F71ADB4">
      <w:pPr>
        <w:pStyle w:val="23"/>
        <w:keepNext w:val="0"/>
        <w:keepLines w:val="0"/>
        <w:widowControl/>
        <w:suppressLineNumbers w:val="0"/>
        <w:spacing w:beforeAutospacing="1" w:afterAutospacing="1" w:line="23" w:lineRule="atLeast"/>
      </w:pPr>
      <w:r>
        <w:rPr>
          <w:rStyle w:val="26"/>
          <w:rFonts w:hint="default" w:ascii="Calibri" w:hAnsi="Calibri" w:cs="Calibri"/>
          <w:sz w:val="22"/>
          <w:szCs w:val="22"/>
        </w:rPr>
        <w:t>[Founder &amp; key team bios — name, role, relevant experience.]</w:t>
      </w:r>
    </w:p>
    <w:p w14:paraId="76BEA1E7">
      <w:pPr>
        <w:pStyle w:val="23"/>
        <w:keepNext w:val="0"/>
        <w:keepLines w:val="0"/>
        <w:widowControl/>
        <w:suppressLineNumbers w:val="0"/>
        <w:spacing w:beforeAutospacing="1" w:afterAutospacing="1" w:line="23" w:lineRule="atLeast"/>
      </w:pPr>
      <w:r>
        <w:rPr>
          <w:rStyle w:val="26"/>
          <w:rFonts w:hint="default" w:ascii="Calibri" w:hAnsi="Calibri" w:cs="Calibri"/>
          <w:sz w:val="22"/>
          <w:szCs w:val="22"/>
        </w:rPr>
        <w:t>[Advisers, board, and corporate governance structure.]</w:t>
      </w:r>
    </w:p>
    <w:p w14:paraId="55E621C0">
      <w:pPr>
        <w:pStyle w:val="3"/>
        <w:keepNext w:val="0"/>
        <w:keepLines w:val="0"/>
        <w:widowControl/>
        <w:suppressLineNumbers w:val="0"/>
        <w:spacing w:line="23" w:lineRule="atLeast"/>
      </w:pPr>
      <w:r>
        <w:t>18. Proposed Next Steps</w:t>
      </w:r>
    </w:p>
    <w:p w14:paraId="7BEEBD91">
      <w:pPr>
        <w:keepNext w:val="0"/>
        <w:keepLines w:val="0"/>
        <w:widowControl/>
        <w:numPr>
          <w:ilvl w:val="0"/>
          <w:numId w:val="11"/>
        </w:numPr>
        <w:suppressLineNumbers w:val="0"/>
        <w:spacing w:before="0" w:beforeAutospacing="1" w:after="80" w:afterAutospacing="0" w:line="23" w:lineRule="atLeast"/>
        <w:ind w:left="720" w:hanging="360"/>
      </w:pPr>
      <w:r>
        <w:rPr>
          <w:rFonts w:hint="default" w:ascii="Calibri" w:hAnsi="Calibri" w:cs="Calibri"/>
          <w:color w:val="1A1A1A"/>
          <w:sz w:val="22"/>
          <w:szCs w:val="22"/>
        </w:rPr>
        <w:t>Sign a mutual NDA and share the full data room.</w:t>
      </w:r>
    </w:p>
    <w:p w14:paraId="6B1D0559">
      <w:pPr>
        <w:keepNext w:val="0"/>
        <w:keepLines w:val="0"/>
        <w:widowControl/>
        <w:numPr>
          <w:ilvl w:val="0"/>
          <w:numId w:val="11"/>
        </w:numPr>
        <w:suppressLineNumbers w:val="0"/>
        <w:spacing w:before="0" w:beforeAutospacing="1" w:after="80" w:afterAutospacing="0" w:line="23" w:lineRule="atLeast"/>
        <w:ind w:left="720" w:hanging="360"/>
      </w:pPr>
      <w:r>
        <w:rPr>
          <w:rFonts w:hint="default" w:ascii="Calibri" w:hAnsi="Calibri" w:cs="Calibri"/>
          <w:color w:val="1A1A1A"/>
          <w:sz w:val="22"/>
          <w:szCs w:val="22"/>
        </w:rPr>
        <w:t>Management presentation and live product walkthrough.</w:t>
      </w:r>
    </w:p>
    <w:p w14:paraId="47136181">
      <w:pPr>
        <w:keepNext w:val="0"/>
        <w:keepLines w:val="0"/>
        <w:widowControl/>
        <w:numPr>
          <w:ilvl w:val="0"/>
          <w:numId w:val="11"/>
        </w:numPr>
        <w:suppressLineNumbers w:val="0"/>
        <w:spacing w:before="0" w:beforeAutospacing="1" w:after="80" w:afterAutospacing="0" w:line="23" w:lineRule="atLeast"/>
        <w:ind w:left="720" w:hanging="360"/>
      </w:pPr>
      <w:r>
        <w:rPr>
          <w:rFonts w:hint="default" w:ascii="Calibri" w:hAnsi="Calibri" w:cs="Calibri"/>
          <w:color w:val="1A1A1A"/>
          <w:sz w:val="22"/>
          <w:szCs w:val="22"/>
        </w:rPr>
        <w:t>Due diligence (technical, financial, legal, compliance).</w:t>
      </w:r>
    </w:p>
    <w:p w14:paraId="61DC7053">
      <w:pPr>
        <w:keepNext w:val="0"/>
        <w:keepLines w:val="0"/>
        <w:widowControl/>
        <w:numPr>
          <w:ilvl w:val="0"/>
          <w:numId w:val="11"/>
        </w:numPr>
        <w:suppressLineNumbers w:val="0"/>
        <w:spacing w:before="0" w:beforeAutospacing="1" w:after="80" w:afterAutospacing="0" w:line="23" w:lineRule="atLeast"/>
        <w:ind w:left="720" w:hanging="360"/>
      </w:pPr>
      <w:r>
        <w:rPr>
          <w:rFonts w:hint="default" w:ascii="Calibri" w:hAnsi="Calibri" w:cs="Calibri"/>
          <w:color w:val="1A1A1A"/>
          <w:sz w:val="22"/>
          <w:szCs w:val="22"/>
        </w:rPr>
        <w:t>Agree terms; execute definitive agreements; close.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198"/>
        <w:gridCol w:w="4198"/>
      </w:tblGrid>
      <w:tr w14:paraId="7DC042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tcMar>
              <w:top w:w="480" w:type="dxa"/>
              <w:left w:w="0" w:type="dxa"/>
              <w:bottom w:w="80" w:type="dxa"/>
              <w:right w:w="240" w:type="dxa"/>
            </w:tcMar>
            <w:vAlign w:val="center"/>
          </w:tcPr>
          <w:p w14:paraId="5FFF6E36">
            <w:pPr>
              <w:keepNext w:val="0"/>
              <w:keepLines w:val="0"/>
              <w:widowControl/>
              <w:suppressLineNumbers w:val="0"/>
              <w:pBdr>
                <w:top w:val="single" w:color="333333" w:sz="6" w:space="3"/>
                <w:left w:val="none" w:color="auto" w:sz="0" w:space="0"/>
                <w:bottom w:val="none" w:color="auto" w:sz="0" w:space="0"/>
                <w:right w:val="none" w:color="auto" w:sz="0" w:space="0"/>
              </w:pBdr>
              <w:spacing w:line="23" w:lineRule="atLeast"/>
              <w:jc w:val="left"/>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For and on behalf of Investprop</w:t>
            </w:r>
          </w:p>
        </w:tc>
        <w:tc>
          <w:tcPr>
            <w:tcW w:w="0" w:type="auto"/>
            <w:shd w:val="clear"/>
            <w:tcMar>
              <w:top w:w="480" w:type="dxa"/>
              <w:left w:w="0" w:type="dxa"/>
              <w:bottom w:w="80" w:type="dxa"/>
              <w:right w:w="240" w:type="dxa"/>
            </w:tcMar>
            <w:vAlign w:val="center"/>
          </w:tcPr>
          <w:p w14:paraId="3D9C0903">
            <w:pPr>
              <w:keepNext w:val="0"/>
              <w:keepLines w:val="0"/>
              <w:widowControl/>
              <w:suppressLineNumbers w:val="0"/>
              <w:pBdr>
                <w:top w:val="single" w:color="333333" w:sz="6" w:space="3"/>
                <w:left w:val="none" w:color="auto" w:sz="0" w:space="0"/>
                <w:bottom w:val="none" w:color="auto" w:sz="0" w:space="0"/>
                <w:right w:val="none" w:color="auto" w:sz="0" w:space="0"/>
              </w:pBdr>
              <w:spacing w:line="23" w:lineRule="atLeast"/>
              <w:jc w:val="left"/>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Prospective Investor</w:t>
            </w:r>
          </w:p>
        </w:tc>
      </w:tr>
      <w:tr w14:paraId="1AA5F6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tcMar>
              <w:top w:w="480" w:type="dxa"/>
              <w:left w:w="0" w:type="dxa"/>
              <w:bottom w:w="80" w:type="dxa"/>
              <w:right w:w="240" w:type="dxa"/>
            </w:tcMar>
            <w:vAlign w:val="center"/>
          </w:tcPr>
          <w:p w14:paraId="3A788524">
            <w:pPr>
              <w:keepNext w:val="0"/>
              <w:keepLines w:val="0"/>
              <w:widowControl/>
              <w:suppressLineNumbers w:val="0"/>
              <w:spacing w:line="23" w:lineRule="atLeast"/>
              <w:jc w:val="left"/>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Name / Title / Date</w:t>
            </w:r>
          </w:p>
        </w:tc>
        <w:tc>
          <w:tcPr>
            <w:tcW w:w="0" w:type="auto"/>
            <w:shd w:val="clear"/>
            <w:tcMar>
              <w:top w:w="480" w:type="dxa"/>
              <w:left w:w="0" w:type="dxa"/>
              <w:bottom w:w="80" w:type="dxa"/>
              <w:right w:w="240" w:type="dxa"/>
            </w:tcMar>
            <w:vAlign w:val="center"/>
          </w:tcPr>
          <w:p w14:paraId="1B48005C">
            <w:pPr>
              <w:keepNext w:val="0"/>
              <w:keepLines w:val="0"/>
              <w:widowControl/>
              <w:suppressLineNumbers w:val="0"/>
              <w:spacing w:line="23" w:lineRule="atLeast"/>
              <w:jc w:val="left"/>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Name / Title / Date</w:t>
            </w:r>
          </w:p>
        </w:tc>
      </w:tr>
    </w:tbl>
    <w:p w14:paraId="6986729C">
      <w:pPr>
        <w:pStyle w:val="3"/>
        <w:keepNext w:val="0"/>
        <w:keepLines w:val="0"/>
        <w:widowControl/>
        <w:suppressLineNumbers w:val="0"/>
        <w:spacing w:line="23" w:lineRule="atLeast"/>
      </w:pPr>
      <w:r>
        <w:t>Appendix A — Revenue Catalogue</w:t>
      </w:r>
    </w:p>
    <w:p w14:paraId="0558E065">
      <w:pPr>
        <w:pStyle w:val="23"/>
        <w:keepNext w:val="0"/>
        <w:keepLines w:val="0"/>
        <w:widowControl/>
        <w:suppressLineNumbers w:val="0"/>
        <w:spacing w:beforeAutospacing="1" w:afterAutospacing="1" w:line="23" w:lineRule="atLeast"/>
      </w:pPr>
      <w:r>
        <w:rPr>
          <w:rFonts w:hint="default" w:ascii="Calibri" w:hAnsi="Calibri" w:cs="Calibri"/>
          <w:color w:val="1A1A1A"/>
          <w:sz w:val="22"/>
          <w:szCs w:val="22"/>
        </w:rPr>
        <w:t>Full list of monetisation lines currently implemented in the platform.</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76"/>
        <w:gridCol w:w="2076"/>
        <w:gridCol w:w="2076"/>
        <w:gridCol w:w="2076"/>
      </w:tblGrid>
      <w:tr w14:paraId="5E0254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7A5118"/>
            <w:tcMar>
              <w:top w:w="120" w:type="dxa"/>
              <w:left w:w="160" w:type="dxa"/>
              <w:bottom w:w="120" w:type="dxa"/>
              <w:right w:w="160" w:type="dxa"/>
            </w:tcMar>
            <w:vAlign w:val="center"/>
          </w:tcPr>
          <w:p w14:paraId="297A8626">
            <w:pPr>
              <w:keepNext w:val="0"/>
              <w:keepLines w:val="0"/>
              <w:widowControl/>
              <w:suppressLineNumbers w:val="0"/>
              <w:spacing w:line="23" w:lineRule="atLeast"/>
              <w:jc w:val="left"/>
              <w:rPr>
                <w:rFonts w:hint="default" w:ascii="Calibri" w:hAnsi="Calibri" w:cs="Calibri"/>
                <w:b/>
                <w:bCs/>
                <w:color w:val="FFFFFF"/>
                <w:sz w:val="21"/>
                <w:szCs w:val="21"/>
              </w:rPr>
            </w:pPr>
            <w:r>
              <w:rPr>
                <w:rFonts w:hint="default" w:ascii="Calibri" w:hAnsi="Calibri" w:eastAsia="SimSun" w:cs="Calibri"/>
                <w:b/>
                <w:bCs/>
                <w:color w:val="FFFFFF"/>
                <w:sz w:val="21"/>
                <w:szCs w:val="21"/>
                <w:bdr w:val="none" w:color="auto" w:sz="0" w:space="0"/>
              </w:rPr>
              <w:t>#</w:t>
            </w:r>
          </w:p>
        </w:tc>
        <w:tc>
          <w:tcPr>
            <w:tcW w:w="0" w:type="auto"/>
            <w:shd w:val="clear" w:color="auto" w:fill="7A5118"/>
            <w:tcMar>
              <w:top w:w="120" w:type="dxa"/>
              <w:left w:w="160" w:type="dxa"/>
              <w:bottom w:w="120" w:type="dxa"/>
              <w:right w:w="160" w:type="dxa"/>
            </w:tcMar>
            <w:vAlign w:val="center"/>
          </w:tcPr>
          <w:p w14:paraId="23F1EAF4">
            <w:pPr>
              <w:keepNext w:val="0"/>
              <w:keepLines w:val="0"/>
              <w:widowControl/>
              <w:suppressLineNumbers w:val="0"/>
              <w:spacing w:line="23" w:lineRule="atLeast"/>
              <w:jc w:val="left"/>
              <w:rPr>
                <w:rFonts w:hint="default" w:ascii="Calibri" w:hAnsi="Calibri" w:cs="Calibri"/>
                <w:b/>
                <w:bCs/>
                <w:color w:val="FFFFFF"/>
                <w:sz w:val="21"/>
                <w:szCs w:val="21"/>
              </w:rPr>
            </w:pPr>
            <w:r>
              <w:rPr>
                <w:rFonts w:hint="default" w:ascii="Calibri" w:hAnsi="Calibri" w:eastAsia="SimSun" w:cs="Calibri"/>
                <w:b/>
                <w:bCs/>
                <w:color w:val="FFFFFF"/>
                <w:sz w:val="21"/>
                <w:szCs w:val="21"/>
                <w:bdr w:val="none" w:color="auto" w:sz="0" w:space="0"/>
              </w:rPr>
              <w:t>Line</w:t>
            </w:r>
          </w:p>
        </w:tc>
        <w:tc>
          <w:tcPr>
            <w:tcW w:w="0" w:type="auto"/>
            <w:shd w:val="clear" w:color="auto" w:fill="7A5118"/>
            <w:tcMar>
              <w:top w:w="120" w:type="dxa"/>
              <w:left w:w="160" w:type="dxa"/>
              <w:bottom w:w="120" w:type="dxa"/>
              <w:right w:w="160" w:type="dxa"/>
            </w:tcMar>
            <w:vAlign w:val="center"/>
          </w:tcPr>
          <w:p w14:paraId="2C8B639D">
            <w:pPr>
              <w:keepNext w:val="0"/>
              <w:keepLines w:val="0"/>
              <w:widowControl/>
              <w:suppressLineNumbers w:val="0"/>
              <w:spacing w:line="23" w:lineRule="atLeast"/>
              <w:jc w:val="left"/>
              <w:rPr>
                <w:rFonts w:hint="default" w:ascii="Calibri" w:hAnsi="Calibri" w:cs="Calibri"/>
                <w:b/>
                <w:bCs/>
                <w:color w:val="FFFFFF"/>
                <w:sz w:val="21"/>
                <w:szCs w:val="21"/>
              </w:rPr>
            </w:pPr>
            <w:r>
              <w:rPr>
                <w:rFonts w:hint="default" w:ascii="Calibri" w:hAnsi="Calibri" w:eastAsia="SimSun" w:cs="Calibri"/>
                <w:b/>
                <w:bCs/>
                <w:color w:val="FFFFFF"/>
                <w:sz w:val="21"/>
                <w:szCs w:val="21"/>
                <w:bdr w:val="none" w:color="auto" w:sz="0" w:space="0"/>
              </w:rPr>
              <w:t>Type</w:t>
            </w:r>
          </w:p>
        </w:tc>
        <w:tc>
          <w:tcPr>
            <w:tcW w:w="0" w:type="auto"/>
            <w:shd w:val="clear" w:color="auto" w:fill="7A5118"/>
            <w:tcMar>
              <w:top w:w="120" w:type="dxa"/>
              <w:left w:w="160" w:type="dxa"/>
              <w:bottom w:w="120" w:type="dxa"/>
              <w:right w:w="160" w:type="dxa"/>
            </w:tcMar>
            <w:vAlign w:val="center"/>
          </w:tcPr>
          <w:p w14:paraId="7D699C31">
            <w:pPr>
              <w:keepNext w:val="0"/>
              <w:keepLines w:val="0"/>
              <w:widowControl/>
              <w:suppressLineNumbers w:val="0"/>
              <w:spacing w:line="23" w:lineRule="atLeast"/>
              <w:jc w:val="left"/>
              <w:rPr>
                <w:rFonts w:hint="default" w:ascii="Calibri" w:hAnsi="Calibri" w:cs="Calibri"/>
                <w:b/>
                <w:bCs/>
                <w:color w:val="FFFFFF"/>
                <w:sz w:val="21"/>
                <w:szCs w:val="21"/>
              </w:rPr>
            </w:pPr>
            <w:r>
              <w:rPr>
                <w:rFonts w:hint="default" w:ascii="Calibri" w:hAnsi="Calibri" w:eastAsia="SimSun" w:cs="Calibri"/>
                <w:b/>
                <w:bCs/>
                <w:color w:val="FFFFFF"/>
                <w:sz w:val="21"/>
                <w:szCs w:val="21"/>
                <w:bdr w:val="none" w:color="auto" w:sz="0" w:space="0"/>
              </w:rPr>
              <w:t>Rate / Price</w:t>
            </w:r>
          </w:p>
        </w:tc>
      </w:tr>
      <w:tr w14:paraId="65D79A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25E9B03B">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1</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3631BCB5">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Investor Plus subscription</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6D00281D">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Recurring</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5B844394">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R299/mo · R2,990/yr</w:t>
            </w:r>
          </w:p>
        </w:tc>
      </w:tr>
      <w:tr w14:paraId="7ACEA5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050449A8">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2</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44A1406B">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Pro subscription</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39C05353">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Recurring</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5A2A4E24">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R799/mo · R7,990/yr</w:t>
            </w:r>
          </w:p>
        </w:tc>
      </w:tr>
      <w:tr w14:paraId="58CB2E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7152F579">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3</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52477BD9">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Enterprise subscription</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7F51FD03">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Recurring</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388369C4">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R2,499/mo · R24,990/yr</w:t>
            </w:r>
          </w:p>
        </w:tc>
      </w:tr>
      <w:tr w14:paraId="00332C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0134422C">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4</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0BE6C2C3">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DistressedDeals SA subscription</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5A290173">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Recurring</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7AF99577">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R499/mo · R4,990/yr</w:t>
            </w:r>
          </w:p>
        </w:tc>
      </w:tr>
      <w:tr w14:paraId="350497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659DCF2A">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5</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498AA9E1">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Seller Pro subscription</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0F3E33ED">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Recurring</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33153294">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R499/mo · R4,990/yr</w:t>
            </w:r>
          </w:p>
        </w:tc>
      </w:tr>
      <w:tr w14:paraId="3298C4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6FE42A43">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6</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08803AB1">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Capital raise fee</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367B4628">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Transaction</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10DF41B7">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2.5%</w:t>
            </w:r>
          </w:p>
        </w:tc>
      </w:tr>
      <w:tr w14:paraId="4FD625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12B08183">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7</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10339B56">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Distribution fee</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54AD3F11">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Transaction</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49DE8372">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2.0%</w:t>
            </w:r>
          </w:p>
        </w:tc>
      </w:tr>
      <w:tr w14:paraId="362065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60C5D001">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8</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5AF53B97">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Secondary trade fee</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2757C076">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Transaction</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51CB8898">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1.0%</w:t>
            </w:r>
          </w:p>
        </w:tc>
      </w:tr>
      <w:tr w14:paraId="7936A3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71107951">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9</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269154E1">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Sourcing fee</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4902691E">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Transaction</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31383D9C">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1.0%</w:t>
            </w:r>
          </w:p>
        </w:tc>
      </w:tr>
      <w:tr w14:paraId="1A9DA2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7394EDC9">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10</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370A2D77">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Seller facilitation fee</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6928E281">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Seller-side</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3E73C706">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2.0% at close</w:t>
            </w:r>
          </w:p>
        </w:tc>
      </w:tr>
      <w:tr w14:paraId="485B66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06D0D14E">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11</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1A6FCE35">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Assessment / DD pack</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7904677D">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Seller-side</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1842025C">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R2,500 (credited at close)</w:t>
            </w:r>
          </w:p>
        </w:tc>
      </w:tr>
      <w:tr w14:paraId="757906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70345C27">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12</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4B6CB4BD">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JV promote</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38501641">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Seller-side</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750179ED">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10.0% of JV payout</w:t>
            </w:r>
          </w:p>
        </w:tc>
      </w:tr>
      <w:tr w14:paraId="0B7AF1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12FBB9C2">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13</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2DD7CF69">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Lease-back setup</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50DFF5A5">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Seller-side</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22418755">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R5,000</w:t>
            </w:r>
          </w:p>
        </w:tc>
      </w:tr>
      <w:tr w14:paraId="4F73E8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5807C527">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14</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5B68E470">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Lease-back rental management</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71DD9EF9">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Recurring</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630742C9">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8.0% of rent</w:t>
            </w:r>
          </w:p>
        </w:tc>
      </w:tr>
      <w:tr w14:paraId="1C5681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497D3810">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15</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4F4C1593">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Bond referral</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5BEE570B">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Referral</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728E8A2C">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Configurable</w:t>
            </w:r>
          </w:p>
        </w:tc>
      </w:tr>
    </w:tbl>
    <w:p w14:paraId="419DCBEE">
      <w:pPr>
        <w:pStyle w:val="3"/>
        <w:keepNext w:val="0"/>
        <w:keepLines w:val="0"/>
        <w:widowControl/>
        <w:suppressLineNumbers w:val="0"/>
        <w:spacing w:line="23" w:lineRule="atLeast"/>
      </w:pPr>
      <w:r>
        <w:t>Appendix B — Glossary</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153"/>
        <w:gridCol w:w="4153"/>
      </w:tblGrid>
      <w:tr w14:paraId="77E660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7A5118"/>
            <w:tcMar>
              <w:top w:w="120" w:type="dxa"/>
              <w:left w:w="160" w:type="dxa"/>
              <w:bottom w:w="120" w:type="dxa"/>
              <w:right w:w="160" w:type="dxa"/>
            </w:tcMar>
            <w:vAlign w:val="center"/>
          </w:tcPr>
          <w:p w14:paraId="32C3D350">
            <w:pPr>
              <w:keepNext w:val="0"/>
              <w:keepLines w:val="0"/>
              <w:widowControl/>
              <w:suppressLineNumbers w:val="0"/>
              <w:spacing w:line="23" w:lineRule="atLeast"/>
              <w:jc w:val="left"/>
              <w:rPr>
                <w:rFonts w:hint="default" w:ascii="Calibri" w:hAnsi="Calibri" w:cs="Calibri"/>
                <w:b/>
                <w:bCs/>
                <w:color w:val="FFFFFF"/>
                <w:sz w:val="21"/>
                <w:szCs w:val="21"/>
              </w:rPr>
            </w:pPr>
            <w:r>
              <w:rPr>
                <w:rFonts w:hint="default" w:ascii="Calibri" w:hAnsi="Calibri" w:eastAsia="SimSun" w:cs="Calibri"/>
                <w:b/>
                <w:bCs/>
                <w:color w:val="FFFFFF"/>
                <w:sz w:val="21"/>
                <w:szCs w:val="21"/>
                <w:bdr w:val="none" w:color="auto" w:sz="0" w:space="0"/>
              </w:rPr>
              <w:t>Term</w:t>
            </w:r>
          </w:p>
        </w:tc>
        <w:tc>
          <w:tcPr>
            <w:tcW w:w="0" w:type="auto"/>
            <w:shd w:val="clear" w:color="auto" w:fill="7A5118"/>
            <w:tcMar>
              <w:top w:w="120" w:type="dxa"/>
              <w:left w:w="160" w:type="dxa"/>
              <w:bottom w:w="120" w:type="dxa"/>
              <w:right w:w="160" w:type="dxa"/>
            </w:tcMar>
            <w:vAlign w:val="center"/>
          </w:tcPr>
          <w:p w14:paraId="4EA1CDBF">
            <w:pPr>
              <w:keepNext w:val="0"/>
              <w:keepLines w:val="0"/>
              <w:widowControl/>
              <w:suppressLineNumbers w:val="0"/>
              <w:spacing w:line="23" w:lineRule="atLeast"/>
              <w:jc w:val="left"/>
              <w:rPr>
                <w:rFonts w:hint="default" w:ascii="Calibri" w:hAnsi="Calibri" w:cs="Calibri"/>
                <w:b/>
                <w:bCs/>
                <w:color w:val="FFFFFF"/>
                <w:sz w:val="21"/>
                <w:szCs w:val="21"/>
              </w:rPr>
            </w:pPr>
            <w:r>
              <w:rPr>
                <w:rFonts w:hint="default" w:ascii="Calibri" w:hAnsi="Calibri" w:eastAsia="SimSun" w:cs="Calibri"/>
                <w:b/>
                <w:bCs/>
                <w:color w:val="FFFFFF"/>
                <w:sz w:val="21"/>
                <w:szCs w:val="21"/>
                <w:bdr w:val="none" w:color="auto" w:sz="0" w:space="0"/>
              </w:rPr>
              <w:t>Meaning</w:t>
            </w:r>
          </w:p>
        </w:tc>
      </w:tr>
      <w:tr w14:paraId="253437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18D3838B">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SPV</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2BE4B4A4">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Special Purpose Vehicle — a ring-fenced company that holds a single property or deal.</w:t>
            </w:r>
          </w:p>
        </w:tc>
      </w:tr>
      <w:tr w14:paraId="0F224A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52A9F219">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Fractional ownership</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205374BD">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Owning a share of a property via shares in its SPV.</w:t>
            </w:r>
          </w:p>
        </w:tc>
      </w:tr>
      <w:tr w14:paraId="4304FC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5FA0EAB5">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FICA</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61DDB19A">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Financial Intelligence Centre Act — identity/AML verification.</w:t>
            </w:r>
          </w:p>
        </w:tc>
      </w:tr>
      <w:tr w14:paraId="7BAFE2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27654A2F">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POPIA</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3D15CA90">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Protection of Personal Information Act — SA data-privacy law.</w:t>
            </w:r>
          </w:p>
        </w:tc>
      </w:tr>
      <w:tr w14:paraId="3E3C5C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0026CD2E">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FSCA</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1235E67C">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Financial Sector Conduct Authority — SA financial-services regulator.</w:t>
            </w:r>
          </w:p>
        </w:tc>
      </w:tr>
      <w:tr w14:paraId="1E1CA3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72ACA51E">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JV promote</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4B79AC22">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A performance share of profit on a joint-venture deal.</w:t>
            </w:r>
          </w:p>
        </w:tc>
      </w:tr>
      <w:tr w14:paraId="5B093C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63BBA898">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Lease-back</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6A4AE078">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Seller sells a property and continues to occupy it as a tenant.</w:t>
            </w:r>
          </w:p>
        </w:tc>
      </w:tr>
      <w:tr w14:paraId="6D292A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6C7D26B4">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GMV</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41BD4687">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Gross Merchandise Value — total value of deals transacted.</w:t>
            </w:r>
          </w:p>
        </w:tc>
      </w:tr>
    </w:tbl>
    <w:p w14:paraId="2F11F45A">
      <w:pPr>
        <w:pStyle w:val="13"/>
        <w:keepNext w:val="0"/>
        <w:keepLines w:val="0"/>
        <w:widowControl/>
        <w:suppressLineNumbers w:val="0"/>
        <w:spacing w:before="0" w:beforeAutospacing="0" w:after="160" w:afterAutospacing="0" w:line="23" w:lineRule="atLeast"/>
        <w:ind w:left="0" w:right="0"/>
      </w:pPr>
      <w:r>
        <w:rPr>
          <w:rFonts w:hint="default" w:ascii="Calibri" w:hAnsi="Calibri" w:cs="Calibri"/>
        </w:rPr>
        <w:t>Investprop — Confidential Investor Memorandum — not for distribution without written consent</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6280B9"/>
    <w:multiLevelType w:val="multilevel"/>
    <w:tmpl w:val="846280B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60DF2D0"/>
    <w:multiLevelType w:val="multilevel"/>
    <w:tmpl w:val="860DF2D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B4104934"/>
    <w:multiLevelType w:val="multilevel"/>
    <w:tmpl w:val="B410493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C4D77C79"/>
    <w:multiLevelType w:val="multilevel"/>
    <w:tmpl w:val="C4D77C7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D798F1EE"/>
    <w:multiLevelType w:val="multilevel"/>
    <w:tmpl w:val="D798F1E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E4B88ADE"/>
    <w:multiLevelType w:val="multilevel"/>
    <w:tmpl w:val="E4B88AD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E6150FB9"/>
    <w:multiLevelType w:val="multilevel"/>
    <w:tmpl w:val="E6150FB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15CD4562"/>
    <w:multiLevelType w:val="multilevel"/>
    <w:tmpl w:val="15CD456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18E80603"/>
    <w:multiLevelType w:val="multilevel"/>
    <w:tmpl w:val="18E8060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38003467"/>
    <w:multiLevelType w:val="multilevel"/>
    <w:tmpl w:val="3800346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4CC63A69"/>
    <w:multiLevelType w:val="multilevel"/>
    <w:tmpl w:val="4CC63A6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4"/>
  </w:num>
  <w:num w:numId="2">
    <w:abstractNumId w:val="5"/>
  </w:num>
  <w:num w:numId="3">
    <w:abstractNumId w:val="0"/>
  </w:num>
  <w:num w:numId="4">
    <w:abstractNumId w:val="2"/>
  </w:num>
  <w:num w:numId="5">
    <w:abstractNumId w:val="8"/>
  </w:num>
  <w:num w:numId="6">
    <w:abstractNumId w:val="9"/>
  </w:num>
  <w:num w:numId="7">
    <w:abstractNumId w:val="7"/>
  </w:num>
  <w:num w:numId="8">
    <w:abstractNumId w:val="1"/>
  </w:num>
  <w:num w:numId="9">
    <w:abstractNumId w:val="6"/>
  </w:num>
  <w:num w:numId="10">
    <w:abstractNumId w:val="3"/>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useAltKinsokuLineBreakRules/>
    <w:compatSetting w:name="compatibilityMode" w:uri="http://schemas.microsoft.com/office/word" w:val="11"/>
  </w:compat>
  <w:rsids>
    <w:rsidRoot w:val="00000000"/>
    <w:rsid w:val="789B56D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paragraph" w:styleId="2">
    <w:name w:val="heading 1"/>
    <w:basedOn w:val="1"/>
    <w:next w:val="1"/>
    <w:qFormat/>
    <w:uiPriority w:val="0"/>
    <w:pPr>
      <w:spacing w:before="0" w:beforeAutospacing="0" w:after="80" w:afterAutospacing="0"/>
      <w:ind w:left="0" w:right="0"/>
      <w:jc w:val="left"/>
    </w:pPr>
    <w:rPr>
      <w:rFonts w:hint="eastAsia" w:ascii="SimSun" w:hAnsi="SimSun" w:eastAsia="SimSun" w:cs="SimSun"/>
      <w:b/>
      <w:bCs/>
      <w:color w:val="7A5118"/>
      <w:spacing w:val="-10"/>
      <w:kern w:val="44"/>
      <w:sz w:val="52"/>
      <w:szCs w:val="52"/>
      <w:lang w:val="en-US" w:eastAsia="zh-CN" w:bidi="ar"/>
    </w:rPr>
  </w:style>
  <w:style w:type="paragraph" w:styleId="3">
    <w:name w:val="heading 2"/>
    <w:basedOn w:val="1"/>
    <w:next w:val="1"/>
    <w:semiHidden/>
    <w:unhideWhenUsed/>
    <w:qFormat/>
    <w:uiPriority w:val="0"/>
    <w:pPr>
      <w:pBdr>
        <w:bottom w:val="single" w:color="D4A02E" w:sz="12" w:space="3"/>
      </w:pBdr>
      <w:spacing w:before="400" w:beforeAutospacing="0" w:after="120" w:afterAutospacing="0"/>
      <w:ind w:left="0" w:right="0"/>
      <w:jc w:val="left"/>
    </w:pPr>
    <w:rPr>
      <w:rFonts w:hint="eastAsia" w:ascii="SimSun" w:hAnsi="SimSun" w:eastAsia="SimSun" w:cs="SimSun"/>
      <w:b/>
      <w:bCs/>
      <w:color w:val="7A5118"/>
      <w:kern w:val="0"/>
      <w:sz w:val="30"/>
      <w:szCs w:val="30"/>
      <w:lang w:val="en-US" w:eastAsia="zh-CN" w:bidi="ar"/>
    </w:rPr>
  </w:style>
  <w:style w:type="paragraph" w:styleId="4">
    <w:name w:val="heading 3"/>
    <w:basedOn w:val="1"/>
    <w:next w:val="1"/>
    <w:semiHidden/>
    <w:unhideWhenUsed/>
    <w:qFormat/>
    <w:uiPriority w:val="0"/>
    <w:pPr>
      <w:spacing w:before="280" w:beforeAutospacing="0" w:after="80" w:afterAutospacing="0"/>
      <w:ind w:left="0" w:right="0"/>
      <w:jc w:val="left"/>
    </w:pPr>
    <w:rPr>
      <w:rFonts w:hint="eastAsia" w:ascii="SimSun" w:hAnsi="SimSun" w:eastAsia="SimSun" w:cs="SimSun"/>
      <w:b/>
      <w:bCs/>
      <w:color w:val="111318"/>
      <w:kern w:val="0"/>
      <w:sz w:val="25"/>
      <w:szCs w:val="25"/>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1">
    <w:name w:val="Normal (Web)"/>
    <w:basedOn w:val="1"/>
    <w:uiPriority w:val="0"/>
    <w:pPr>
      <w:spacing w:before="0" w:beforeAutospacing="0" w:after="160" w:afterAutospacing="0"/>
      <w:ind w:left="0" w:right="0"/>
      <w:jc w:val="left"/>
    </w:pPr>
    <w:rPr>
      <w:color w:val="111318"/>
      <w:kern w:val="0"/>
      <w:lang w:val="en-US" w:eastAsia="zh-CN" w:bidi="ar"/>
    </w:rPr>
  </w:style>
  <w:style w:type="character" w:styleId="12">
    <w:name w:val="Strong"/>
    <w:basedOn w:val="8"/>
    <w:qFormat/>
    <w:uiPriority w:val="0"/>
    <w:rPr>
      <w:b/>
      <w:bCs/>
    </w:rPr>
  </w:style>
  <w:style w:type="paragraph" w:customStyle="1" w:styleId="13">
    <w:name w:val="confidential"/>
    <w:basedOn w:val="1"/>
    <w:uiPriority w:val="0"/>
    <w:pPr>
      <w:jc w:val="left"/>
    </w:pPr>
    <w:rPr>
      <w:caps/>
      <w:color w:val="6B6B6B"/>
      <w:spacing w:val="20"/>
      <w:kern w:val="0"/>
      <w:sz w:val="18"/>
      <w:szCs w:val="18"/>
      <w:lang w:val="en-US" w:eastAsia="zh-CN" w:bidi="ar"/>
    </w:rPr>
  </w:style>
  <w:style w:type="paragraph" w:customStyle="1" w:styleId="14">
    <w:name w:val="line"/>
    <w:basedOn w:val="1"/>
    <w:uiPriority w:val="0"/>
    <w:pPr>
      <w:pBdr>
        <w:top w:val="single" w:color="333333" w:sz="6" w:space="3"/>
      </w:pBdr>
      <w:jc w:val="left"/>
    </w:pPr>
    <w:rPr>
      <w:kern w:val="0"/>
      <w:lang w:val="en-US" w:eastAsia="zh-CN" w:bidi="ar"/>
    </w:rPr>
  </w:style>
  <w:style w:type="paragraph" w:customStyle="1" w:styleId="15">
    <w:name w:val="pagebreak"/>
    <w:basedOn w:val="1"/>
    <w:uiPriority w:val="0"/>
    <w:pPr>
      <w:pageBreakBefore/>
      <w:jc w:val="left"/>
    </w:pPr>
    <w:rPr>
      <w:kern w:val="0"/>
      <w:lang w:val="en-US" w:eastAsia="zh-CN" w:bidi="ar"/>
    </w:rPr>
  </w:style>
  <w:style w:type="paragraph" w:customStyle="1" w:styleId="16">
    <w:name w:val="placeholder"/>
    <w:basedOn w:val="1"/>
    <w:uiPriority w:val="0"/>
    <w:pPr>
      <w:jc w:val="left"/>
    </w:pPr>
    <w:rPr>
      <w:b/>
      <w:bCs/>
      <w:color w:val="B45309"/>
      <w:kern w:val="0"/>
      <w:lang w:val="en-US" w:eastAsia="zh-CN" w:bidi="ar"/>
    </w:rPr>
  </w:style>
  <w:style w:type="paragraph" w:customStyle="1" w:styleId="17">
    <w:name w:val="muted"/>
    <w:basedOn w:val="1"/>
    <w:uiPriority w:val="0"/>
    <w:pPr>
      <w:jc w:val="left"/>
    </w:pPr>
    <w:rPr>
      <w:color w:val="4A4A4A"/>
      <w:kern w:val="0"/>
      <w:lang w:val="en-US" w:eastAsia="zh-CN" w:bidi="ar"/>
    </w:rPr>
  </w:style>
  <w:style w:type="paragraph" w:customStyle="1" w:styleId="18">
    <w:name w:val="eyebrow"/>
    <w:basedOn w:val="1"/>
    <w:uiPriority w:val="0"/>
    <w:pPr>
      <w:jc w:val="left"/>
    </w:pPr>
    <w:rPr>
      <w:b/>
      <w:bCs/>
      <w:caps/>
      <w:color w:val="7A5118"/>
      <w:spacing w:val="30"/>
      <w:kern w:val="0"/>
      <w:sz w:val="20"/>
      <w:szCs w:val="20"/>
      <w:lang w:val="en-US" w:eastAsia="zh-CN" w:bidi="ar"/>
    </w:rPr>
  </w:style>
  <w:style w:type="paragraph" w:customStyle="1" w:styleId="19">
    <w:name w:val="callout"/>
    <w:basedOn w:val="1"/>
    <w:uiPriority w:val="0"/>
    <w:pPr>
      <w:pBdr>
        <w:top w:val="none" w:color="auto" w:sz="0" w:space="0"/>
        <w:left w:val="single" w:color="D4A02E" w:sz="24" w:space="12"/>
        <w:bottom w:val="none" w:color="auto" w:sz="0" w:space="0"/>
        <w:right w:val="none" w:color="auto" w:sz="0" w:space="0"/>
      </w:pBdr>
      <w:shd w:val="clear" w:fill="FAF6EC"/>
      <w:spacing w:before="200" w:beforeAutospacing="0" w:after="200" w:afterAutospacing="0"/>
      <w:ind w:left="0" w:right="0"/>
      <w:jc w:val="left"/>
    </w:pPr>
    <w:rPr>
      <w:kern w:val="0"/>
      <w:lang w:val="en-US" w:eastAsia="zh-CN" w:bidi="ar"/>
    </w:rPr>
  </w:style>
  <w:style w:type="paragraph" w:customStyle="1" w:styleId="20">
    <w:name w:val="l"/>
    <w:basedOn w:val="1"/>
    <w:uiPriority w:val="0"/>
    <w:pPr>
      <w:jc w:val="left"/>
    </w:pPr>
    <w:rPr>
      <w:color w:val="4A4A4A"/>
      <w:kern w:val="0"/>
      <w:sz w:val="19"/>
      <w:szCs w:val="19"/>
      <w:lang w:val="en-US" w:eastAsia="zh-CN" w:bidi="ar"/>
    </w:rPr>
  </w:style>
  <w:style w:type="paragraph" w:customStyle="1" w:styleId="21">
    <w:name w:val="small"/>
    <w:basedOn w:val="1"/>
    <w:uiPriority w:val="0"/>
    <w:pPr>
      <w:jc w:val="left"/>
    </w:pPr>
    <w:rPr>
      <w:kern w:val="0"/>
      <w:sz w:val="19"/>
      <w:szCs w:val="19"/>
      <w:lang w:val="en-US" w:eastAsia="zh-CN" w:bidi="ar"/>
    </w:rPr>
  </w:style>
  <w:style w:type="paragraph" w:customStyle="1" w:styleId="22">
    <w:name w:val="i"/>
    <w:basedOn w:val="1"/>
    <w:uiPriority w:val="0"/>
    <w:pPr>
      <w:jc w:val="left"/>
    </w:pPr>
    <w:rPr>
      <w:color w:val="96691A"/>
      <w:kern w:val="0"/>
      <w:lang w:val="en-US" w:eastAsia="zh-CN" w:bidi="ar"/>
    </w:rPr>
  </w:style>
  <w:style w:type="paragraph" w:customStyle="1" w:styleId="23">
    <w:name w:val="p1 Char"/>
    <w:basedOn w:val="1"/>
    <w:uiPriority w:val="0"/>
    <w:pPr>
      <w:jc w:val="left"/>
    </w:pPr>
    <w:rPr>
      <w:color w:val="111318"/>
      <w:kern w:val="0"/>
      <w:lang w:val="en-US" w:eastAsia="zh-CN" w:bidi="ar"/>
    </w:rPr>
  </w:style>
  <w:style w:type="paragraph" w:customStyle="1" w:styleId="24">
    <w:name w:val="n"/>
    <w:basedOn w:val="1"/>
    <w:uiPriority w:val="0"/>
    <w:pPr>
      <w:jc w:val="left"/>
    </w:pPr>
    <w:rPr>
      <w:b/>
      <w:bCs/>
      <w:color w:val="7A5118"/>
      <w:kern w:val="0"/>
      <w:sz w:val="36"/>
      <w:szCs w:val="36"/>
      <w:lang w:val="en-US" w:eastAsia="zh-CN" w:bidi="ar"/>
    </w:rPr>
  </w:style>
  <w:style w:type="character" w:customStyle="1" w:styleId="25">
    <w:name w:val="i1"/>
    <w:uiPriority w:val="0"/>
    <w:rPr>
      <w:color w:val="96691A"/>
    </w:rPr>
  </w:style>
  <w:style w:type="character" w:customStyle="1" w:styleId="26">
    <w:name w:val="placeholder1"/>
    <w:uiPriority w:val="0"/>
    <w:rPr>
      <w:b/>
      <w:bCs/>
      <w:color w:val="B45309"/>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19</Pages>
  <TotalTime>0</TotalTime>
  <ScaleCrop>false</ScaleCrop>
  <LinksUpToDate>false</LinksUpToDate>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2026-10-25T20:43:10Z</dcterms:created>
  <cp:lastModifiedBy>Thapelo</cp:lastModifiedBy>
  <dcterms:modified xsi:type="dcterms:W3CDTF">2026-10-25T20:43:11Z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05F2C755EA5C45C9BE976970A8501690_13</vt:lpwstr>
  </property>
</Properties>
</file>