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9E1849D">
      <w:pPr>
        <w:keepNext w:val="0"/>
        <w:keepLines w:val="0"/>
        <w:widowControl/>
        <w:suppressLineNumbers w:val="0"/>
        <w:spacing w:line="23" w:lineRule="atLeast"/>
        <w:jc w:val="left"/>
        <w:rPr>
          <w:rFonts w:ascii="Calibri" w:hAnsi="Calibri" w:cs="Calibri"/>
          <w:b/>
          <w:bCs/>
          <w:color w:val="1A1A1A"/>
          <w:sz w:val="44"/>
          <w:szCs w:val="44"/>
        </w:rPr>
      </w:pPr>
      <w:r>
        <w:rPr>
          <w:rStyle w:val="25"/>
          <w:rFonts w:hint="default" w:ascii="Calibri" w:hAnsi="Calibri" w:eastAsia="SimSun" w:cs="Calibri"/>
          <w:b/>
          <w:bCs/>
          <w:sz w:val="44"/>
          <w:szCs w:val="44"/>
        </w:rPr>
        <w:t>Invest</w:t>
      </w:r>
      <w:r>
        <w:rPr>
          <w:rFonts w:hint="default" w:ascii="Calibri" w:hAnsi="Calibri" w:eastAsia="SimSun" w:cs="Calibri"/>
          <w:b/>
          <w:bCs/>
          <w:sz w:val="44"/>
          <w:szCs w:val="44"/>
        </w:rPr>
        <w:t>prop</w:t>
      </w:r>
    </w:p>
    <w:p w14:paraId="47B72D0B">
      <w:pPr>
        <w:pStyle w:val="20"/>
        <w:keepNext w:val="0"/>
        <w:keepLines w:val="0"/>
        <w:widowControl/>
        <w:suppressLineNumbers w:val="0"/>
        <w:spacing w:before="0" w:beforeAutospacing="0" w:after="160" w:afterAutospacing="0" w:line="23" w:lineRule="atLeast"/>
        <w:ind w:left="0" w:right="0"/>
      </w:pPr>
      <w:r>
        <w:rPr>
          <w:rFonts w:hint="default" w:ascii="Calibri" w:hAnsi="Calibri" w:cs="Calibri"/>
        </w:rPr>
        <w:t>AI-Powered Property Co-Investment Platform</w:t>
      </w:r>
    </w:p>
    <w:p w14:paraId="42B66974">
      <w:pPr>
        <w:pStyle w:val="20"/>
        <w:keepNext w:val="0"/>
        <w:keepLines w:val="0"/>
        <w:widowControl/>
        <w:suppressLineNumbers w:val="0"/>
        <w:spacing w:before="0" w:beforeAutospacing="0" w:after="160" w:afterAutospacing="0" w:line="23" w:lineRule="atLeast"/>
        <w:ind w:left="0" w:right="0"/>
      </w:pPr>
      <w:r>
        <w:rPr>
          <w:rFonts w:hint="default" w:ascii="Calibri" w:hAnsi="Calibri" w:cs="Calibri"/>
        </w:rPr>
        <w:t>Strictly Private &amp; Confidential</w:t>
      </w:r>
    </w:p>
    <w:p w14:paraId="442097E9">
      <w:pPr>
        <w:pStyle w:val="2"/>
        <w:keepNext w:val="0"/>
        <w:keepLines w:val="0"/>
        <w:widowControl/>
        <w:suppressLineNumbers w:val="0"/>
        <w:spacing w:line="23" w:lineRule="atLeast"/>
      </w:pPr>
      <w:r>
        <w:t>Confidential Investor Memorandum</w:t>
      </w:r>
    </w:p>
    <w:p w14:paraId="7672040C">
      <w:pPr>
        <w:pStyle w:val="19"/>
        <w:keepNext w:val="0"/>
        <w:keepLines w:val="0"/>
        <w:widowControl/>
        <w:suppressLineNumbers w:val="0"/>
        <w:spacing w:before="40" w:beforeAutospacing="0" w:afterAutospacing="1" w:line="23" w:lineRule="atLeast"/>
        <w:rPr>
          <w:color w:val="333333"/>
          <w:sz w:val="28"/>
          <w:szCs w:val="28"/>
        </w:rPr>
      </w:pPr>
      <w:r>
        <w:rPr>
          <w:rFonts w:hint="default" w:ascii="Calibri" w:hAnsi="Calibri" w:cs="Calibri"/>
          <w:color w:val="333333"/>
          <w:sz w:val="28"/>
          <w:szCs w:val="28"/>
        </w:rPr>
        <w:t xml:space="preserve">An invitation to </w:t>
      </w:r>
      <w:r>
        <w:rPr>
          <w:rStyle w:val="12"/>
          <w:rFonts w:hint="default" w:ascii="Calibri" w:hAnsi="Calibri" w:cs="Calibri"/>
          <w:color w:val="333333"/>
          <w:sz w:val="28"/>
          <w:szCs w:val="28"/>
        </w:rPr>
        <w:t>co-invest</w:t>
      </w:r>
      <w:r>
        <w:rPr>
          <w:rFonts w:hint="default" w:ascii="Calibri" w:hAnsi="Calibri" w:cs="Calibri"/>
          <w:color w:val="333333"/>
          <w:sz w:val="28"/>
          <w:szCs w:val="28"/>
        </w:rPr>
        <w:t xml:space="preserve"> alongside institutional capital in curated South African property developments — and for banks, DFIs and institutional funders to </w:t>
      </w:r>
      <w:r>
        <w:rPr>
          <w:rStyle w:val="12"/>
          <w:rFonts w:hint="default" w:ascii="Calibri" w:hAnsi="Calibri" w:cs="Calibri"/>
          <w:color w:val="333333"/>
          <w:sz w:val="28"/>
          <w:szCs w:val="28"/>
        </w:rPr>
        <w:t>partner</w:t>
      </w:r>
      <w:r>
        <w:rPr>
          <w:rFonts w:hint="default" w:ascii="Calibri" w:hAnsi="Calibri" w:cs="Calibri"/>
          <w:color w:val="333333"/>
          <w:sz w:val="28"/>
          <w:szCs w:val="28"/>
        </w:rPr>
        <w:t xml:space="preserve"> with the platform that aggregates the developer’s equity contribution from a pool of qualifying investors. </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245"/>
        <w:gridCol w:w="5321"/>
      </w:tblGrid>
      <w:tr w14:paraId="17BFF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051B1982">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Issued by</w:t>
            </w:r>
          </w:p>
        </w:tc>
        <w:tc>
          <w:tcPr>
            <w:tcW w:w="0" w:type="auto"/>
            <w:shd w:val="clear"/>
            <w:tcMar>
              <w:top w:w="80" w:type="dxa"/>
              <w:left w:w="0" w:type="dxa"/>
              <w:bottom w:w="80" w:type="dxa"/>
              <w:right w:w="200" w:type="dxa"/>
            </w:tcMar>
            <w:vAlign w:val="top"/>
          </w:tcPr>
          <w:p w14:paraId="6A1B0339">
            <w:pPr>
              <w:keepNext w:val="0"/>
              <w:keepLines w:val="0"/>
              <w:widowControl/>
              <w:suppressLineNumbers w:val="0"/>
              <w:spacing w:line="23" w:lineRule="atLeast"/>
              <w:jc w:val="left"/>
              <w:textAlignment w:val="top"/>
              <w:rPr>
                <w:rFonts w:hint="default" w:ascii="Calibri" w:hAnsi="Calibri" w:cs="Calibri"/>
                <w:color w:val="1A1A1A"/>
                <w:sz w:val="22"/>
                <w:szCs w:val="22"/>
              </w:rPr>
            </w:pPr>
            <w:r>
              <w:rPr>
                <w:rStyle w:val="26"/>
                <w:rFonts w:hint="default" w:ascii="Calibri" w:hAnsi="Calibri" w:eastAsia="SimSun" w:cs="Calibri"/>
                <w:sz w:val="22"/>
                <w:szCs w:val="22"/>
                <w:bdr w:val="none" w:color="auto" w:sz="0" w:space="0"/>
              </w:rPr>
              <w:t>[Investprop (Pty) Ltd]</w:t>
            </w:r>
            <w:r>
              <w:rPr>
                <w:rFonts w:hint="default" w:ascii="Calibri" w:hAnsi="Calibri" w:eastAsia="SimSun" w:cs="Calibri"/>
                <w:color w:val="1A1A1A"/>
                <w:sz w:val="22"/>
                <w:szCs w:val="22"/>
                <w:bdr w:val="none" w:color="auto" w:sz="0" w:space="0"/>
              </w:rPr>
              <w:t xml:space="preserve"> (“Investprop”, the “Platform”)</w:t>
            </w:r>
          </w:p>
        </w:tc>
      </w:tr>
      <w:tr w14:paraId="1D90F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44721D47">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Registration No.</w:t>
            </w:r>
          </w:p>
        </w:tc>
        <w:tc>
          <w:tcPr>
            <w:tcW w:w="0" w:type="auto"/>
            <w:shd w:val="clear"/>
            <w:tcMar>
              <w:top w:w="80" w:type="dxa"/>
              <w:left w:w="0" w:type="dxa"/>
              <w:bottom w:w="80" w:type="dxa"/>
              <w:right w:w="200" w:type="dxa"/>
            </w:tcMar>
            <w:vAlign w:val="top"/>
          </w:tcPr>
          <w:p w14:paraId="11D2841B">
            <w:pPr>
              <w:keepNext w:val="0"/>
              <w:keepLines w:val="0"/>
              <w:widowControl/>
              <w:suppressLineNumbers w:val="0"/>
              <w:spacing w:line="23" w:lineRule="atLeast"/>
              <w:jc w:val="left"/>
              <w:textAlignment w:val="top"/>
              <w:rPr>
                <w:rFonts w:hint="default" w:ascii="Calibri" w:hAnsi="Calibri" w:cs="Calibri"/>
                <w:color w:val="1A1A1A"/>
                <w:sz w:val="22"/>
                <w:szCs w:val="22"/>
              </w:rPr>
            </w:pPr>
            <w:r>
              <w:rPr>
                <w:rStyle w:val="26"/>
                <w:rFonts w:hint="default" w:ascii="Calibri" w:hAnsi="Calibri" w:eastAsia="SimSun" w:cs="Calibri"/>
                <w:sz w:val="22"/>
                <w:szCs w:val="22"/>
                <w:bdr w:val="none" w:color="auto" w:sz="0" w:space="0"/>
              </w:rPr>
              <w:t>[Company Registration Number]</w:t>
            </w:r>
          </w:p>
        </w:tc>
      </w:tr>
      <w:tr w14:paraId="6B360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459A3879">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Registered address</w:t>
            </w:r>
          </w:p>
        </w:tc>
        <w:tc>
          <w:tcPr>
            <w:tcW w:w="0" w:type="auto"/>
            <w:shd w:val="clear"/>
            <w:tcMar>
              <w:top w:w="80" w:type="dxa"/>
              <w:left w:w="0" w:type="dxa"/>
              <w:bottom w:w="80" w:type="dxa"/>
              <w:right w:w="200" w:type="dxa"/>
            </w:tcMar>
            <w:vAlign w:val="top"/>
          </w:tcPr>
          <w:p w14:paraId="62C0F6AA">
            <w:pPr>
              <w:keepNext w:val="0"/>
              <w:keepLines w:val="0"/>
              <w:widowControl/>
              <w:suppressLineNumbers w:val="0"/>
              <w:spacing w:line="23" w:lineRule="atLeast"/>
              <w:jc w:val="left"/>
              <w:textAlignment w:val="top"/>
              <w:rPr>
                <w:rFonts w:hint="default" w:ascii="Calibri" w:hAnsi="Calibri" w:cs="Calibri"/>
                <w:color w:val="1A1A1A"/>
                <w:sz w:val="22"/>
                <w:szCs w:val="22"/>
              </w:rPr>
            </w:pPr>
            <w:r>
              <w:rPr>
                <w:rStyle w:val="26"/>
                <w:rFonts w:hint="default" w:ascii="Calibri" w:hAnsi="Calibri" w:eastAsia="SimSun" w:cs="Calibri"/>
                <w:sz w:val="22"/>
                <w:szCs w:val="22"/>
                <w:bdr w:val="none" w:color="auto" w:sz="0" w:space="0"/>
              </w:rPr>
              <w:t>[Registered Address]</w:t>
            </w:r>
          </w:p>
        </w:tc>
      </w:tr>
      <w:tr w14:paraId="0771D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1C52C3E3">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Prepared for</w:t>
            </w:r>
          </w:p>
        </w:tc>
        <w:tc>
          <w:tcPr>
            <w:tcW w:w="0" w:type="auto"/>
            <w:shd w:val="clear"/>
            <w:tcMar>
              <w:top w:w="80" w:type="dxa"/>
              <w:left w:w="0" w:type="dxa"/>
              <w:bottom w:w="80" w:type="dxa"/>
              <w:right w:w="200" w:type="dxa"/>
            </w:tcMar>
            <w:vAlign w:val="top"/>
          </w:tcPr>
          <w:p w14:paraId="3DE50489">
            <w:pPr>
              <w:keepNext w:val="0"/>
              <w:keepLines w:val="0"/>
              <w:widowControl/>
              <w:suppressLineNumbers w:val="0"/>
              <w:spacing w:line="23" w:lineRule="atLeast"/>
              <w:jc w:val="left"/>
              <w:textAlignment w:val="top"/>
              <w:rPr>
                <w:rFonts w:hint="default" w:ascii="Calibri" w:hAnsi="Calibri" w:cs="Calibri"/>
                <w:color w:val="1A1A1A"/>
                <w:sz w:val="22"/>
                <w:szCs w:val="22"/>
              </w:rPr>
            </w:pPr>
            <w:r>
              <w:rPr>
                <w:rStyle w:val="26"/>
                <w:rFonts w:hint="default" w:ascii="Calibri" w:hAnsi="Calibri" w:eastAsia="SimSun" w:cs="Calibri"/>
                <w:sz w:val="22"/>
                <w:szCs w:val="22"/>
                <w:bdr w:val="none" w:color="auto" w:sz="0" w:space="0"/>
              </w:rPr>
              <w:t>[Prospective Co-Investor / Institutional Partner]</w:t>
            </w:r>
          </w:p>
        </w:tc>
      </w:tr>
      <w:tr w14:paraId="06E9E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65888678">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Audience</w:t>
            </w:r>
          </w:p>
        </w:tc>
        <w:tc>
          <w:tcPr>
            <w:tcW w:w="0" w:type="auto"/>
            <w:shd w:val="clear"/>
            <w:tcMar>
              <w:top w:w="80" w:type="dxa"/>
              <w:left w:w="0" w:type="dxa"/>
              <w:bottom w:w="80" w:type="dxa"/>
              <w:right w:w="200" w:type="dxa"/>
            </w:tcMar>
            <w:vAlign w:val="top"/>
          </w:tcPr>
          <w:p w14:paraId="6D77776F">
            <w:pPr>
              <w:keepNext w:val="0"/>
              <w:keepLines w:val="0"/>
              <w:widowControl/>
              <w:suppressLineNumbers w:val="0"/>
              <w:spacing w:line="23" w:lineRule="atLeast"/>
              <w:jc w:val="left"/>
              <w:textAlignment w:val="top"/>
              <w:rPr>
                <w:rFonts w:hint="default" w:ascii="Calibri" w:hAnsi="Calibri" w:cs="Calibri"/>
                <w:color w:val="1A1A1A"/>
                <w:sz w:val="22"/>
                <w:szCs w:val="22"/>
              </w:rPr>
            </w:pPr>
            <w:r>
              <w:rPr>
                <w:rFonts w:hint="default" w:ascii="Calibri" w:hAnsi="Calibri" w:eastAsia="SimSun" w:cs="Calibri"/>
                <w:color w:val="1A1A1A"/>
                <w:sz w:val="22"/>
                <w:szCs w:val="22"/>
                <w:bdr w:val="none" w:color="auto" w:sz="0" w:space="0"/>
              </w:rPr>
              <w:t>Qualifying co-investors &amp; institutional funders / development-finance partners</w:t>
            </w:r>
          </w:p>
        </w:tc>
      </w:tr>
      <w:tr w14:paraId="68A76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44895162">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Purpose</w:t>
            </w:r>
          </w:p>
        </w:tc>
        <w:tc>
          <w:tcPr>
            <w:tcW w:w="0" w:type="auto"/>
            <w:shd w:val="clear"/>
            <w:tcMar>
              <w:top w:w="80" w:type="dxa"/>
              <w:left w:w="0" w:type="dxa"/>
              <w:bottom w:w="80" w:type="dxa"/>
              <w:right w:w="200" w:type="dxa"/>
            </w:tcMar>
            <w:vAlign w:val="top"/>
          </w:tcPr>
          <w:p w14:paraId="732AA7F4">
            <w:pPr>
              <w:keepNext w:val="0"/>
              <w:keepLines w:val="0"/>
              <w:widowControl/>
              <w:suppressLineNumbers w:val="0"/>
              <w:spacing w:line="23" w:lineRule="atLeast"/>
              <w:jc w:val="left"/>
              <w:textAlignment w:val="top"/>
              <w:rPr>
                <w:rFonts w:hint="default" w:ascii="Calibri" w:hAnsi="Calibri" w:cs="Calibri"/>
                <w:color w:val="1A1A1A"/>
                <w:sz w:val="22"/>
                <w:szCs w:val="22"/>
              </w:rPr>
            </w:pPr>
            <w:r>
              <w:rPr>
                <w:rFonts w:hint="default" w:ascii="Calibri" w:hAnsi="Calibri" w:eastAsia="SimSun" w:cs="Calibri"/>
                <w:color w:val="1A1A1A"/>
                <w:sz w:val="22"/>
                <w:szCs w:val="22"/>
                <w:bdr w:val="none" w:color="auto" w:sz="0" w:space="0"/>
              </w:rPr>
              <w:t>Co-investment into ring-fenced property SPVs &amp; institutional co-funding partnerships</w:t>
            </w:r>
          </w:p>
        </w:tc>
      </w:tr>
      <w:tr w14:paraId="476A3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205A83D4">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Primary contact</w:t>
            </w:r>
          </w:p>
        </w:tc>
        <w:tc>
          <w:tcPr>
            <w:tcW w:w="0" w:type="auto"/>
            <w:shd w:val="clear"/>
            <w:tcMar>
              <w:top w:w="80" w:type="dxa"/>
              <w:left w:w="0" w:type="dxa"/>
              <w:bottom w:w="80" w:type="dxa"/>
              <w:right w:w="200" w:type="dxa"/>
            </w:tcMar>
            <w:vAlign w:val="top"/>
          </w:tcPr>
          <w:p w14:paraId="7E664EF3">
            <w:pPr>
              <w:keepNext w:val="0"/>
              <w:keepLines w:val="0"/>
              <w:widowControl/>
              <w:suppressLineNumbers w:val="0"/>
              <w:spacing w:line="23" w:lineRule="atLeast"/>
              <w:jc w:val="left"/>
              <w:textAlignment w:val="top"/>
              <w:rPr>
                <w:rFonts w:hint="default" w:ascii="Calibri" w:hAnsi="Calibri" w:cs="Calibri"/>
                <w:color w:val="1A1A1A"/>
                <w:sz w:val="22"/>
                <w:szCs w:val="22"/>
              </w:rPr>
            </w:pPr>
            <w:r>
              <w:rPr>
                <w:rStyle w:val="26"/>
                <w:rFonts w:hint="default" w:ascii="Calibri" w:hAnsi="Calibri" w:eastAsia="SimSun" w:cs="Calibri"/>
                <w:sz w:val="22"/>
                <w:szCs w:val="22"/>
                <w:bdr w:val="none" w:color="auto" w:sz="0" w:space="0"/>
              </w:rPr>
              <w:t>[Founder Name]</w:t>
            </w:r>
            <w:r>
              <w:rPr>
                <w:rFonts w:hint="default" w:ascii="Calibri" w:hAnsi="Calibri" w:eastAsia="SimSun" w:cs="Calibri"/>
                <w:color w:val="1A1A1A"/>
                <w:sz w:val="22"/>
                <w:szCs w:val="22"/>
                <w:bdr w:val="none" w:color="auto" w:sz="0" w:space="0"/>
              </w:rPr>
              <w:t xml:space="preserve">, </w:t>
            </w:r>
            <w:r>
              <w:rPr>
                <w:rStyle w:val="26"/>
                <w:rFonts w:hint="default" w:ascii="Calibri" w:hAnsi="Calibri" w:eastAsia="SimSun" w:cs="Calibri"/>
                <w:sz w:val="22"/>
                <w:szCs w:val="22"/>
                <w:bdr w:val="none" w:color="auto" w:sz="0" w:space="0"/>
              </w:rPr>
              <w:t>[Title]</w:t>
            </w:r>
            <w:r>
              <w:rPr>
                <w:rFonts w:hint="default" w:ascii="Calibri" w:hAnsi="Calibri" w:eastAsia="SimSun" w:cs="Calibri"/>
                <w:color w:val="1A1A1A"/>
                <w:sz w:val="22"/>
                <w:szCs w:val="22"/>
                <w:bdr w:val="none" w:color="auto" w:sz="0" w:space="0"/>
              </w:rPr>
              <w:t xml:space="preserve"> · </w:t>
            </w:r>
            <w:r>
              <w:rPr>
                <w:rStyle w:val="26"/>
                <w:rFonts w:hint="default" w:ascii="Calibri" w:hAnsi="Calibri" w:eastAsia="SimSun" w:cs="Calibri"/>
                <w:sz w:val="22"/>
                <w:szCs w:val="22"/>
                <w:bdr w:val="none" w:color="auto" w:sz="0" w:space="0"/>
              </w:rPr>
              <w:t>[Email]</w:t>
            </w:r>
            <w:r>
              <w:rPr>
                <w:rFonts w:hint="default" w:ascii="Calibri" w:hAnsi="Calibri" w:eastAsia="SimSun" w:cs="Calibri"/>
                <w:color w:val="1A1A1A"/>
                <w:sz w:val="22"/>
                <w:szCs w:val="22"/>
                <w:bdr w:val="none" w:color="auto" w:sz="0" w:space="0"/>
              </w:rPr>
              <w:t xml:space="preserve"> · </w:t>
            </w:r>
            <w:r>
              <w:rPr>
                <w:rStyle w:val="26"/>
                <w:rFonts w:hint="default" w:ascii="Calibri" w:hAnsi="Calibri" w:eastAsia="SimSun" w:cs="Calibri"/>
                <w:sz w:val="22"/>
                <w:szCs w:val="22"/>
                <w:bdr w:val="none" w:color="auto" w:sz="0" w:space="0"/>
              </w:rPr>
              <w:t>[Phone]</w:t>
            </w:r>
          </w:p>
        </w:tc>
      </w:tr>
      <w:tr w14:paraId="6CE7B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10FBEAD7">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Date</w:t>
            </w:r>
          </w:p>
        </w:tc>
        <w:tc>
          <w:tcPr>
            <w:tcW w:w="0" w:type="auto"/>
            <w:shd w:val="clear"/>
            <w:tcMar>
              <w:top w:w="80" w:type="dxa"/>
              <w:left w:w="0" w:type="dxa"/>
              <w:bottom w:w="80" w:type="dxa"/>
              <w:right w:w="200" w:type="dxa"/>
            </w:tcMar>
            <w:vAlign w:val="top"/>
          </w:tcPr>
          <w:p w14:paraId="0B56F3CA">
            <w:pPr>
              <w:keepNext w:val="0"/>
              <w:keepLines w:val="0"/>
              <w:widowControl/>
              <w:suppressLineNumbers w:val="0"/>
              <w:spacing w:line="23" w:lineRule="atLeast"/>
              <w:jc w:val="left"/>
              <w:textAlignment w:val="top"/>
              <w:rPr>
                <w:rFonts w:hint="default" w:ascii="Calibri" w:hAnsi="Calibri" w:cs="Calibri"/>
                <w:color w:val="1A1A1A"/>
                <w:sz w:val="22"/>
                <w:szCs w:val="22"/>
              </w:rPr>
            </w:pPr>
            <w:r>
              <w:rPr>
                <w:rStyle w:val="26"/>
                <w:rFonts w:hint="default" w:ascii="Calibri" w:hAnsi="Calibri" w:eastAsia="SimSun" w:cs="Calibri"/>
                <w:sz w:val="22"/>
                <w:szCs w:val="22"/>
                <w:bdr w:val="none" w:color="auto" w:sz="0" w:space="0"/>
              </w:rPr>
              <w:t>[Date]</w:t>
            </w:r>
          </w:p>
        </w:tc>
      </w:tr>
      <w:tr w14:paraId="1270F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3200" w:type="dxa"/>
            <w:shd w:val="clear"/>
            <w:tcMar>
              <w:top w:w="80" w:type="dxa"/>
              <w:left w:w="0" w:type="dxa"/>
              <w:bottom w:w="80" w:type="dxa"/>
              <w:right w:w="200" w:type="dxa"/>
            </w:tcMar>
            <w:vAlign w:val="top"/>
          </w:tcPr>
          <w:p w14:paraId="03F441B8">
            <w:pPr>
              <w:keepNext w:val="0"/>
              <w:keepLines w:val="0"/>
              <w:widowControl/>
              <w:suppressLineNumbers w:val="0"/>
              <w:spacing w:line="23" w:lineRule="atLeast"/>
              <w:jc w:val="left"/>
              <w:textAlignment w:val="top"/>
              <w:rPr>
                <w:rFonts w:hint="default" w:ascii="Calibri" w:hAnsi="Calibri" w:cs="Calibri"/>
                <w:b/>
                <w:bCs/>
                <w:color w:val="7A5118"/>
                <w:sz w:val="22"/>
                <w:szCs w:val="22"/>
              </w:rPr>
            </w:pPr>
            <w:r>
              <w:rPr>
                <w:rFonts w:hint="default" w:ascii="Calibri" w:hAnsi="Calibri" w:eastAsia="SimSun" w:cs="Calibri"/>
                <w:b/>
                <w:bCs/>
                <w:color w:val="7A5118"/>
                <w:sz w:val="22"/>
                <w:szCs w:val="22"/>
                <w:bdr w:val="none" w:color="auto" w:sz="0" w:space="0"/>
              </w:rPr>
              <w:t>Version</w:t>
            </w:r>
          </w:p>
        </w:tc>
        <w:tc>
          <w:tcPr>
            <w:tcW w:w="0" w:type="auto"/>
            <w:shd w:val="clear"/>
            <w:tcMar>
              <w:top w:w="80" w:type="dxa"/>
              <w:left w:w="0" w:type="dxa"/>
              <w:bottom w:w="80" w:type="dxa"/>
              <w:right w:w="200" w:type="dxa"/>
            </w:tcMar>
            <w:vAlign w:val="top"/>
          </w:tcPr>
          <w:p w14:paraId="69DB47AC">
            <w:pPr>
              <w:keepNext w:val="0"/>
              <w:keepLines w:val="0"/>
              <w:widowControl/>
              <w:suppressLineNumbers w:val="0"/>
              <w:spacing w:line="23" w:lineRule="atLeast"/>
              <w:jc w:val="left"/>
              <w:textAlignment w:val="top"/>
              <w:rPr>
                <w:rFonts w:hint="default" w:ascii="Calibri" w:hAnsi="Calibri" w:cs="Calibri"/>
                <w:color w:val="1A1A1A"/>
                <w:sz w:val="22"/>
                <w:szCs w:val="22"/>
              </w:rPr>
            </w:pPr>
            <w:r>
              <w:rPr>
                <w:rFonts w:hint="default" w:ascii="Calibri" w:hAnsi="Calibri" w:eastAsia="SimSun" w:cs="Calibri"/>
                <w:color w:val="1A1A1A"/>
                <w:sz w:val="22"/>
                <w:szCs w:val="22"/>
                <w:bdr w:val="none" w:color="auto" w:sz="0" w:space="0"/>
              </w:rPr>
              <w:t>2.0 (Draft for discussion)</w:t>
            </w:r>
          </w:p>
        </w:tc>
      </w:tr>
    </w:tbl>
    <w:p w14:paraId="4F0FFFE8">
      <w:pPr>
        <w:pStyle w:val="16"/>
        <w:keepNext w:val="0"/>
        <w:keepLines w:val="0"/>
        <w:widowControl/>
        <w:suppressLineNumbers w:val="0"/>
        <w:spacing w:before="0" w:beforeAutospacing="0" w:after="160" w:afterAutospacing="0" w:line="23" w:lineRule="atLeast"/>
        <w:ind w:left="0" w:right="0"/>
      </w:pPr>
      <w:r>
        <w:rPr>
          <w:rFonts w:hint="default" w:ascii="Calibri" w:hAnsi="Calibri" w:cs="Calibri"/>
        </w:rPr>
        <w:t>Confidential — not for distribution without written consent</w:t>
      </w:r>
    </w:p>
    <w:p w14:paraId="2D4D4D83">
      <w:pPr>
        <w:pStyle w:val="3"/>
        <w:keepNext w:val="0"/>
        <w:keepLines w:val="0"/>
        <w:widowControl/>
        <w:suppressLineNumbers w:val="0"/>
        <w:spacing w:line="23" w:lineRule="atLeast"/>
      </w:pPr>
      <w:r>
        <w:t>Confidentiality &amp; Important Notice</w:t>
      </w:r>
    </w:p>
    <w:p w14:paraId="232F204A">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This Confidential Investor Memorandum (the “Memorandum”) is provided by </w:t>
      </w:r>
      <w:r>
        <w:rPr>
          <w:rStyle w:val="26"/>
          <w:rFonts w:hint="default" w:ascii="Calibri" w:hAnsi="Calibri" w:cs="Calibri"/>
          <w:sz w:val="22"/>
          <w:szCs w:val="22"/>
        </w:rPr>
        <w:t>[Investprop (Pty) Ltd]</w:t>
      </w:r>
      <w:r>
        <w:rPr>
          <w:rFonts w:hint="default" w:ascii="Calibri" w:hAnsi="Calibri" w:cs="Calibri"/>
          <w:color w:val="1A1A1A"/>
          <w:sz w:val="22"/>
          <w:szCs w:val="22"/>
        </w:rPr>
        <w:t xml:space="preserve"> (“Investprop”, “we”, “us”, the “Platform”) to the named recipient solely to assist in evaluating participation — whether as a </w:t>
      </w:r>
      <w:r>
        <w:rPr>
          <w:rStyle w:val="12"/>
          <w:rFonts w:hint="default" w:ascii="Calibri" w:hAnsi="Calibri" w:cs="Calibri"/>
          <w:color w:val="1A1A1A"/>
          <w:sz w:val="22"/>
          <w:szCs w:val="22"/>
        </w:rPr>
        <w:t>co-investor</w:t>
      </w:r>
      <w:r>
        <w:rPr>
          <w:rFonts w:hint="default" w:ascii="Calibri" w:hAnsi="Calibri" w:cs="Calibri"/>
          <w:color w:val="1A1A1A"/>
          <w:sz w:val="22"/>
          <w:szCs w:val="22"/>
        </w:rPr>
        <w:t xml:space="preserve"> in a ring-fenced property SPV, or as an </w:t>
      </w:r>
      <w:r>
        <w:rPr>
          <w:rStyle w:val="12"/>
          <w:rFonts w:hint="default" w:ascii="Calibri" w:hAnsi="Calibri" w:cs="Calibri"/>
          <w:color w:val="1A1A1A"/>
          <w:sz w:val="22"/>
          <w:szCs w:val="22"/>
        </w:rPr>
        <w:t>institutional funding / development-finance partner</w:t>
      </w:r>
      <w:r>
        <w:rPr>
          <w:rFonts w:hint="default" w:ascii="Calibri" w:hAnsi="Calibri" w:cs="Calibri"/>
          <w:color w:val="1A1A1A"/>
          <w:sz w:val="22"/>
          <w:szCs w:val="22"/>
        </w:rPr>
        <w:t xml:space="preserve"> — in the opportunities facilitated by the Platform. It may not be copied, reproduced, forwarded, or disclosed to any third party, in whole or in part, without our prior written consent. </w:t>
      </w:r>
    </w:p>
    <w:p w14:paraId="7F216F2D">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This Memorandum is not a prospectus, an offer to the public, financial or investment advice, or a solicitation under the South African Companies Act, 2008 or the Financial Markets Act, 2012. It is an invitation to a limited number of sophisticated / qualifying investors and institutions to discuss co-investment and partnership opportunities on a private-placement basis. Any investment or commitment will be made only by persons or institutions who qualify under applicable exemptions and solely on the terms of definitive subscription, co-funding, and shareholders’ agreements. </w:t>
      </w:r>
    </w:p>
    <w:p w14:paraId="4F6A3D8A">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All forward-looking statements, projections, and market figures are estimates and illustrations only. They are not guarantees of future performance. Actual results may differ materially. Prospective investors must rely on their own due diligence and professional advisers. Investment in an early-stage company carries a high risk of loss, including the total loss of capital invested, and the investment is illiquid. </w:t>
      </w:r>
    </w:p>
    <w:p w14:paraId="381E0399">
      <w:pPr>
        <w:pStyle w:val="19"/>
        <w:keepNext w:val="0"/>
        <w:keepLines w:val="0"/>
        <w:widowControl/>
        <w:suppressLineNumbers w:val="0"/>
        <w:spacing w:before="200" w:beforeAutospacing="0" w:after="200" w:afterAutospacing="0" w:line="23" w:lineRule="atLeast"/>
        <w:ind w:left="0" w:right="0"/>
      </w:pPr>
      <w:r>
        <w:rPr>
          <w:rStyle w:val="12"/>
          <w:rFonts w:hint="default" w:ascii="Calibri" w:hAnsi="Calibri" w:cs="Calibri"/>
          <w:color w:val="1A1A1A"/>
          <w:sz w:val="22"/>
          <w:szCs w:val="22"/>
          <w:shd w:val="clear" w:fill="FAF6EC"/>
        </w:rPr>
        <w:t>In one line:</w:t>
      </w:r>
      <w:r>
        <w:rPr>
          <w:rFonts w:hint="default" w:ascii="Calibri" w:hAnsi="Calibri" w:cs="Calibri"/>
          <w:color w:val="1A1A1A"/>
          <w:sz w:val="22"/>
          <w:szCs w:val="22"/>
          <w:shd w:val="clear" w:fill="FAF6EC"/>
        </w:rPr>
        <w:t xml:space="preserve"> Development funders will back strong property projects but require the developer to contribute a minimum of ~30% equity — capital most developers do not have. Investprop is a live, AI-powered platform that </w:t>
      </w:r>
      <w:r>
        <w:rPr>
          <w:rStyle w:val="12"/>
          <w:rFonts w:hint="default" w:ascii="Calibri" w:hAnsi="Calibri" w:cs="Calibri"/>
          <w:color w:val="1A1A1A"/>
          <w:sz w:val="22"/>
          <w:szCs w:val="22"/>
          <w:shd w:val="clear" w:fill="FAF6EC"/>
        </w:rPr>
        <w:t>aggregates that 30% from a pool of qualifying co-investors</w:t>
      </w:r>
      <w:r>
        <w:rPr>
          <w:rFonts w:hint="default" w:ascii="Calibri" w:hAnsi="Calibri" w:cs="Calibri"/>
          <w:color w:val="1A1A1A"/>
          <w:sz w:val="22"/>
          <w:szCs w:val="22"/>
          <w:shd w:val="clear" w:fill="FAF6EC"/>
        </w:rPr>
        <w:t>, pairs it with institutional development finance, and holds everything inside compliant, ring-fenced SPVs — unlocking deals that would otherwise never happen.</w:t>
      </w:r>
    </w:p>
    <w:p w14:paraId="3AD3BFA7">
      <w:pPr>
        <w:pStyle w:val="3"/>
        <w:keepNext w:val="0"/>
        <w:keepLines w:val="0"/>
        <w:widowControl/>
        <w:suppressLineNumbers w:val="0"/>
        <w:spacing w:line="23" w:lineRule="atLeast"/>
      </w:pPr>
      <w:r>
        <w:t>Contents</w:t>
      </w:r>
    </w:p>
    <w:p w14:paraId="0DF1B97A">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Executive Summary</w:t>
      </w:r>
    </w:p>
    <w:p w14:paraId="50566FD4">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Why Investprop Exists — The 30% Developer-Equity Problem</w:t>
      </w:r>
    </w:p>
    <w:p w14:paraId="2E345E81">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The Solution — How the Pool Unlocks the Deal</w:t>
      </w:r>
    </w:p>
    <w:p w14:paraId="4CCB44AB">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Who This Memorandum Invites</w:t>
      </w:r>
    </w:p>
    <w:p w14:paraId="1C54A491">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Product &amp; Technology</w:t>
      </w:r>
    </w:p>
    <w:p w14:paraId="2B56A83A">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Artificial Intelligence Layer</w:t>
      </w:r>
    </w:p>
    <w:p w14:paraId="166E9D68">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The Market Opportunity</w:t>
      </w:r>
    </w:p>
    <w:p w14:paraId="66778EBE">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How Capital Is Structured &amp; Protected</w:t>
      </w:r>
    </w:p>
    <w:p w14:paraId="72970249">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Business Model &amp; Revenue Streams</w:t>
      </w:r>
    </w:p>
    <w:p w14:paraId="41902926">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Illustrative Deal Economics</w:t>
      </w:r>
    </w:p>
    <w:p w14:paraId="2EEE445F">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Traction &amp; Current Status</w:t>
      </w:r>
    </w:p>
    <w:p w14:paraId="7314E345">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Go-to-Market Strategy</w:t>
      </w:r>
    </w:p>
    <w:p w14:paraId="2CBDE392">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Competitive Landscape</w:t>
      </w:r>
    </w:p>
    <w:p w14:paraId="0664BB5E">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Regulatory, Compliance &amp; Risk</w:t>
      </w:r>
    </w:p>
    <w:p w14:paraId="1C81DE78">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Financial Projections (Illustrative)</w:t>
      </w:r>
    </w:p>
    <w:p w14:paraId="140774AB">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The Invitation — Co-Investors &amp; Institutional Partners</w:t>
      </w:r>
    </w:p>
    <w:p w14:paraId="6B89046D">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Indicative Terms</w:t>
      </w:r>
    </w:p>
    <w:p w14:paraId="76EBA4AB">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Key Risks &amp; Mitigations</w:t>
      </w:r>
    </w:p>
    <w:p w14:paraId="629F0298">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Team &amp; Governance</w:t>
      </w:r>
    </w:p>
    <w:p w14:paraId="267BC99C">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Proposed Next Steps</w:t>
      </w:r>
    </w:p>
    <w:p w14:paraId="43236A93">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Appendix A — Revenue Catalogue</w:t>
      </w:r>
    </w:p>
    <w:p w14:paraId="277BF4DD">
      <w:pPr>
        <w:keepNext w:val="0"/>
        <w:keepLines w:val="0"/>
        <w:widowControl/>
        <w:numPr>
          <w:ilvl w:val="0"/>
          <w:numId w:val="1"/>
        </w:numPr>
        <w:suppressLineNumbers w:val="0"/>
        <w:spacing w:before="0" w:beforeAutospacing="1" w:after="80" w:afterAutospacing="0" w:line="23" w:lineRule="atLeast"/>
        <w:ind w:left="720" w:hanging="360"/>
      </w:pPr>
      <w:r>
        <w:rPr>
          <w:rFonts w:hint="default" w:ascii="Calibri" w:hAnsi="Calibri" w:cs="Calibri"/>
          <w:color w:val="1A1A1A"/>
          <w:sz w:val="22"/>
          <w:szCs w:val="22"/>
        </w:rPr>
        <w:t>Appendix B — Glossary</w:t>
      </w:r>
    </w:p>
    <w:p w14:paraId="76B489A0">
      <w:pPr>
        <w:pStyle w:val="3"/>
        <w:keepNext w:val="0"/>
        <w:keepLines w:val="0"/>
        <w:widowControl/>
        <w:suppressLineNumbers w:val="0"/>
        <w:spacing w:line="23" w:lineRule="atLeast"/>
      </w:pPr>
      <w:r>
        <w:t>1. Executive Summary</w:t>
      </w:r>
    </w:p>
    <w:p w14:paraId="565C5543">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Property is South Africa’s most trusted store of wealth, and institutional funders — banks, development-finance institutions (DFIs), and large investors — are willing to finance strong property-development projects. In practice, however, they will only do so if the </w:t>
      </w:r>
      <w:r>
        <w:rPr>
          <w:rStyle w:val="12"/>
          <w:rFonts w:hint="default" w:ascii="Calibri" w:hAnsi="Calibri" w:cs="Calibri"/>
          <w:color w:val="1A1A1A"/>
          <w:sz w:val="22"/>
          <w:szCs w:val="22"/>
        </w:rPr>
        <w:t>developer contributes a meaningful equity stake, typically a minimum of around 30%</w:t>
      </w:r>
      <w:r>
        <w:rPr>
          <w:rFonts w:hint="default" w:ascii="Calibri" w:hAnsi="Calibri" w:cs="Calibri"/>
          <w:color w:val="1A1A1A"/>
          <w:sz w:val="22"/>
          <w:szCs w:val="22"/>
        </w:rPr>
        <w:t xml:space="preserve"> of project cost. That co-contribution is the single biggest reason good projects stall: most capable developers simply do not have 30% of a project’s cost sitting in cash. </w:t>
      </w:r>
    </w:p>
    <w:p w14:paraId="6B2FC507">
      <w:pPr>
        <w:pStyle w:val="19"/>
        <w:keepNext w:val="0"/>
        <w:keepLines w:val="0"/>
        <w:widowControl/>
        <w:suppressLineNumbers w:val="0"/>
        <w:spacing w:beforeAutospacing="1" w:afterAutospacing="1" w:line="23" w:lineRule="atLeast"/>
      </w:pPr>
      <w:r>
        <w:rPr>
          <w:rStyle w:val="12"/>
          <w:rFonts w:hint="default" w:ascii="Calibri" w:hAnsi="Calibri" w:cs="Calibri"/>
          <w:color w:val="1A1A1A"/>
          <w:sz w:val="22"/>
          <w:szCs w:val="22"/>
        </w:rPr>
        <w:t>Investprop exists to close that gap.</w:t>
      </w:r>
      <w:r>
        <w:rPr>
          <w:rFonts w:hint="default" w:ascii="Calibri" w:hAnsi="Calibri" w:cs="Calibri"/>
          <w:color w:val="1A1A1A"/>
          <w:sz w:val="22"/>
          <w:szCs w:val="22"/>
        </w:rPr>
        <w:t xml:space="preserve"> We are a live, AI-powered platform that aggregates the required developer equity from a </w:t>
      </w:r>
      <w:r>
        <w:rPr>
          <w:rStyle w:val="12"/>
          <w:rFonts w:hint="default" w:ascii="Calibri" w:hAnsi="Calibri" w:cs="Calibri"/>
          <w:color w:val="1A1A1A"/>
          <w:sz w:val="22"/>
          <w:szCs w:val="22"/>
        </w:rPr>
        <w:t>pool of qualifying co-investors</w:t>
      </w:r>
      <w:r>
        <w:rPr>
          <w:rFonts w:hint="default" w:ascii="Calibri" w:hAnsi="Calibri" w:cs="Calibri"/>
          <w:color w:val="1A1A1A"/>
          <w:sz w:val="22"/>
          <w:szCs w:val="22"/>
        </w:rPr>
        <w:t xml:space="preserve"> — each contributing from </w:t>
      </w:r>
      <w:r>
        <w:rPr>
          <w:rStyle w:val="26"/>
          <w:rFonts w:hint="default" w:ascii="Calibri" w:hAnsi="Calibri" w:cs="Calibri"/>
          <w:sz w:val="22"/>
          <w:szCs w:val="22"/>
        </w:rPr>
        <w:t>[R10,000]</w:t>
      </w:r>
      <w:r>
        <w:rPr>
          <w:rFonts w:hint="default" w:ascii="Calibri" w:hAnsi="Calibri" w:cs="Calibri"/>
          <w:color w:val="1A1A1A"/>
          <w:sz w:val="22"/>
          <w:szCs w:val="22"/>
        </w:rPr>
        <w:t xml:space="preserve"> — and pairs that pooled equity with institutional development finance. The pooled equity and the project are held inside ring-fenced Special Purpose Vehicles (SPVs), with transparent reporting, share certificates, AI-driven underwriting, and a path to secondary liquidity. </w:t>
      </w:r>
    </w:p>
    <w:p w14:paraId="4B1912B0">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This creates a </w:t>
      </w:r>
      <w:r>
        <w:rPr>
          <w:rStyle w:val="12"/>
          <w:rFonts w:hint="default" w:ascii="Calibri" w:hAnsi="Calibri" w:cs="Calibri"/>
          <w:color w:val="1A1A1A"/>
          <w:sz w:val="22"/>
          <w:szCs w:val="22"/>
        </w:rPr>
        <w:t>two-sided invitation</w:t>
      </w:r>
      <w:r>
        <w:rPr>
          <w:rFonts w:hint="default" w:ascii="Calibri" w:hAnsi="Calibri" w:cs="Calibri"/>
          <w:color w:val="1A1A1A"/>
          <w:sz w:val="22"/>
          <w:szCs w:val="22"/>
        </w:rPr>
        <w:t xml:space="preserve">. For everyday and qualifying investors, it is a chance to co-invest in institutional-grade developments that were previously out of reach. For institutional funders and development-finance partners, Investprop is the counterparty that reliably assembles the ~30% equity tranche, originates and underwrites deals with AI, and administers them in a compliant, auditable structure — de-risking and unlocking deal flow they could not otherwise transact. </w:t>
      </w:r>
    </w:p>
    <w:p w14:paraId="66EB8CD7">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The platform is </w:t>
      </w:r>
      <w:r>
        <w:rPr>
          <w:rStyle w:val="12"/>
          <w:rFonts w:hint="default" w:ascii="Calibri" w:hAnsi="Calibri" w:cs="Calibri"/>
          <w:color w:val="1A1A1A"/>
          <w:sz w:val="22"/>
          <w:szCs w:val="22"/>
        </w:rPr>
        <w:t>live today</w:t>
      </w:r>
      <w:r>
        <w:rPr>
          <w:rFonts w:hint="default" w:ascii="Calibri" w:hAnsi="Calibri" w:cs="Calibri"/>
          <w:color w:val="1A1A1A"/>
          <w:sz w:val="22"/>
          <w:szCs w:val="22"/>
        </w:rPr>
        <w:t xml:space="preserve"> as a production web application and a native mobile app (Android/iOS), with the co-investment pooling, SPV accounting, investor wallets, instant settlement, and share-integrity controls already built. Investprop earns diversified, recurring and transaction-based fees across the capital it helps raise, the distributions it pays out, and the secondary trades it facilitates. </w:t>
      </w:r>
    </w:p>
    <w:p w14:paraId="67ECA06C">
      <w:pPr>
        <w:keepNext w:val="0"/>
        <w:keepLines w:val="0"/>
        <w:widowControl/>
        <w:suppressLineNumbers w:val="0"/>
        <w:spacing w:before="120" w:beforeAutospacing="0" w:after="200" w:afterAutospacing="0" w:line="23" w:lineRule="atLeast"/>
        <w:ind w:left="0" w:right="360"/>
        <w:jc w:val="left"/>
        <w:rPr>
          <w:rFonts w:hint="default" w:ascii="Calibri" w:hAnsi="Calibri" w:cs="Calibri"/>
          <w:b/>
          <w:bCs/>
          <w:color w:val="7A5118"/>
          <w:sz w:val="36"/>
          <w:szCs w:val="36"/>
        </w:rPr>
      </w:pPr>
      <w:r>
        <w:rPr>
          <w:rFonts w:hint="default" w:ascii="Calibri" w:hAnsi="Calibri" w:eastAsia="SimSun" w:cs="Calibri"/>
          <w:b/>
          <w:bCs/>
          <w:color w:val="7A5118"/>
          <w:sz w:val="36"/>
          <w:szCs w:val="36"/>
        </w:rPr>
        <w:t>~30%</w:t>
      </w:r>
    </w:p>
    <w:p w14:paraId="44276916">
      <w:pPr>
        <w:keepNext w:val="0"/>
        <w:keepLines w:val="0"/>
        <w:widowControl/>
        <w:suppressLineNumbers w:val="0"/>
        <w:spacing w:before="120" w:beforeAutospacing="0" w:after="200" w:afterAutospacing="0" w:line="23" w:lineRule="atLeast"/>
        <w:ind w:left="0" w:right="360"/>
        <w:jc w:val="left"/>
        <w:rPr>
          <w:rFonts w:hint="default" w:ascii="Calibri" w:hAnsi="Calibri" w:cs="Calibri"/>
          <w:color w:val="4A4A4A"/>
          <w:sz w:val="19"/>
          <w:szCs w:val="19"/>
        </w:rPr>
      </w:pPr>
      <w:r>
        <w:rPr>
          <w:rFonts w:hint="default" w:ascii="Calibri" w:hAnsi="Calibri" w:eastAsia="SimSun" w:cs="Calibri"/>
          <w:color w:val="4A4A4A"/>
          <w:sz w:val="19"/>
          <w:szCs w:val="19"/>
        </w:rPr>
        <w:t>Developer equity funders require — sourced from the pool</w:t>
      </w:r>
    </w:p>
    <w:p w14:paraId="31B49A56">
      <w:pPr>
        <w:keepNext w:val="0"/>
        <w:keepLines w:val="0"/>
        <w:widowControl/>
        <w:suppressLineNumbers w:val="0"/>
        <w:spacing w:before="120" w:beforeAutospacing="0" w:after="200" w:afterAutospacing="0" w:line="23" w:lineRule="atLeast"/>
        <w:ind w:left="0" w:right="360"/>
        <w:jc w:val="left"/>
        <w:rPr>
          <w:rFonts w:hint="default" w:ascii="Calibri" w:hAnsi="Calibri" w:cs="Calibri"/>
          <w:b/>
          <w:bCs/>
          <w:color w:val="7A5118"/>
          <w:sz w:val="36"/>
          <w:szCs w:val="36"/>
        </w:rPr>
      </w:pPr>
      <w:r>
        <w:rPr>
          <w:rFonts w:hint="default" w:ascii="Calibri" w:hAnsi="Calibri" w:eastAsia="SimSun" w:cs="Calibri"/>
          <w:b/>
          <w:bCs/>
          <w:color w:val="7A5118"/>
          <w:sz w:val="36"/>
          <w:szCs w:val="36"/>
        </w:rPr>
        <w:t>From R10k</w:t>
      </w:r>
    </w:p>
    <w:p w14:paraId="729173C9">
      <w:pPr>
        <w:keepNext w:val="0"/>
        <w:keepLines w:val="0"/>
        <w:widowControl/>
        <w:suppressLineNumbers w:val="0"/>
        <w:spacing w:before="120" w:beforeAutospacing="0" w:after="200" w:afterAutospacing="0" w:line="23" w:lineRule="atLeast"/>
        <w:ind w:left="0" w:right="360"/>
        <w:jc w:val="left"/>
        <w:rPr>
          <w:rFonts w:hint="default" w:ascii="Calibri" w:hAnsi="Calibri" w:cs="Calibri"/>
          <w:color w:val="4A4A4A"/>
          <w:sz w:val="19"/>
          <w:szCs w:val="19"/>
        </w:rPr>
      </w:pPr>
      <w:r>
        <w:rPr>
          <w:rFonts w:hint="default" w:ascii="Calibri" w:hAnsi="Calibri" w:eastAsia="SimSun" w:cs="Calibri"/>
          <w:color w:val="4A4A4A"/>
          <w:sz w:val="19"/>
          <w:szCs w:val="19"/>
        </w:rPr>
        <w:t>Minimum co-investor ticket (target)</w:t>
      </w:r>
    </w:p>
    <w:p w14:paraId="5D9DF724">
      <w:pPr>
        <w:keepNext w:val="0"/>
        <w:keepLines w:val="0"/>
        <w:widowControl/>
        <w:suppressLineNumbers w:val="0"/>
        <w:spacing w:before="120" w:beforeAutospacing="0" w:after="200" w:afterAutospacing="0" w:line="23" w:lineRule="atLeast"/>
        <w:ind w:left="0" w:right="360"/>
        <w:jc w:val="left"/>
        <w:rPr>
          <w:rFonts w:hint="default" w:ascii="Calibri" w:hAnsi="Calibri" w:cs="Calibri"/>
          <w:b/>
          <w:bCs/>
          <w:color w:val="7A5118"/>
          <w:sz w:val="36"/>
          <w:szCs w:val="36"/>
        </w:rPr>
      </w:pPr>
      <w:r>
        <w:rPr>
          <w:rFonts w:hint="default" w:ascii="Calibri" w:hAnsi="Calibri" w:eastAsia="SimSun" w:cs="Calibri"/>
          <w:b/>
          <w:bCs/>
          <w:color w:val="7A5118"/>
          <w:sz w:val="36"/>
          <w:szCs w:val="36"/>
        </w:rPr>
        <w:t>2 apps</w:t>
      </w:r>
    </w:p>
    <w:p w14:paraId="14852692">
      <w:pPr>
        <w:keepNext w:val="0"/>
        <w:keepLines w:val="0"/>
        <w:widowControl/>
        <w:suppressLineNumbers w:val="0"/>
        <w:spacing w:before="120" w:beforeAutospacing="0" w:after="200" w:afterAutospacing="0" w:line="23" w:lineRule="atLeast"/>
        <w:ind w:left="0" w:right="360"/>
        <w:jc w:val="left"/>
        <w:rPr>
          <w:rFonts w:hint="default" w:ascii="Calibri" w:hAnsi="Calibri" w:cs="Calibri"/>
          <w:color w:val="4A4A4A"/>
          <w:sz w:val="19"/>
          <w:szCs w:val="19"/>
        </w:rPr>
      </w:pPr>
      <w:r>
        <w:rPr>
          <w:rFonts w:hint="default" w:ascii="Calibri" w:hAnsi="Calibri" w:eastAsia="SimSun" w:cs="Calibri"/>
          <w:color w:val="4A4A4A"/>
          <w:sz w:val="19"/>
          <w:szCs w:val="19"/>
        </w:rPr>
        <w:t>Live web + native mobile</w:t>
      </w:r>
    </w:p>
    <w:p w14:paraId="604A5B17">
      <w:pPr>
        <w:keepNext w:val="0"/>
        <w:keepLines w:val="0"/>
        <w:widowControl/>
        <w:suppressLineNumbers w:val="0"/>
        <w:spacing w:before="120" w:beforeAutospacing="0" w:after="200" w:afterAutospacing="0" w:line="23" w:lineRule="atLeast"/>
        <w:ind w:left="0" w:right="360"/>
        <w:jc w:val="left"/>
        <w:rPr>
          <w:rFonts w:hint="default" w:ascii="Calibri" w:hAnsi="Calibri" w:cs="Calibri"/>
          <w:b/>
          <w:bCs/>
          <w:color w:val="7A5118"/>
          <w:sz w:val="36"/>
          <w:szCs w:val="36"/>
        </w:rPr>
      </w:pPr>
      <w:r>
        <w:rPr>
          <w:rFonts w:hint="default" w:ascii="Calibri" w:hAnsi="Calibri" w:eastAsia="SimSun" w:cs="Calibri"/>
          <w:b/>
          <w:bCs/>
          <w:color w:val="7A5118"/>
          <w:sz w:val="36"/>
          <w:szCs w:val="36"/>
        </w:rPr>
        <w:t>Ring-fenced</w:t>
      </w:r>
    </w:p>
    <w:p w14:paraId="0EC3CBFF">
      <w:pPr>
        <w:keepNext w:val="0"/>
        <w:keepLines w:val="0"/>
        <w:widowControl/>
        <w:suppressLineNumbers w:val="0"/>
        <w:spacing w:before="120" w:beforeAutospacing="0" w:after="200" w:afterAutospacing="0" w:line="23" w:lineRule="atLeast"/>
        <w:ind w:left="0" w:right="360"/>
        <w:jc w:val="left"/>
        <w:rPr>
          <w:rFonts w:hint="default" w:ascii="Calibri" w:hAnsi="Calibri" w:cs="Calibri"/>
          <w:color w:val="4A4A4A"/>
          <w:sz w:val="19"/>
          <w:szCs w:val="19"/>
        </w:rPr>
      </w:pPr>
      <w:r>
        <w:rPr>
          <w:rFonts w:hint="default" w:ascii="Calibri" w:hAnsi="Calibri" w:eastAsia="SimSun" w:cs="Calibri"/>
          <w:color w:val="4A4A4A"/>
          <w:sz w:val="19"/>
          <w:szCs w:val="19"/>
        </w:rPr>
        <w:t>Per-deal SPVs with audit trail</w:t>
      </w:r>
    </w:p>
    <w:p w14:paraId="56AAD003">
      <w:pPr>
        <w:pStyle w:val="3"/>
        <w:keepNext w:val="0"/>
        <w:keepLines w:val="0"/>
        <w:widowControl/>
        <w:suppressLineNumbers w:val="0"/>
        <w:spacing w:line="23" w:lineRule="atLeast"/>
      </w:pPr>
      <w:r>
        <w:t>2. Why Investprop Exists — The 30% Developer-Equity Problem</w:t>
      </w:r>
    </w:p>
    <w:p w14:paraId="2671C726">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This platform was born out of a real, recurring obstacle we faced ourselves. Institutional funders — the PIC, banks such as Absa, Nedbank and Capitec, and specialist development financiers such as TUHF Capital — are genuinely willing to fund property developments. But almost all of them attach the same condition: </w:t>
      </w:r>
    </w:p>
    <w:p w14:paraId="78984DD8">
      <w:pPr>
        <w:pStyle w:val="19"/>
        <w:keepNext w:val="0"/>
        <w:keepLines w:val="0"/>
        <w:widowControl/>
        <w:suppressLineNumbers w:val="0"/>
        <w:spacing w:before="200" w:beforeAutospacing="0" w:after="200" w:afterAutospacing="0" w:line="23" w:lineRule="atLeast"/>
        <w:ind w:left="0" w:right="0"/>
      </w:pPr>
      <w:r>
        <w:rPr>
          <w:rStyle w:val="12"/>
          <w:rFonts w:hint="default" w:ascii="Calibri" w:hAnsi="Calibri" w:cs="Calibri"/>
          <w:color w:val="1A1A1A"/>
          <w:sz w:val="22"/>
          <w:szCs w:val="22"/>
          <w:shd w:val="clear" w:fill="FAF6EC"/>
        </w:rPr>
        <w:t>“Show us that you, the developer, have skin in the game — contribute a minimum of roughly 30% of the project equity, and we will fund the rest.”</w:t>
      </w:r>
    </w:p>
    <w:p w14:paraId="29FADFAF">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For a </w:t>
      </w:r>
      <w:r>
        <w:rPr>
          <w:rStyle w:val="26"/>
          <w:rFonts w:hint="default" w:ascii="Calibri" w:hAnsi="Calibri" w:cs="Calibri"/>
          <w:sz w:val="22"/>
          <w:szCs w:val="22"/>
        </w:rPr>
        <w:t>[R50 million]</w:t>
      </w:r>
      <w:r>
        <w:rPr>
          <w:rFonts w:hint="default" w:ascii="Calibri" w:hAnsi="Calibri" w:cs="Calibri"/>
          <w:color w:val="1A1A1A"/>
          <w:sz w:val="22"/>
          <w:szCs w:val="22"/>
        </w:rPr>
        <w:t xml:space="preserve"> development, that 30% is </w:t>
      </w:r>
      <w:r>
        <w:rPr>
          <w:rStyle w:val="26"/>
          <w:rFonts w:hint="default" w:ascii="Calibri" w:hAnsi="Calibri" w:cs="Calibri"/>
          <w:sz w:val="22"/>
          <w:szCs w:val="22"/>
        </w:rPr>
        <w:t>[R15 million]</w:t>
      </w:r>
      <w:r>
        <w:rPr>
          <w:rFonts w:hint="default" w:ascii="Calibri" w:hAnsi="Calibri" w:cs="Calibri"/>
          <w:color w:val="1A1A1A"/>
          <w:sz w:val="22"/>
          <w:szCs w:val="22"/>
        </w:rPr>
        <w:t xml:space="preserve"> in cash — before a single brick is laid. Most competent developers, including us, do not have that amount idle. The result is a stalemate that holds back otherwise bankable, job-creating, housing-delivering projects: </w:t>
      </w:r>
    </w:p>
    <w:p w14:paraId="638DC6BE">
      <w:pPr>
        <w:keepNext w:val="0"/>
        <w:keepLines w:val="0"/>
        <w:widowControl/>
        <w:numPr>
          <w:ilvl w:val="0"/>
          <w:numId w:val="2"/>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The funder is ready</w:t>
      </w:r>
      <w:r>
        <w:rPr>
          <w:rFonts w:hint="default" w:ascii="Calibri" w:hAnsi="Calibri" w:cs="Calibri"/>
          <w:color w:val="1A1A1A"/>
          <w:sz w:val="22"/>
          <w:szCs w:val="22"/>
          <w:bdr w:val="none" w:color="auto" w:sz="0" w:space="0"/>
        </w:rPr>
        <w:t xml:space="preserve"> but cannot deploy without the equity cushion.</w:t>
      </w:r>
    </w:p>
    <w:p w14:paraId="5C602C64">
      <w:pPr>
        <w:keepNext w:val="0"/>
        <w:keepLines w:val="0"/>
        <w:widowControl/>
        <w:numPr>
          <w:ilvl w:val="0"/>
          <w:numId w:val="2"/>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The developer is capable</w:t>
      </w:r>
      <w:r>
        <w:rPr>
          <w:rFonts w:hint="default" w:ascii="Calibri" w:hAnsi="Calibri" w:cs="Calibri"/>
          <w:color w:val="1A1A1A"/>
          <w:sz w:val="22"/>
          <w:szCs w:val="22"/>
          <w:bdr w:val="none" w:color="auto" w:sz="0" w:space="0"/>
        </w:rPr>
        <w:t xml:space="preserve"> but is blocked purely by the equity gap.</w:t>
      </w:r>
    </w:p>
    <w:p w14:paraId="17BB6629">
      <w:pPr>
        <w:keepNext w:val="0"/>
        <w:keepLines w:val="0"/>
        <w:widowControl/>
        <w:numPr>
          <w:ilvl w:val="0"/>
          <w:numId w:val="2"/>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Everyday investors want property exposure</w:t>
      </w:r>
      <w:r>
        <w:rPr>
          <w:rFonts w:hint="default" w:ascii="Calibri" w:hAnsi="Calibri" w:cs="Calibri"/>
          <w:color w:val="1A1A1A"/>
          <w:sz w:val="22"/>
          <w:szCs w:val="22"/>
          <w:bdr w:val="none" w:color="auto" w:sz="0" w:space="0"/>
        </w:rPr>
        <w:t xml:space="preserve"> but cannot access institutional-scale developments.</w:t>
      </w:r>
    </w:p>
    <w:p w14:paraId="1322A33F">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Investprop turns that stalemate into a transaction: the 30% is assembled from many qualifying co-investors, each taking a small, transparent, ring-fenced slice — and the institutional funder provides the senior finance on top. </w:t>
      </w:r>
    </w:p>
    <w:p w14:paraId="3F4D11AA">
      <w:pPr>
        <w:pStyle w:val="4"/>
        <w:keepNext w:val="0"/>
        <w:keepLines w:val="0"/>
        <w:widowControl/>
        <w:suppressLineNumbers w:val="0"/>
        <w:spacing w:line="23" w:lineRule="atLeast"/>
      </w:pPr>
      <w:r>
        <w:t>The other barriers we also remove</w:t>
      </w:r>
    </w:p>
    <w:p w14:paraId="309644F8">
      <w:pPr>
        <w:keepNext w:val="0"/>
        <w:keepLines w:val="0"/>
        <w:widowControl/>
        <w:numPr>
          <w:ilvl w:val="0"/>
          <w:numId w:val="3"/>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Capital barrier:</w:t>
      </w:r>
      <w:r>
        <w:rPr>
          <w:rFonts w:hint="default" w:ascii="Calibri" w:hAnsi="Calibri" w:cs="Calibri"/>
          <w:color w:val="1A1A1A"/>
          <w:sz w:val="22"/>
          <w:szCs w:val="22"/>
          <w:bdr w:val="none" w:color="auto" w:sz="0" w:space="0"/>
        </w:rPr>
        <w:t xml:space="preserve"> fractional tickets from </w:t>
      </w:r>
      <w:r>
        <w:rPr>
          <w:rStyle w:val="26"/>
          <w:rFonts w:hint="default" w:ascii="Calibri" w:hAnsi="Calibri" w:cs="Calibri"/>
          <w:sz w:val="22"/>
          <w:szCs w:val="22"/>
          <w:bdr w:val="none" w:color="auto" w:sz="0" w:space="0"/>
        </w:rPr>
        <w:t>[R10,000]</w:t>
      </w:r>
      <w:r>
        <w:rPr>
          <w:rFonts w:hint="default" w:ascii="Calibri" w:hAnsi="Calibri" w:cs="Calibri"/>
          <w:color w:val="1A1A1A"/>
          <w:sz w:val="22"/>
          <w:szCs w:val="22"/>
          <w:bdr w:val="none" w:color="auto" w:sz="0" w:space="0"/>
        </w:rPr>
        <w:t xml:space="preserve"> replace the need for a whole-property deposit.</w:t>
      </w:r>
    </w:p>
    <w:p w14:paraId="295D6AED">
      <w:pPr>
        <w:keepNext w:val="0"/>
        <w:keepLines w:val="0"/>
        <w:widowControl/>
        <w:numPr>
          <w:ilvl w:val="0"/>
          <w:numId w:val="3"/>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Opacity &amp; trust:</w:t>
      </w:r>
      <w:r>
        <w:rPr>
          <w:rFonts w:hint="default" w:ascii="Calibri" w:hAnsi="Calibri" w:cs="Calibri"/>
          <w:color w:val="1A1A1A"/>
          <w:sz w:val="22"/>
          <w:szCs w:val="22"/>
          <w:bdr w:val="none" w:color="auto" w:sz="0" w:space="0"/>
        </w:rPr>
        <w:t xml:space="preserve"> informal syndications are replaced with ring-fenced SPVs, share certificates, and transparent reporting.</w:t>
      </w:r>
    </w:p>
    <w:p w14:paraId="54E2E920">
      <w:pPr>
        <w:keepNext w:val="0"/>
        <w:keepLines w:val="0"/>
        <w:widowControl/>
        <w:numPr>
          <w:ilvl w:val="0"/>
          <w:numId w:val="3"/>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Illiquidity:</w:t>
      </w:r>
      <w:r>
        <w:rPr>
          <w:rFonts w:hint="default" w:ascii="Calibri" w:hAnsi="Calibri" w:cs="Calibri"/>
          <w:color w:val="1A1A1A"/>
          <w:sz w:val="22"/>
          <w:szCs w:val="22"/>
          <w:bdr w:val="none" w:color="auto" w:sz="0" w:space="0"/>
        </w:rPr>
        <w:t xml:space="preserve"> a built-in secondary market lets co-investors sell shares before project exit.</w:t>
      </w:r>
    </w:p>
    <w:p w14:paraId="189D4077">
      <w:pPr>
        <w:keepNext w:val="0"/>
        <w:keepLines w:val="0"/>
        <w:widowControl/>
        <w:numPr>
          <w:ilvl w:val="0"/>
          <w:numId w:val="3"/>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Compliance:</w:t>
      </w:r>
      <w:r>
        <w:rPr>
          <w:rFonts w:hint="default" w:ascii="Calibri" w:hAnsi="Calibri" w:cs="Calibri"/>
          <w:color w:val="1A1A1A"/>
          <w:sz w:val="22"/>
          <w:szCs w:val="22"/>
          <w:bdr w:val="none" w:color="auto" w:sz="0" w:space="0"/>
        </w:rPr>
        <w:t xml:space="preserve"> FICA/KYC, POPIA-aware handling, and audit logging are built into the Platform.</w:t>
      </w:r>
    </w:p>
    <w:p w14:paraId="3CE129A4">
      <w:pPr>
        <w:pStyle w:val="3"/>
        <w:keepNext w:val="0"/>
        <w:keepLines w:val="0"/>
        <w:widowControl/>
        <w:suppressLineNumbers w:val="0"/>
        <w:spacing w:line="23" w:lineRule="atLeast"/>
      </w:pPr>
      <w:r>
        <w:t>3. The Solution — How the Pool Unlocks the Deal</w:t>
      </w:r>
    </w:p>
    <w:p w14:paraId="1795E90F">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Investprop sits between the institutional funder and the crowd, assembling a complete, fundable capital stack for each project. A typical structure looks like this: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6EBB3E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74265D26">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Layer</w:t>
            </w:r>
          </w:p>
        </w:tc>
        <w:tc>
          <w:tcPr>
            <w:tcW w:w="0" w:type="auto"/>
            <w:shd w:val="clear" w:color="auto" w:fill="7A5118"/>
            <w:tcMar>
              <w:top w:w="120" w:type="dxa"/>
              <w:left w:w="160" w:type="dxa"/>
              <w:bottom w:w="120" w:type="dxa"/>
              <w:right w:w="160" w:type="dxa"/>
            </w:tcMar>
            <w:vAlign w:val="center"/>
          </w:tcPr>
          <w:p w14:paraId="0DED1767">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Who provides it</w:t>
            </w:r>
          </w:p>
        </w:tc>
        <w:tc>
          <w:tcPr>
            <w:tcW w:w="0" w:type="auto"/>
            <w:shd w:val="clear" w:color="auto" w:fill="7A5118"/>
            <w:tcMar>
              <w:top w:w="120" w:type="dxa"/>
              <w:left w:w="160" w:type="dxa"/>
              <w:bottom w:w="120" w:type="dxa"/>
              <w:right w:w="160" w:type="dxa"/>
            </w:tcMar>
            <w:vAlign w:val="center"/>
          </w:tcPr>
          <w:p w14:paraId="173FA067">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Typical share</w:t>
            </w:r>
          </w:p>
        </w:tc>
        <w:tc>
          <w:tcPr>
            <w:tcW w:w="0" w:type="auto"/>
            <w:shd w:val="clear" w:color="auto" w:fill="7A5118"/>
            <w:tcMar>
              <w:top w:w="120" w:type="dxa"/>
              <w:left w:w="160" w:type="dxa"/>
              <w:bottom w:w="120" w:type="dxa"/>
              <w:right w:w="160" w:type="dxa"/>
            </w:tcMar>
            <w:vAlign w:val="center"/>
          </w:tcPr>
          <w:p w14:paraId="75FC5BDC">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Role</w:t>
            </w:r>
          </w:p>
        </w:tc>
      </w:tr>
      <w:tr w14:paraId="3A312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F80DD88">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Senior development finance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126DB8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Bank / DFI / institutional funder (e.g. PIC, Absa, Nedbank, Capitec, TUHF Capital)</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F8F7AD9">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26"/>
                <w:rFonts w:hint="default" w:ascii="Calibri" w:hAnsi="Calibri" w:eastAsia="SimSun" w:cs="Calibri"/>
                <w:sz w:val="21"/>
                <w:szCs w:val="21"/>
                <w:bdr w:val="none" w:color="auto" w:sz="0" w:space="0"/>
              </w:rPr>
              <w:t>[~70%]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299293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Primary project funding, drawn against the equity cushion below.</w:t>
            </w:r>
          </w:p>
        </w:tc>
      </w:tr>
      <w:tr w14:paraId="671506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AB06494">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Pooled developer equity</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9DB6B4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Investprop co-investors (many small tickets)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0BCA3ED">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26"/>
                <w:rFonts w:hint="default" w:ascii="Calibri" w:hAnsi="Calibri" w:eastAsia="SimSun" w:cs="Calibri"/>
                <w:sz w:val="21"/>
                <w:szCs w:val="21"/>
                <w:bdr w:val="none" w:color="auto" w:sz="0" w:space="0"/>
              </w:rPr>
              <w:t>[~30%]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21500C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The equity contribution the funder requires — aggregated by the Platform.</w:t>
            </w:r>
          </w:p>
        </w:tc>
      </w:tr>
      <w:tr w14:paraId="056D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9D7CC63">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Origination, underwriting &amp; admin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036DD0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Investprop Platform</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B7D412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B85C04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Sources the deal, grades it with AI, structures the SPV, and administers reporting, distributions and compliance.</w:t>
            </w:r>
          </w:p>
        </w:tc>
      </w:tr>
    </w:tbl>
    <w:p w14:paraId="1F271A78">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The pooled equity is held in a </w:t>
      </w:r>
      <w:r>
        <w:rPr>
          <w:rStyle w:val="12"/>
          <w:rFonts w:hint="default" w:ascii="Calibri" w:hAnsi="Calibri" w:cs="Calibri"/>
          <w:color w:val="1A1A1A"/>
          <w:sz w:val="22"/>
          <w:szCs w:val="22"/>
        </w:rPr>
        <w:t>ring-fenced SPV</w:t>
      </w:r>
      <w:r>
        <w:rPr>
          <w:rFonts w:hint="default" w:ascii="Calibri" w:hAnsi="Calibri" w:cs="Calibri"/>
          <w:color w:val="1A1A1A"/>
          <w:sz w:val="22"/>
          <w:szCs w:val="22"/>
        </w:rPr>
        <w:t xml:space="preserve"> created for that single project. Each co-investor owns shares in the SPV proportional to their contribution, receives a share certificate, and sees transparent reporting on the underlying property. The institutional funder lends or co-invests against a project that now has its required equity cushion in place — a structure it recognises and can transact. </w:t>
      </w:r>
    </w:p>
    <w:p w14:paraId="72599E36">
      <w:pPr>
        <w:pStyle w:val="19"/>
        <w:keepNext w:val="0"/>
        <w:keepLines w:val="0"/>
        <w:widowControl/>
        <w:suppressLineNumbers w:val="0"/>
        <w:spacing w:before="200" w:beforeAutospacing="0" w:after="200" w:afterAutospacing="0" w:line="23" w:lineRule="atLeast"/>
        <w:ind w:left="0" w:right="0"/>
      </w:pPr>
      <w:r>
        <w:rPr>
          <w:rStyle w:val="12"/>
          <w:rFonts w:hint="default" w:ascii="Calibri" w:hAnsi="Calibri" w:cs="Calibri"/>
          <w:color w:val="1A1A1A"/>
          <w:sz w:val="22"/>
          <w:szCs w:val="22"/>
          <w:shd w:val="clear" w:fill="FAF6EC"/>
        </w:rPr>
        <w:t>The unlock:</w:t>
      </w:r>
      <w:r>
        <w:rPr>
          <w:rFonts w:hint="default" w:ascii="Calibri" w:hAnsi="Calibri" w:cs="Calibri"/>
          <w:color w:val="1A1A1A"/>
          <w:sz w:val="22"/>
          <w:szCs w:val="22"/>
          <w:shd w:val="clear" w:fill="FAF6EC"/>
        </w:rPr>
        <w:t xml:space="preserve"> neither the crowd alone nor the funder alone can do these deals. Pooled retail/qualifying equity + institutional finance + AI-driven origination and compliant administration together make a previously impossible project bankable.</w:t>
      </w:r>
    </w:p>
    <w:p w14:paraId="36AD683C">
      <w:pPr>
        <w:pStyle w:val="3"/>
        <w:keepNext w:val="0"/>
        <w:keepLines w:val="0"/>
        <w:widowControl/>
        <w:suppressLineNumbers w:val="0"/>
        <w:spacing w:line="23" w:lineRule="atLeast"/>
      </w:pPr>
      <w:r>
        <w:t>4. Who This Memorandum Invites</w:t>
      </w:r>
    </w:p>
    <w:p w14:paraId="0EC6CECD">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This Memorandum is addressed to two complementary audiences: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20540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67AF2C33">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Audience</w:t>
            </w:r>
          </w:p>
        </w:tc>
        <w:tc>
          <w:tcPr>
            <w:tcW w:w="0" w:type="auto"/>
            <w:shd w:val="clear" w:color="auto" w:fill="7A5118"/>
            <w:tcMar>
              <w:top w:w="120" w:type="dxa"/>
              <w:left w:w="160" w:type="dxa"/>
              <w:bottom w:w="120" w:type="dxa"/>
              <w:right w:w="160" w:type="dxa"/>
            </w:tcMar>
            <w:vAlign w:val="center"/>
          </w:tcPr>
          <w:p w14:paraId="3B266ED5">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Who</w:t>
            </w:r>
          </w:p>
        </w:tc>
        <w:tc>
          <w:tcPr>
            <w:tcW w:w="0" w:type="auto"/>
            <w:shd w:val="clear" w:color="auto" w:fill="7A5118"/>
            <w:tcMar>
              <w:top w:w="120" w:type="dxa"/>
              <w:left w:w="160" w:type="dxa"/>
              <w:bottom w:w="120" w:type="dxa"/>
              <w:right w:w="160" w:type="dxa"/>
            </w:tcMar>
            <w:vAlign w:val="center"/>
          </w:tcPr>
          <w:p w14:paraId="5F56E2D3">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What they get</w:t>
            </w:r>
          </w:p>
        </w:tc>
      </w:tr>
      <w:tr w14:paraId="43712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49897C9">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Co-investors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6D9F0D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 xml:space="preserve">Retail &amp; qualifying investors, from </w:t>
            </w:r>
            <w:r>
              <w:rPr>
                <w:rStyle w:val="26"/>
                <w:rFonts w:hint="default" w:ascii="Calibri" w:hAnsi="Calibri" w:eastAsia="SimSun" w:cs="Calibri"/>
                <w:sz w:val="21"/>
                <w:szCs w:val="21"/>
                <w:bdr w:val="none" w:color="auto" w:sz="0" w:space="0"/>
              </w:rPr>
              <w:t>[R10,000]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8BED5A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Fractional ownership of institutional-grade developments via ring-fenced SPVs, transparent reporting, share certificates, AI deal insight, and secondary liquidity.</w:t>
            </w:r>
          </w:p>
        </w:tc>
      </w:tr>
      <w:tr w14:paraId="6A70A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61A13E7">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Institutional partners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A230E0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Banks, DFIs, pension/asset managers &amp; development financiers (e.g. PIC, Absa, Nedbank, Capitec, TUHF Capital)</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2DD1F4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 reliable counterparty that assembles the ~30% equity tranche, originates and AI-underwrites deals, and administers them in a compliant, auditable SPV structure — de-risking and expanding fundable deal flow.</w:t>
            </w:r>
          </w:p>
        </w:tc>
      </w:tr>
    </w:tbl>
    <w:p w14:paraId="04700B9F">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The same platform also provides serious investors with an AI underwriting co-pilot, a nationwide distressed-property finder with AI deal grades, and portfolio analytics; and gives property owners a route to submit stock for cash, joint-venture, or development partnership — all of which feed the co-investment pipeline. </w:t>
      </w:r>
    </w:p>
    <w:p w14:paraId="5DBD33A0">
      <w:pPr>
        <w:pStyle w:val="3"/>
        <w:keepNext w:val="0"/>
        <w:keepLines w:val="0"/>
        <w:widowControl/>
        <w:suppressLineNumbers w:val="0"/>
        <w:spacing w:line="23" w:lineRule="atLeast"/>
      </w:pPr>
      <w:r>
        <w:t>5. Product &amp; Technology</w:t>
      </w:r>
    </w:p>
    <w:p w14:paraId="313BD957">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The platform is production-grade and already shipping across two clients:</w:t>
      </w:r>
    </w:p>
    <w:p w14:paraId="7FF03304">
      <w:pPr>
        <w:keepNext w:val="0"/>
        <w:keepLines w:val="0"/>
        <w:widowControl/>
        <w:numPr>
          <w:ilvl w:val="0"/>
          <w:numId w:val="4"/>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Web application</w:t>
      </w:r>
      <w:r>
        <w:rPr>
          <w:rFonts w:hint="default" w:ascii="Calibri" w:hAnsi="Calibri" w:cs="Calibri"/>
          <w:color w:val="1A1A1A"/>
          <w:sz w:val="22"/>
          <w:szCs w:val="22"/>
          <w:bdr w:val="none" w:color="auto" w:sz="0" w:space="0"/>
        </w:rPr>
        <w:t xml:space="preserve"> — full investor, owner, and operations experience.</w:t>
      </w:r>
    </w:p>
    <w:p w14:paraId="3F78E1A2">
      <w:pPr>
        <w:keepNext w:val="0"/>
        <w:keepLines w:val="0"/>
        <w:widowControl/>
        <w:numPr>
          <w:ilvl w:val="0"/>
          <w:numId w:val="4"/>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Native mobile app</w:t>
      </w:r>
      <w:r>
        <w:rPr>
          <w:rFonts w:hint="default" w:ascii="Calibri" w:hAnsi="Calibri" w:cs="Calibri"/>
          <w:color w:val="1A1A1A"/>
          <w:sz w:val="22"/>
          <w:szCs w:val="22"/>
          <w:bdr w:val="none" w:color="auto" w:sz="0" w:space="0"/>
        </w:rPr>
        <w:t xml:space="preserve"> — Flutter-based Android/iOS app with the investor, seller, distressed-deals, and deal-calculator experiences.</w:t>
      </w:r>
    </w:p>
    <w:p w14:paraId="67CEEDA7">
      <w:pPr>
        <w:keepNext w:val="0"/>
        <w:keepLines w:val="0"/>
        <w:widowControl/>
        <w:numPr>
          <w:ilvl w:val="0"/>
          <w:numId w:val="4"/>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Operations console</w:t>
      </w:r>
      <w:r>
        <w:rPr>
          <w:rFonts w:hint="default" w:ascii="Calibri" w:hAnsi="Calibri" w:cs="Calibri"/>
          <w:color w:val="1A1A1A"/>
          <w:sz w:val="22"/>
          <w:szCs w:val="22"/>
          <w:bdr w:val="none" w:color="auto" w:sz="0" w:space="0"/>
        </w:rPr>
        <w:t xml:space="preserve"> — staff workflows for deal pipeline, compliance (FICA/KYC), revenue, and reporting.</w:t>
      </w:r>
    </w:p>
    <w:p w14:paraId="1F9A3A47">
      <w:pPr>
        <w:pStyle w:val="4"/>
        <w:keepNext w:val="0"/>
        <w:keepLines w:val="0"/>
        <w:widowControl/>
        <w:suppressLineNumbers w:val="0"/>
        <w:spacing w:line="23" w:lineRule="atLeast"/>
      </w:pPr>
      <w:r>
        <w:t>Engineering highlights</w:t>
      </w:r>
    </w:p>
    <w:p w14:paraId="274A9CC2">
      <w:pPr>
        <w:keepNext w:val="0"/>
        <w:keepLines w:val="0"/>
        <w:widowControl/>
        <w:numPr>
          <w:ilvl w:val="0"/>
          <w:numId w:val="5"/>
        </w:numPr>
        <w:suppressLineNumbers w:val="0"/>
        <w:spacing w:before="0" w:beforeAutospacing="1" w:after="80" w:afterAutospacing="0" w:line="23" w:lineRule="atLeast"/>
        <w:ind w:left="0" w:hanging="360"/>
      </w:pPr>
      <w:r>
        <w:rPr>
          <w:rFonts w:hint="default" w:ascii="Calibri" w:hAnsi="Calibri" w:cs="Calibri"/>
          <w:color w:val="1A1A1A"/>
          <w:sz w:val="22"/>
          <w:szCs w:val="22"/>
          <w:bdr w:val="none" w:color="auto" w:sz="0" w:space="0"/>
        </w:rPr>
        <w:t>Modern type-safe stack (TypeScript, React, tRPC, Prisma, PostgreSQL) with a hardened, containerised production deployment.</w:t>
      </w:r>
    </w:p>
    <w:p w14:paraId="05BFA03B">
      <w:pPr>
        <w:keepNext w:val="0"/>
        <w:keepLines w:val="0"/>
        <w:widowControl/>
        <w:numPr>
          <w:ilvl w:val="0"/>
          <w:numId w:val="5"/>
        </w:numPr>
        <w:suppressLineNumbers w:val="0"/>
        <w:spacing w:before="0" w:beforeAutospacing="1" w:after="80" w:afterAutospacing="0" w:line="23" w:lineRule="atLeast"/>
        <w:ind w:left="0" w:hanging="360"/>
      </w:pPr>
      <w:r>
        <w:rPr>
          <w:rFonts w:hint="default" w:ascii="Calibri" w:hAnsi="Calibri" w:cs="Calibri"/>
          <w:color w:val="1A1A1A"/>
          <w:sz w:val="22"/>
          <w:szCs w:val="22"/>
          <w:bdr w:val="none" w:color="auto" w:sz="0" w:space="0"/>
        </w:rPr>
        <w:t>Security-first: bank-grade password hashing, role-based access control, rate limiting, input sanitisation, SSRF guards on the scraper, and an audit log on sensitive actions.</w:t>
      </w:r>
    </w:p>
    <w:p w14:paraId="7E05B067">
      <w:pPr>
        <w:keepNext w:val="0"/>
        <w:keepLines w:val="0"/>
        <w:widowControl/>
        <w:numPr>
          <w:ilvl w:val="0"/>
          <w:numId w:val="5"/>
        </w:numPr>
        <w:suppressLineNumbers w:val="0"/>
        <w:spacing w:before="0" w:beforeAutospacing="1" w:after="80" w:afterAutospacing="0" w:line="23" w:lineRule="atLeast"/>
        <w:ind w:left="0" w:hanging="360"/>
      </w:pPr>
      <w:r>
        <w:rPr>
          <w:rFonts w:hint="default" w:ascii="Calibri" w:hAnsi="Calibri" w:cs="Calibri"/>
          <w:color w:val="1A1A1A"/>
          <w:sz w:val="22"/>
          <w:szCs w:val="22"/>
          <w:bdr w:val="none" w:color="auto" w:sz="0" w:space="0"/>
        </w:rPr>
        <w:t>Automated schedulers for distressed-deal scraping, AI grading, alerting, and nightly market analysis.</w:t>
      </w:r>
    </w:p>
    <w:p w14:paraId="05238C88">
      <w:pPr>
        <w:keepNext w:val="0"/>
        <w:keepLines w:val="0"/>
        <w:widowControl/>
        <w:numPr>
          <w:ilvl w:val="0"/>
          <w:numId w:val="5"/>
        </w:numPr>
        <w:suppressLineNumbers w:val="0"/>
        <w:spacing w:before="0" w:beforeAutospacing="1" w:after="80" w:afterAutospacing="0" w:line="23" w:lineRule="atLeast"/>
        <w:ind w:left="0" w:hanging="360"/>
      </w:pPr>
      <w:r>
        <w:rPr>
          <w:rFonts w:hint="default" w:ascii="Calibri" w:hAnsi="Calibri" w:cs="Calibri"/>
          <w:color w:val="1A1A1A"/>
          <w:sz w:val="22"/>
          <w:szCs w:val="22"/>
          <w:bdr w:val="none" w:color="auto" w:sz="0" w:space="0"/>
        </w:rPr>
        <w:t>Payments integration (Paystack) for subscriptions and recurring billing.</w:t>
      </w:r>
    </w:p>
    <w:p w14:paraId="4446EC8A">
      <w:pPr>
        <w:pStyle w:val="3"/>
        <w:keepNext w:val="0"/>
        <w:keepLines w:val="0"/>
        <w:widowControl/>
        <w:suppressLineNumbers w:val="0"/>
        <w:spacing w:line="23" w:lineRule="atLeast"/>
      </w:pPr>
      <w:r>
        <w:t>6. Artificial Intelligence Layer</w:t>
      </w:r>
    </w:p>
    <w:p w14:paraId="50896882">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AI is a core differentiator, not a bolt-on. It powers: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BC433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191C1304">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Capability</w:t>
            </w:r>
          </w:p>
        </w:tc>
        <w:tc>
          <w:tcPr>
            <w:tcW w:w="0" w:type="auto"/>
            <w:shd w:val="clear" w:color="auto" w:fill="7A5118"/>
            <w:tcMar>
              <w:top w:w="120" w:type="dxa"/>
              <w:left w:w="160" w:type="dxa"/>
              <w:bottom w:w="120" w:type="dxa"/>
              <w:right w:w="160" w:type="dxa"/>
            </w:tcMar>
            <w:vAlign w:val="center"/>
          </w:tcPr>
          <w:p w14:paraId="5E0765F1">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What it does</w:t>
            </w:r>
          </w:p>
        </w:tc>
      </w:tr>
      <w:tr w14:paraId="25BF6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266D97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AI Investment Co-Pilot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F72D0A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Conversational assistant that answers deal and portfolio questions in context.</w:t>
            </w:r>
          </w:p>
        </w:tc>
      </w:tr>
      <w:tr w14:paraId="54D6D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3725E3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AI Underwriting</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3C0672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Independent assumption breakdown and risk read on any deal.</w:t>
            </w:r>
          </w:p>
        </w:tc>
      </w:tr>
      <w:tr w14:paraId="73F85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011F1C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AI Deal Grades (A–E)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D9743D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Every distressed / auction listing is screened and graded on upside and risk.</w:t>
            </w:r>
          </w:p>
        </w:tc>
      </w:tr>
      <w:tr w14:paraId="2C549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56BC1F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AI Portfolio Advisor</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9E4280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Strategy-level guidance across an investor’s holdings.</w:t>
            </w:r>
          </w:p>
        </w:tc>
      </w:tr>
      <w:tr w14:paraId="32DDB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CD48B6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Distressed Market Analysis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EECD6A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Deterministic comparable-sales benchmarking, margin-of-safety, max-bid and flip/rental projections per listing.</w:t>
            </w:r>
          </w:p>
        </w:tc>
      </w:tr>
      <w:tr w14:paraId="04DE7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2AD6AB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AI Seller Valuation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F53E55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Offer-readiness valuation report for property owners.</w:t>
            </w:r>
          </w:p>
        </w:tc>
      </w:tr>
    </w:tbl>
    <w:p w14:paraId="21F5353E">
      <w:pPr>
        <w:pStyle w:val="3"/>
        <w:keepNext w:val="0"/>
        <w:keepLines w:val="0"/>
        <w:widowControl/>
        <w:suppressLineNumbers w:val="0"/>
        <w:spacing w:line="23" w:lineRule="atLeast"/>
      </w:pPr>
      <w:r>
        <w:t>7. The Market Opportunity</w:t>
      </w:r>
    </w:p>
    <w:p w14:paraId="7F304728">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South African residential property is a multi-trillion-rand asset class and the primary store of household wealth. Fractional, app-based investing is still nascent locally while it has scaled rapidly in comparable markets abroad, and distressed / auction stock is a large, perennial, under-digitised niche. </w:t>
      </w:r>
    </w:p>
    <w:p w14:paraId="0EBFD344">
      <w:pPr>
        <w:keepNext w:val="0"/>
        <w:keepLines w:val="0"/>
        <w:widowControl/>
        <w:numPr>
          <w:ilvl w:val="0"/>
          <w:numId w:val="6"/>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Co-investment TAM:</w:t>
      </w:r>
      <w:r>
        <w:rPr>
          <w:rFonts w:hint="default" w:ascii="Calibri" w:hAnsi="Calibri" w:cs="Calibri"/>
          <w:color w:val="1A1A1A"/>
          <w:sz w:val="22"/>
          <w:szCs w:val="22"/>
          <w:bdr w:val="none" w:color="auto" w:sz="0" w:space="0"/>
        </w:rPr>
        <w:t xml:space="preserve"> the pool of South Africans who want property exposure but cannot buy a whole property.</w:t>
      </w:r>
    </w:p>
    <w:p w14:paraId="63293DB5">
      <w:pPr>
        <w:keepNext w:val="0"/>
        <w:keepLines w:val="0"/>
        <w:widowControl/>
        <w:numPr>
          <w:ilvl w:val="0"/>
          <w:numId w:val="6"/>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Investor-tools SAM:</w:t>
      </w:r>
      <w:r>
        <w:rPr>
          <w:rFonts w:hint="default" w:ascii="Calibri" w:hAnsi="Calibri" w:cs="Calibri"/>
          <w:color w:val="1A1A1A"/>
          <w:sz w:val="22"/>
          <w:szCs w:val="22"/>
          <w:bdr w:val="none" w:color="auto" w:sz="0" w:space="0"/>
        </w:rPr>
        <w:t xml:space="preserve"> active and aspiring property investors seeking sourcing + underwriting software.</w:t>
      </w:r>
    </w:p>
    <w:p w14:paraId="27A30208">
      <w:pPr>
        <w:keepNext w:val="0"/>
        <w:keepLines w:val="0"/>
        <w:widowControl/>
        <w:numPr>
          <w:ilvl w:val="0"/>
          <w:numId w:val="6"/>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Distressed niche:</w:t>
      </w:r>
      <w:r>
        <w:rPr>
          <w:rFonts w:hint="default" w:ascii="Calibri" w:hAnsi="Calibri" w:cs="Calibri"/>
          <w:color w:val="1A1A1A"/>
          <w:sz w:val="22"/>
          <w:szCs w:val="22"/>
          <w:bdr w:val="none" w:color="auto" w:sz="0" w:space="0"/>
        </w:rPr>
        <w:t xml:space="preserve"> thousands of bank-repossession, sheriff, and liquidation listings each year nationwide.</w:t>
      </w:r>
    </w:p>
    <w:p w14:paraId="056F742F">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 xml:space="preserve">Precise TAM/SAM/SOM figures to be inserted from the Company’s market model: </w:t>
      </w:r>
      <w:r>
        <w:rPr>
          <w:rStyle w:val="26"/>
          <w:rFonts w:hint="default" w:ascii="Calibri" w:hAnsi="Calibri" w:cs="Calibri"/>
          <w:sz w:val="22"/>
          <w:szCs w:val="22"/>
        </w:rPr>
        <w:t>[insert sized market model]</w:t>
      </w:r>
      <w:r>
        <w:rPr>
          <w:rFonts w:hint="default" w:ascii="Calibri" w:hAnsi="Calibri" w:cs="Calibri"/>
          <w:color w:val="1A1A1A"/>
          <w:sz w:val="22"/>
          <w:szCs w:val="22"/>
        </w:rPr>
        <w:t>.</w:t>
      </w:r>
    </w:p>
    <w:p w14:paraId="678E17B4">
      <w:pPr>
        <w:pStyle w:val="3"/>
        <w:keepNext w:val="0"/>
        <w:keepLines w:val="0"/>
        <w:widowControl/>
        <w:suppressLineNumbers w:val="0"/>
        <w:spacing w:line="23" w:lineRule="atLeast"/>
      </w:pPr>
      <w:r>
        <w:t>8. How Capital Is Structured &amp; Protected</w:t>
      </w:r>
    </w:p>
    <w:p w14:paraId="5585BF37">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Because the Platform aggregates other people’s money to form the developer-equity tranche, the integrity of how that capital is held, settled, and reconciled is central. These controls are already built and live: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9A61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281AF70C">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Control</w:t>
            </w:r>
          </w:p>
        </w:tc>
        <w:tc>
          <w:tcPr>
            <w:tcW w:w="0" w:type="auto"/>
            <w:shd w:val="clear" w:color="auto" w:fill="7A5118"/>
            <w:tcMar>
              <w:top w:w="120" w:type="dxa"/>
              <w:left w:w="160" w:type="dxa"/>
              <w:bottom w:w="120" w:type="dxa"/>
              <w:right w:w="160" w:type="dxa"/>
            </w:tcMar>
            <w:vAlign w:val="center"/>
          </w:tcPr>
          <w:p w14:paraId="65C4330B">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How it protects capital</w:t>
            </w:r>
          </w:p>
        </w:tc>
      </w:tr>
      <w:tr w14:paraId="64A83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08124BD">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Ring-fenced SPVs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829A57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Each project sits in its own Special Purpose Vehicle, so one deal’s performance and liabilities never contaminate another. Co-investors own shares in that single SPV.</w:t>
            </w:r>
          </w:p>
        </w:tc>
      </w:tr>
      <w:tr w14:paraId="2D83A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105F0F5">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In-app investor wallets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CEA966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Co-investors fund a wallet (via Paystack EFT/card) that is automatically reconciled — removing manual proof-of-payment and the errors that come with it.</w:t>
            </w:r>
          </w:p>
        </w:tc>
      </w:tr>
      <w:tr w14:paraId="17336C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E3C67CB">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Instant Delivery-versus-Payment (DvP)</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D1A63B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On the secondary market, shares and cash change hands atomically from the wallet: the buyer is debited and the seller credited in the same settled transaction, so there is never delivery without payment.</w:t>
            </w:r>
          </w:p>
        </w:tc>
      </w:tr>
      <w:tr w14:paraId="65DBF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F2122F6">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Share-integrity &amp; conservation audit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F11C1E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The system continuously proves that no duplicate or phantom shares can exist — issued shares reconcile to the ledger per class — and traces every holding back to its property and SPV.</w:t>
            </w:r>
          </w:p>
        </w:tc>
      </w:tr>
      <w:tr w14:paraId="6F063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5F8CB38">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Provenance &amp; certificates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CFAB7D8">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Every co-investor can see exactly how their shares were acquired, their valuation, and the property/SPV they map to, backed by a share certificate.</w:t>
            </w:r>
          </w:p>
        </w:tc>
      </w:tr>
      <w:tr w14:paraId="043C8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64CA548">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12"/>
                <w:rFonts w:hint="default" w:ascii="Calibri" w:hAnsi="Calibri" w:eastAsia="SimSun" w:cs="Calibri"/>
                <w:color w:val="1A1A1A"/>
                <w:sz w:val="21"/>
                <w:szCs w:val="21"/>
                <w:bdr w:val="none" w:color="auto" w:sz="0" w:space="0"/>
              </w:rPr>
              <w:t>Auditable money trail</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A03631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Deposits, trades, distributions, fees, and withdrawals are each booked as signed, reference-tagged ledger entries for clean reporting and audit.</w:t>
            </w:r>
          </w:p>
        </w:tc>
      </w:tr>
    </w:tbl>
    <w:p w14:paraId="42929A2D">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For an institutional funder, these are exactly the assurances needed to rely on the equity tranche: the ~30% is real, ring-fenced, reconciled, and administered — not an informal collection of IOUs. </w:t>
      </w:r>
    </w:p>
    <w:p w14:paraId="44286B15">
      <w:pPr>
        <w:pStyle w:val="3"/>
        <w:keepNext w:val="0"/>
        <w:keepLines w:val="0"/>
        <w:widowControl/>
        <w:suppressLineNumbers w:val="0"/>
        <w:spacing w:line="23" w:lineRule="atLeast"/>
      </w:pPr>
      <w:r>
        <w:t>9. Business Model &amp; Revenue Streams</w:t>
      </w:r>
    </w:p>
    <w:p w14:paraId="11F2FA61">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Investprop monetises in two complementary ways — </w:t>
      </w:r>
      <w:r>
        <w:rPr>
          <w:rStyle w:val="12"/>
          <w:rFonts w:hint="default" w:ascii="Calibri" w:hAnsi="Calibri" w:cs="Calibri"/>
          <w:color w:val="1A1A1A"/>
          <w:sz w:val="22"/>
          <w:szCs w:val="22"/>
        </w:rPr>
        <w:t>recurring subscriptions</w:t>
      </w:r>
      <w:r>
        <w:rPr>
          <w:rFonts w:hint="default" w:ascii="Calibri" w:hAnsi="Calibri" w:cs="Calibri"/>
          <w:color w:val="1A1A1A"/>
          <w:sz w:val="22"/>
          <w:szCs w:val="22"/>
        </w:rPr>
        <w:t xml:space="preserve"> and </w:t>
      </w:r>
      <w:r>
        <w:rPr>
          <w:rStyle w:val="12"/>
          <w:rFonts w:hint="default" w:ascii="Calibri" w:hAnsi="Calibri" w:cs="Calibri"/>
          <w:color w:val="1A1A1A"/>
          <w:sz w:val="22"/>
          <w:szCs w:val="22"/>
        </w:rPr>
        <w:t>transaction fees</w:t>
      </w:r>
      <w:r>
        <w:rPr>
          <w:rFonts w:hint="default" w:ascii="Calibri" w:hAnsi="Calibri" w:cs="Calibri"/>
          <w:color w:val="1A1A1A"/>
          <w:sz w:val="22"/>
          <w:szCs w:val="22"/>
        </w:rPr>
        <w:t>.</w:t>
      </w:r>
    </w:p>
    <w:p w14:paraId="570239EF">
      <w:pPr>
        <w:pStyle w:val="4"/>
        <w:keepNext w:val="0"/>
        <w:keepLines w:val="0"/>
        <w:widowControl/>
        <w:suppressLineNumbers w:val="0"/>
        <w:spacing w:line="23" w:lineRule="atLeast"/>
      </w:pPr>
      <w:r>
        <w:t>A. Recurring subscriptions (SaaS)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150725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1DF3C36D">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Plan</w:t>
            </w:r>
          </w:p>
        </w:tc>
        <w:tc>
          <w:tcPr>
            <w:tcW w:w="0" w:type="auto"/>
            <w:shd w:val="clear" w:color="auto" w:fill="7A5118"/>
            <w:tcMar>
              <w:top w:w="120" w:type="dxa"/>
              <w:left w:w="160" w:type="dxa"/>
              <w:bottom w:w="120" w:type="dxa"/>
              <w:right w:w="160" w:type="dxa"/>
            </w:tcMar>
            <w:vAlign w:val="center"/>
          </w:tcPr>
          <w:p w14:paraId="53629374">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Monthly</w:t>
            </w:r>
          </w:p>
        </w:tc>
        <w:tc>
          <w:tcPr>
            <w:tcW w:w="0" w:type="auto"/>
            <w:shd w:val="clear" w:color="auto" w:fill="7A5118"/>
            <w:tcMar>
              <w:top w:w="120" w:type="dxa"/>
              <w:left w:w="160" w:type="dxa"/>
              <w:bottom w:w="120" w:type="dxa"/>
              <w:right w:w="160" w:type="dxa"/>
            </w:tcMar>
            <w:vAlign w:val="center"/>
          </w:tcPr>
          <w:p w14:paraId="644B9FC4">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Annual</w:t>
            </w:r>
          </w:p>
        </w:tc>
        <w:tc>
          <w:tcPr>
            <w:tcW w:w="0" w:type="auto"/>
            <w:shd w:val="clear" w:color="auto" w:fill="7A5118"/>
            <w:tcMar>
              <w:top w:w="120" w:type="dxa"/>
              <w:left w:w="160" w:type="dxa"/>
              <w:bottom w:w="120" w:type="dxa"/>
              <w:right w:w="160" w:type="dxa"/>
            </w:tcMar>
            <w:vAlign w:val="center"/>
          </w:tcPr>
          <w:p w14:paraId="676D28ED">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Who it’s for</w:t>
            </w:r>
          </w:p>
        </w:tc>
      </w:tr>
      <w:tr w14:paraId="4B495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238D36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Starter (Free)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2EBB23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1A422B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1A3B09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Entry / funnel</w:t>
            </w:r>
          </w:p>
        </w:tc>
      </w:tr>
      <w:tr w14:paraId="454AF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39EA62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Investor Plus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CF752F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R299</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7C3B0C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R2,990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879859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AI co-pilot + portfolio advisor</w:t>
            </w:r>
          </w:p>
        </w:tc>
      </w:tr>
      <w:tr w14:paraId="64968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BB87A2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Pro</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A4A3C1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R799</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33117D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R7,990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9BA95A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 AI underwriting, distressed full access, priority support</w:t>
            </w:r>
          </w:p>
        </w:tc>
      </w:tr>
      <w:tr w14:paraId="4371F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19F324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Enterprise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DBEB05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R2,499</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3DCB23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R24,990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1875A6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 multi-SPV reporting, market-data API</w:t>
            </w:r>
          </w:p>
        </w:tc>
      </w:tr>
      <w:tr w14:paraId="6F60A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8D0A378">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DistressedDeals SA</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2DC97D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R499</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792FA7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R4,990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AA2FD6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Standalone distressed finder</w:t>
            </w:r>
          </w:p>
        </w:tc>
      </w:tr>
      <w:tr w14:paraId="3F648B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CF2F58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 Pro</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DFA32F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R499</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3C82E4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R4,990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873F16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Standalone seller / landlord toolkit</w:t>
            </w:r>
          </w:p>
        </w:tc>
      </w:tr>
    </w:tbl>
    <w:p w14:paraId="675ABDA1">
      <w:pPr>
        <w:pStyle w:val="4"/>
        <w:keepNext w:val="0"/>
        <w:keepLines w:val="0"/>
        <w:widowControl/>
        <w:suppressLineNumbers w:val="0"/>
        <w:spacing w:line="23" w:lineRule="atLeast"/>
      </w:pPr>
      <w:r>
        <w:t>B. Transaction &amp; platform fees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3ED0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3F25754C">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Fee</w:t>
            </w:r>
          </w:p>
        </w:tc>
        <w:tc>
          <w:tcPr>
            <w:tcW w:w="0" w:type="auto"/>
            <w:shd w:val="clear" w:color="auto" w:fill="7A5118"/>
            <w:tcMar>
              <w:top w:w="120" w:type="dxa"/>
              <w:left w:w="160" w:type="dxa"/>
              <w:bottom w:w="120" w:type="dxa"/>
              <w:right w:w="160" w:type="dxa"/>
            </w:tcMar>
            <w:vAlign w:val="center"/>
          </w:tcPr>
          <w:p w14:paraId="5A576ABA">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Rate (default)</w:t>
            </w:r>
          </w:p>
        </w:tc>
        <w:tc>
          <w:tcPr>
            <w:tcW w:w="0" w:type="auto"/>
            <w:shd w:val="clear" w:color="auto" w:fill="7A5118"/>
            <w:tcMar>
              <w:top w:w="120" w:type="dxa"/>
              <w:left w:w="160" w:type="dxa"/>
              <w:bottom w:w="120" w:type="dxa"/>
              <w:right w:w="160" w:type="dxa"/>
            </w:tcMar>
            <w:vAlign w:val="center"/>
          </w:tcPr>
          <w:p w14:paraId="0BAF17ED">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Charged on</w:t>
            </w:r>
          </w:p>
        </w:tc>
      </w:tr>
      <w:tr w14:paraId="798C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D1B903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Capital raise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7CE620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2.5%</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FC56D7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Investor capital contributed into a deal</w:t>
            </w:r>
          </w:p>
        </w:tc>
      </w:tr>
      <w:tr w14:paraId="6C8F2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465246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Distribution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D64A9A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2.0%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CA3BE0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Income / profit distributed to investors</w:t>
            </w:r>
          </w:p>
        </w:tc>
      </w:tr>
      <w:tr w14:paraId="206DA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49AD66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Secondary trade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40FBBA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A96046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Investor-to-investor share trades</w:t>
            </w:r>
          </w:p>
        </w:tc>
      </w:tr>
      <w:tr w14:paraId="493C0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1FAF898">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Sourcing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F0187B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354AFE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Deals sourced into the pipeline</w:t>
            </w:r>
          </w:p>
        </w:tc>
      </w:tr>
      <w:tr w14:paraId="0AA66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AD3112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 facilitation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877E98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2.0%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29CA7B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Agreed sale price, at close (seller-side)</w:t>
            </w:r>
          </w:p>
        </w:tc>
      </w:tr>
      <w:tr w14:paraId="758FF4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421621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Assessment / DD pack</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174BAA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R2,500 (credited at close)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BEF1A9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 due-diligence pack</w:t>
            </w:r>
          </w:p>
        </w:tc>
      </w:tr>
      <w:tr w14:paraId="05808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8D7473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JV promote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00D226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10.0%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7AC8D3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Joint-venture / partnership payouts</w:t>
            </w:r>
          </w:p>
        </w:tc>
      </w:tr>
      <w:tr w14:paraId="32E5EA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447DA5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Lease-back setup</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361C94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R5,000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53A9F2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Structuring a sale-and-leaseback</w:t>
            </w:r>
          </w:p>
        </w:tc>
      </w:tr>
      <w:tr w14:paraId="4A537A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1ECD48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Lease-back rental management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AE811D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8.0%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9F8D3D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Monthly rent under a leaseback</w:t>
            </w:r>
          </w:p>
        </w:tc>
      </w:tr>
      <w:tr w14:paraId="3B63A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FEF96D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Bond referral</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111492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Configurable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72C7D6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Referrals to bond originators</w:t>
            </w:r>
          </w:p>
        </w:tc>
      </w:tr>
    </w:tbl>
    <w:p w14:paraId="520E2820">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Rates are platform defaults and are centrally configurable. Every fee is booked to a single revenue ledger for clean reporting.</w:t>
      </w:r>
    </w:p>
    <w:p w14:paraId="1066D82F">
      <w:pPr>
        <w:pStyle w:val="3"/>
        <w:keepNext w:val="0"/>
        <w:keepLines w:val="0"/>
        <w:widowControl/>
        <w:suppressLineNumbers w:val="0"/>
        <w:spacing w:line="23" w:lineRule="atLeast"/>
      </w:pPr>
      <w:r>
        <w:t>10. Illustrative Deal Economics</w:t>
      </w:r>
    </w:p>
    <w:p w14:paraId="14438459">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The Platform earns across the </w:t>
      </w:r>
      <w:r>
        <w:rPr>
          <w:rStyle w:val="12"/>
          <w:rFonts w:hint="default" w:ascii="Calibri" w:hAnsi="Calibri" w:cs="Calibri"/>
          <w:color w:val="1A1A1A"/>
          <w:sz w:val="22"/>
          <w:szCs w:val="22"/>
        </w:rPr>
        <w:t>life of each deal</w:t>
      </w:r>
      <w:r>
        <w:rPr>
          <w:rFonts w:hint="default" w:ascii="Calibri" w:hAnsi="Calibri" w:cs="Calibri"/>
          <w:color w:val="1A1A1A"/>
          <w:sz w:val="22"/>
          <w:szCs w:val="22"/>
        </w:rPr>
        <w:t xml:space="preserve">. On a </w:t>
      </w:r>
      <w:r>
        <w:rPr>
          <w:rStyle w:val="26"/>
          <w:rFonts w:hint="default" w:ascii="Calibri" w:hAnsi="Calibri" w:cs="Calibri"/>
          <w:sz w:val="22"/>
          <w:szCs w:val="22"/>
        </w:rPr>
        <w:t>[R50 million]</w:t>
      </w:r>
      <w:r>
        <w:rPr>
          <w:rFonts w:hint="default" w:ascii="Calibri" w:hAnsi="Calibri" w:cs="Calibri"/>
          <w:color w:val="1A1A1A"/>
          <w:sz w:val="22"/>
          <w:szCs w:val="22"/>
        </w:rPr>
        <w:t xml:space="preserve"> development with a ~30% pooled-equity tranche of </w:t>
      </w:r>
      <w:r>
        <w:rPr>
          <w:rStyle w:val="26"/>
          <w:rFonts w:hint="default" w:ascii="Calibri" w:hAnsi="Calibri" w:cs="Calibri"/>
          <w:sz w:val="22"/>
          <w:szCs w:val="22"/>
        </w:rPr>
        <w:t>[R15 million]</w:t>
      </w:r>
      <w:r>
        <w:rPr>
          <w:rFonts w:hint="default" w:ascii="Calibri" w:hAnsi="Calibri" w:cs="Calibri"/>
          <w:color w:val="1A1A1A"/>
          <w:sz w:val="22"/>
          <w:szCs w:val="22"/>
        </w:rPr>
        <w:t>, the capital-raise fee (2.5%) is ~</w:t>
      </w:r>
      <w:r>
        <w:rPr>
          <w:rStyle w:val="26"/>
          <w:rFonts w:hint="default" w:ascii="Calibri" w:hAnsi="Calibri" w:cs="Calibri"/>
          <w:sz w:val="22"/>
          <w:szCs w:val="22"/>
        </w:rPr>
        <w:t>[R375,000]</w:t>
      </w:r>
      <w:r>
        <w:rPr>
          <w:rFonts w:hint="default" w:ascii="Calibri" w:hAnsi="Calibri" w:cs="Calibri"/>
          <w:color w:val="1A1A1A"/>
          <w:sz w:val="22"/>
          <w:szCs w:val="22"/>
        </w:rPr>
        <w:t xml:space="preserve">, followed by distribution fees (2.0%) over the hold and secondary-trade fees (1.0%) as co-investors trade shares — on top of recurring tool/SaaS subscriptions. A single R1,000,000 co-investment generates ~R25,000 at capital-raise alone, before distributions and exit. </w:t>
      </w:r>
    </w:p>
    <w:p w14:paraId="5D445EEF">
      <w:pPr>
        <w:pStyle w:val="19"/>
        <w:keepNext w:val="0"/>
        <w:keepLines w:val="0"/>
        <w:widowControl/>
        <w:suppressLineNumbers w:val="0"/>
        <w:spacing w:before="200" w:beforeAutospacing="0" w:after="200" w:afterAutospacing="0" w:line="23" w:lineRule="atLeast"/>
        <w:ind w:left="0" w:right="0"/>
      </w:pPr>
      <w:r>
        <w:rPr>
          <w:rStyle w:val="12"/>
          <w:rFonts w:hint="default" w:ascii="Calibri" w:hAnsi="Calibri" w:cs="Calibri"/>
          <w:color w:val="1A1A1A"/>
          <w:sz w:val="22"/>
          <w:szCs w:val="22"/>
          <w:shd w:val="clear" w:fill="FAF6EC"/>
        </w:rPr>
        <w:t>Key point:</w:t>
      </w:r>
      <w:r>
        <w:rPr>
          <w:rFonts w:hint="default" w:ascii="Calibri" w:hAnsi="Calibri" w:cs="Calibri"/>
          <w:color w:val="1A1A1A"/>
          <w:sz w:val="22"/>
          <w:szCs w:val="22"/>
          <w:shd w:val="clear" w:fill="FAF6EC"/>
        </w:rPr>
        <w:t xml:space="preserve"> because origination, pooled-equity raises, distributions, secondary trades, and subscriptions all stack on the same user base, Platform revenue compounds for the entire life of a project — from the moment the equity is raised to final exit.</w:t>
      </w:r>
    </w:p>
    <w:p w14:paraId="7A1A2038">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 xml:space="preserve">Full fee, CAC / LTV and cohort assumptions: </w:t>
      </w:r>
      <w:r>
        <w:rPr>
          <w:rStyle w:val="26"/>
          <w:rFonts w:hint="default" w:ascii="Calibri" w:hAnsi="Calibri" w:cs="Calibri"/>
          <w:sz w:val="22"/>
          <w:szCs w:val="22"/>
        </w:rPr>
        <w:t>[insert from financial model]</w:t>
      </w:r>
      <w:r>
        <w:rPr>
          <w:rFonts w:hint="default" w:ascii="Calibri" w:hAnsi="Calibri" w:cs="Calibri"/>
          <w:color w:val="1A1A1A"/>
          <w:sz w:val="22"/>
          <w:szCs w:val="22"/>
        </w:rPr>
        <w:t>.</w:t>
      </w:r>
    </w:p>
    <w:p w14:paraId="26742F77">
      <w:pPr>
        <w:pStyle w:val="3"/>
        <w:keepNext w:val="0"/>
        <w:keepLines w:val="0"/>
        <w:widowControl/>
        <w:suppressLineNumbers w:val="0"/>
        <w:spacing w:line="23" w:lineRule="atLeast"/>
      </w:pPr>
      <w:r>
        <w:t>11. Traction &amp; Current Status</w:t>
      </w:r>
    </w:p>
    <w:p w14:paraId="4D21BA58">
      <w:pPr>
        <w:keepNext w:val="0"/>
        <w:keepLines w:val="0"/>
        <w:widowControl/>
        <w:numPr>
          <w:ilvl w:val="0"/>
          <w:numId w:val="7"/>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Product:</w:t>
      </w:r>
      <w:r>
        <w:rPr>
          <w:rFonts w:hint="default" w:ascii="Calibri" w:hAnsi="Calibri" w:cs="Calibri"/>
          <w:color w:val="1A1A1A"/>
          <w:sz w:val="22"/>
          <w:szCs w:val="22"/>
          <w:bdr w:val="none" w:color="auto" w:sz="0" w:space="0"/>
        </w:rPr>
        <w:t xml:space="preserve"> Live production web app and native mobile app; feature-complete across investor, seller, and ops journeys.</w:t>
      </w:r>
    </w:p>
    <w:p w14:paraId="40E844D1">
      <w:pPr>
        <w:keepNext w:val="0"/>
        <w:keepLines w:val="0"/>
        <w:widowControl/>
        <w:numPr>
          <w:ilvl w:val="0"/>
          <w:numId w:val="7"/>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Monetisation:</w:t>
      </w:r>
      <w:r>
        <w:rPr>
          <w:rFonts w:hint="default" w:ascii="Calibri" w:hAnsi="Calibri" w:cs="Calibri"/>
          <w:color w:val="1A1A1A"/>
          <w:sz w:val="22"/>
          <w:szCs w:val="22"/>
          <w:bdr w:val="none" w:color="auto" w:sz="0" w:space="0"/>
        </w:rPr>
        <w:t xml:space="preserve"> Subscription billing and the full platform-fee engine are built and operational.</w:t>
      </w:r>
    </w:p>
    <w:p w14:paraId="5C232FB9">
      <w:pPr>
        <w:keepNext w:val="0"/>
        <w:keepLines w:val="0"/>
        <w:widowControl/>
        <w:numPr>
          <w:ilvl w:val="0"/>
          <w:numId w:val="7"/>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Distressed engine:</w:t>
      </w:r>
      <w:r>
        <w:rPr>
          <w:rFonts w:hint="default" w:ascii="Calibri" w:hAnsi="Calibri" w:cs="Calibri"/>
          <w:color w:val="1A1A1A"/>
          <w:sz w:val="22"/>
          <w:szCs w:val="22"/>
          <w:bdr w:val="none" w:color="auto" w:sz="0" w:space="0"/>
        </w:rPr>
        <w:t xml:space="preserve"> Automated nationwide scraping, AI grading, alerting, and nightly market analysis running on schedule.</w:t>
      </w:r>
    </w:p>
    <w:p w14:paraId="69FE817E">
      <w:pPr>
        <w:keepNext w:val="0"/>
        <w:keepLines w:val="0"/>
        <w:widowControl/>
        <w:numPr>
          <w:ilvl w:val="0"/>
          <w:numId w:val="7"/>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Compliance scaffolding:</w:t>
      </w:r>
      <w:r>
        <w:rPr>
          <w:rFonts w:hint="default" w:ascii="Calibri" w:hAnsi="Calibri" w:cs="Calibri"/>
          <w:color w:val="1A1A1A"/>
          <w:sz w:val="22"/>
          <w:szCs w:val="22"/>
          <w:bdr w:val="none" w:color="auto" w:sz="0" w:space="0"/>
        </w:rPr>
        <w:t xml:space="preserve"> FICA/KYC workflows, POPIA-aware data handling, audit logging, and an admin compliance console.</w:t>
      </w:r>
    </w:p>
    <w:p w14:paraId="2468C505">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 xml:space="preserve">Live KPI snapshot (users, subscribers, GMV, pipeline value) to insert at issue: </w:t>
      </w:r>
      <w:r>
        <w:rPr>
          <w:rStyle w:val="26"/>
          <w:rFonts w:hint="default" w:ascii="Calibri" w:hAnsi="Calibri" w:cs="Calibri"/>
          <w:sz w:val="22"/>
          <w:szCs w:val="22"/>
        </w:rPr>
        <w:t>[insert current metrics]</w:t>
      </w:r>
      <w:r>
        <w:rPr>
          <w:rFonts w:hint="default" w:ascii="Calibri" w:hAnsi="Calibri" w:cs="Calibri"/>
          <w:color w:val="1A1A1A"/>
          <w:sz w:val="22"/>
          <w:szCs w:val="22"/>
        </w:rPr>
        <w:t>.</w:t>
      </w:r>
    </w:p>
    <w:p w14:paraId="5A26C2AE">
      <w:pPr>
        <w:pStyle w:val="3"/>
        <w:keepNext w:val="0"/>
        <w:keepLines w:val="0"/>
        <w:widowControl/>
        <w:suppressLineNumbers w:val="0"/>
        <w:spacing w:line="23" w:lineRule="atLeast"/>
      </w:pPr>
      <w:r>
        <w:t>12. Go-to-Market Strategy</w:t>
      </w:r>
    </w:p>
    <w:p w14:paraId="1E2B17AF">
      <w:pPr>
        <w:keepNext w:val="0"/>
        <w:keepLines w:val="0"/>
        <w:widowControl/>
        <w:numPr>
          <w:ilvl w:val="0"/>
          <w:numId w:val="8"/>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Lead with tools:</w:t>
      </w:r>
      <w:r>
        <w:rPr>
          <w:rFonts w:hint="default" w:ascii="Calibri" w:hAnsi="Calibri" w:cs="Calibri"/>
          <w:color w:val="1A1A1A"/>
          <w:sz w:val="22"/>
          <w:szCs w:val="22"/>
          <w:bdr w:val="none" w:color="auto" w:sz="0" w:space="0"/>
        </w:rPr>
        <w:t xml:space="preserve"> acquire serious investors via the Distressed Finder and AI underwriting (clear, immediate ROI), then upsell to co-investment.</w:t>
      </w:r>
    </w:p>
    <w:p w14:paraId="4701F81E">
      <w:pPr>
        <w:keepNext w:val="0"/>
        <w:keepLines w:val="0"/>
        <w:widowControl/>
        <w:numPr>
          <w:ilvl w:val="0"/>
          <w:numId w:val="8"/>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Content &amp; community:</w:t>
      </w:r>
      <w:r>
        <w:rPr>
          <w:rFonts w:hint="default" w:ascii="Calibri" w:hAnsi="Calibri" w:cs="Calibri"/>
          <w:color w:val="1A1A1A"/>
          <w:sz w:val="22"/>
          <w:szCs w:val="22"/>
          <w:bdr w:val="none" w:color="auto" w:sz="0" w:space="0"/>
        </w:rPr>
        <w:t xml:space="preserve"> educational content on SA property investing to build an organic funnel into the free tier.</w:t>
      </w:r>
    </w:p>
    <w:p w14:paraId="5C0129CA">
      <w:pPr>
        <w:keepNext w:val="0"/>
        <w:keepLines w:val="0"/>
        <w:widowControl/>
        <w:numPr>
          <w:ilvl w:val="0"/>
          <w:numId w:val="8"/>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Seller inbound:</w:t>
      </w:r>
      <w:r>
        <w:rPr>
          <w:rFonts w:hint="default" w:ascii="Calibri" w:hAnsi="Calibri" w:cs="Calibri"/>
          <w:color w:val="1A1A1A"/>
          <w:sz w:val="22"/>
          <w:szCs w:val="22"/>
          <w:bdr w:val="none" w:color="auto" w:sz="0" w:space="0"/>
        </w:rPr>
        <w:t xml:space="preserve"> the seller toolkit brings motivated, off-market stock that fuels the co-investment pipeline.</w:t>
      </w:r>
    </w:p>
    <w:p w14:paraId="7FCAEF06">
      <w:pPr>
        <w:keepNext w:val="0"/>
        <w:keepLines w:val="0"/>
        <w:widowControl/>
        <w:numPr>
          <w:ilvl w:val="0"/>
          <w:numId w:val="8"/>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Regulated wrapper:</w:t>
      </w:r>
      <w:r>
        <w:rPr>
          <w:rFonts w:hint="default" w:ascii="Calibri" w:hAnsi="Calibri" w:cs="Calibri"/>
          <w:color w:val="1A1A1A"/>
          <w:sz w:val="22"/>
          <w:szCs w:val="22"/>
          <w:bdr w:val="none" w:color="auto" w:sz="0" w:space="0"/>
        </w:rPr>
        <w:t xml:space="preserve"> partner with an FSCA-accredited institution to take fractional co-investment fully to market.</w:t>
      </w:r>
    </w:p>
    <w:p w14:paraId="0D1AB614">
      <w:pPr>
        <w:keepNext w:val="0"/>
        <w:keepLines w:val="0"/>
        <w:widowControl/>
        <w:numPr>
          <w:ilvl w:val="0"/>
          <w:numId w:val="8"/>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Partnerships:</w:t>
      </w:r>
      <w:r>
        <w:rPr>
          <w:rFonts w:hint="default" w:ascii="Calibri" w:hAnsi="Calibri" w:cs="Calibri"/>
          <w:color w:val="1A1A1A"/>
          <w:sz w:val="22"/>
          <w:szCs w:val="22"/>
          <w:bdr w:val="none" w:color="auto" w:sz="0" w:space="0"/>
        </w:rPr>
        <w:t xml:space="preserve"> bond originators, conveyancers, and auction houses for referrals and deal flow.</w:t>
      </w:r>
    </w:p>
    <w:p w14:paraId="55B67378">
      <w:pPr>
        <w:pStyle w:val="3"/>
        <w:keepNext w:val="0"/>
        <w:keepLines w:val="0"/>
        <w:widowControl/>
        <w:suppressLineNumbers w:val="0"/>
        <w:spacing w:line="23" w:lineRule="atLeast"/>
      </w:pPr>
      <w:r>
        <w:t>13. Competitive Landscape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0785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37AC9253">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Category</w:t>
            </w:r>
          </w:p>
        </w:tc>
        <w:tc>
          <w:tcPr>
            <w:tcW w:w="0" w:type="auto"/>
            <w:shd w:val="clear" w:color="auto" w:fill="7A5118"/>
            <w:tcMar>
              <w:top w:w="120" w:type="dxa"/>
              <w:left w:w="160" w:type="dxa"/>
              <w:bottom w:w="120" w:type="dxa"/>
              <w:right w:w="160" w:type="dxa"/>
            </w:tcMar>
            <w:vAlign w:val="center"/>
          </w:tcPr>
          <w:p w14:paraId="771DE1E3">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Examples</w:t>
            </w:r>
          </w:p>
        </w:tc>
        <w:tc>
          <w:tcPr>
            <w:tcW w:w="0" w:type="auto"/>
            <w:shd w:val="clear" w:color="auto" w:fill="7A5118"/>
            <w:tcMar>
              <w:top w:w="120" w:type="dxa"/>
              <w:left w:w="160" w:type="dxa"/>
              <w:bottom w:w="120" w:type="dxa"/>
              <w:right w:w="160" w:type="dxa"/>
            </w:tcMar>
            <w:vAlign w:val="center"/>
          </w:tcPr>
          <w:p w14:paraId="125903C5">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Investprop edge</w:t>
            </w:r>
          </w:p>
        </w:tc>
      </w:tr>
      <w:tr w14:paraId="071CE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CD9419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Fractional property platforms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F4B82A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Local &amp; offshore fractional apps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2ABF1D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We add AI underwriting + a distressed sourcing engine + seller funnel, not just a marketplace.</w:t>
            </w:r>
          </w:p>
        </w:tc>
      </w:tr>
      <w:tr w14:paraId="0C546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2CF278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Property portals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D0BC4A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Listing sites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0A3A31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We underwrite, grade, and let users co-invest — not just browse.</w:t>
            </w:r>
          </w:p>
        </w:tc>
      </w:tr>
      <w:tr w14:paraId="7F962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EFC6A0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Spreadsheets / manual syndication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FDB92F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Informal JV groups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F8D471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Compliant SPV structuring, transparent reporting, and automation.</w:t>
            </w:r>
          </w:p>
        </w:tc>
      </w:tr>
      <w:tr w14:paraId="31CF20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1CCD3B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Auction / repo aggregators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F2D724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Scattered auction houses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4DA21D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One AI-graded, filterable feed with alerts and market analysis.</w:t>
            </w:r>
          </w:p>
        </w:tc>
      </w:tr>
    </w:tbl>
    <w:p w14:paraId="1113392F">
      <w:pPr>
        <w:pStyle w:val="3"/>
        <w:keepNext w:val="0"/>
        <w:keepLines w:val="0"/>
        <w:widowControl/>
        <w:suppressLineNumbers w:val="0"/>
        <w:spacing w:line="23" w:lineRule="atLeast"/>
      </w:pPr>
      <w:r>
        <w:t>14. Regulatory, Compliance &amp; Risk</w:t>
      </w:r>
    </w:p>
    <w:p w14:paraId="1C73E810">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Fractional property co-investment touches South African financial-services regulation. Investprop’s strategy is to operate the regulated co-investment product through an </w:t>
      </w:r>
      <w:r>
        <w:rPr>
          <w:rStyle w:val="12"/>
          <w:rFonts w:hint="default" w:ascii="Calibri" w:hAnsi="Calibri" w:cs="Calibri"/>
          <w:color w:val="1A1A1A"/>
          <w:sz w:val="22"/>
          <w:szCs w:val="22"/>
        </w:rPr>
        <w:t>FSCA-accredited partner</w:t>
      </w:r>
      <w:r>
        <w:rPr>
          <w:rFonts w:hint="default" w:ascii="Calibri" w:hAnsi="Calibri" w:cs="Calibri"/>
          <w:color w:val="1A1A1A"/>
          <w:sz w:val="22"/>
          <w:szCs w:val="22"/>
        </w:rPr>
        <w:t xml:space="preserve"> that provides the licence and product-structuring oversight, while Investprop provides the technology, origination, and operations. The tool/SaaS and seller-facilitation lines are lighter-touch and can scale in parallel. </w:t>
      </w:r>
    </w:p>
    <w:p w14:paraId="42BBAC70">
      <w:pPr>
        <w:keepNext w:val="0"/>
        <w:keepLines w:val="0"/>
        <w:widowControl/>
        <w:numPr>
          <w:ilvl w:val="0"/>
          <w:numId w:val="9"/>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FICA / AML:</w:t>
      </w:r>
      <w:r>
        <w:rPr>
          <w:rFonts w:hint="default" w:ascii="Calibri" w:hAnsi="Calibri" w:cs="Calibri"/>
          <w:color w:val="1A1A1A"/>
          <w:sz w:val="22"/>
          <w:szCs w:val="22"/>
          <w:bdr w:val="none" w:color="auto" w:sz="0" w:space="0"/>
        </w:rPr>
        <w:t xml:space="preserve"> identity verification and KYC workflows built in.</w:t>
      </w:r>
    </w:p>
    <w:p w14:paraId="703DBBDF">
      <w:pPr>
        <w:keepNext w:val="0"/>
        <w:keepLines w:val="0"/>
        <w:widowControl/>
        <w:numPr>
          <w:ilvl w:val="0"/>
          <w:numId w:val="9"/>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POPIA:</w:t>
      </w:r>
      <w:r>
        <w:rPr>
          <w:rFonts w:hint="default" w:ascii="Calibri" w:hAnsi="Calibri" w:cs="Calibri"/>
          <w:color w:val="1A1A1A"/>
          <w:sz w:val="22"/>
          <w:szCs w:val="22"/>
          <w:bdr w:val="none" w:color="auto" w:sz="0" w:space="0"/>
        </w:rPr>
        <w:t xml:space="preserve"> privacy-aware data handling and consent.</w:t>
      </w:r>
    </w:p>
    <w:p w14:paraId="595922DE">
      <w:pPr>
        <w:keepNext w:val="0"/>
        <w:keepLines w:val="0"/>
        <w:widowControl/>
        <w:numPr>
          <w:ilvl w:val="0"/>
          <w:numId w:val="9"/>
        </w:numPr>
        <w:suppressLineNumbers w:val="0"/>
        <w:spacing w:before="0" w:beforeAutospacing="1" w:after="80" w:afterAutospacing="0" w:line="23" w:lineRule="atLeast"/>
        <w:ind w:left="0" w:hanging="360"/>
      </w:pPr>
      <w:r>
        <w:rPr>
          <w:rStyle w:val="12"/>
          <w:rFonts w:hint="default" w:ascii="Calibri" w:hAnsi="Calibri" w:cs="Calibri"/>
          <w:color w:val="1A1A1A"/>
          <w:sz w:val="22"/>
          <w:szCs w:val="22"/>
          <w:bdr w:val="none" w:color="auto" w:sz="0" w:space="0"/>
        </w:rPr>
        <w:t>Governance:</w:t>
      </w:r>
      <w:r>
        <w:rPr>
          <w:rFonts w:hint="default" w:ascii="Calibri" w:hAnsi="Calibri" w:cs="Calibri"/>
          <w:color w:val="1A1A1A"/>
          <w:sz w:val="22"/>
          <w:szCs w:val="22"/>
          <w:bdr w:val="none" w:color="auto" w:sz="0" w:space="0"/>
        </w:rPr>
        <w:t xml:space="preserve"> ring-fenced SPVs, audit logging, and transparent fee disclosure.</w:t>
      </w:r>
    </w:p>
    <w:p w14:paraId="56CBAB9C">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A detailed FSCA gap analysis and compliance roadmap are available in the data room.</w:t>
      </w:r>
    </w:p>
    <w:p w14:paraId="52924D71">
      <w:pPr>
        <w:pStyle w:val="3"/>
        <w:keepNext w:val="0"/>
        <w:keepLines w:val="0"/>
        <w:widowControl/>
        <w:suppressLineNumbers w:val="0"/>
        <w:spacing w:line="23" w:lineRule="atLeast"/>
      </w:pPr>
      <w:r>
        <w:t>15. Financial Projections (Illustrative)</w:t>
      </w:r>
    </w:p>
    <w:p w14:paraId="3068F492">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 xml:space="preserve">The figures below are </w:t>
      </w:r>
      <w:r>
        <w:rPr>
          <w:rStyle w:val="12"/>
          <w:rFonts w:hint="default" w:ascii="Calibri" w:hAnsi="Calibri" w:cs="Calibri"/>
          <w:color w:val="1A1A1A"/>
          <w:sz w:val="22"/>
          <w:szCs w:val="22"/>
        </w:rPr>
        <w:t>illustrative placeholders</w:t>
      </w:r>
      <w:r>
        <w:rPr>
          <w:rFonts w:hint="default" w:ascii="Calibri" w:hAnsi="Calibri" w:cs="Calibri"/>
          <w:color w:val="1A1A1A"/>
          <w:sz w:val="22"/>
          <w:szCs w:val="22"/>
        </w:rPr>
        <w:t xml:space="preserve"> to show the shape of the model. Replace with the Company’s financial model before issue.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84"/>
        <w:gridCol w:w="1384"/>
        <w:gridCol w:w="1384"/>
        <w:gridCol w:w="1384"/>
        <w:gridCol w:w="1384"/>
        <w:gridCol w:w="1384"/>
      </w:tblGrid>
      <w:tr w14:paraId="22FCF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48C7548C">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Metric (R’000)</w:t>
            </w:r>
          </w:p>
        </w:tc>
        <w:tc>
          <w:tcPr>
            <w:tcW w:w="0" w:type="auto"/>
            <w:shd w:val="clear" w:color="auto" w:fill="7A5118"/>
            <w:tcMar>
              <w:top w:w="120" w:type="dxa"/>
              <w:left w:w="160" w:type="dxa"/>
              <w:bottom w:w="120" w:type="dxa"/>
              <w:right w:w="160" w:type="dxa"/>
            </w:tcMar>
            <w:vAlign w:val="center"/>
          </w:tcPr>
          <w:p w14:paraId="0E7C66CF">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Yr 1</w:t>
            </w:r>
          </w:p>
        </w:tc>
        <w:tc>
          <w:tcPr>
            <w:tcW w:w="0" w:type="auto"/>
            <w:shd w:val="clear" w:color="auto" w:fill="7A5118"/>
            <w:tcMar>
              <w:top w:w="120" w:type="dxa"/>
              <w:left w:w="160" w:type="dxa"/>
              <w:bottom w:w="120" w:type="dxa"/>
              <w:right w:w="160" w:type="dxa"/>
            </w:tcMar>
            <w:vAlign w:val="center"/>
          </w:tcPr>
          <w:p w14:paraId="51EFD479">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Yr 2</w:t>
            </w:r>
          </w:p>
        </w:tc>
        <w:tc>
          <w:tcPr>
            <w:tcW w:w="0" w:type="auto"/>
            <w:shd w:val="clear" w:color="auto" w:fill="7A5118"/>
            <w:tcMar>
              <w:top w:w="120" w:type="dxa"/>
              <w:left w:w="160" w:type="dxa"/>
              <w:bottom w:w="120" w:type="dxa"/>
              <w:right w:w="160" w:type="dxa"/>
            </w:tcMar>
            <w:vAlign w:val="center"/>
          </w:tcPr>
          <w:p w14:paraId="5A64CE4E">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Yr 3</w:t>
            </w:r>
          </w:p>
        </w:tc>
        <w:tc>
          <w:tcPr>
            <w:tcW w:w="0" w:type="auto"/>
            <w:shd w:val="clear" w:color="auto" w:fill="7A5118"/>
            <w:tcMar>
              <w:top w:w="120" w:type="dxa"/>
              <w:left w:w="160" w:type="dxa"/>
              <w:bottom w:w="120" w:type="dxa"/>
              <w:right w:w="160" w:type="dxa"/>
            </w:tcMar>
            <w:vAlign w:val="center"/>
          </w:tcPr>
          <w:p w14:paraId="014FF519">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Yr 4</w:t>
            </w:r>
          </w:p>
        </w:tc>
        <w:tc>
          <w:tcPr>
            <w:tcW w:w="0" w:type="auto"/>
            <w:shd w:val="clear" w:color="auto" w:fill="7A5118"/>
            <w:tcMar>
              <w:top w:w="120" w:type="dxa"/>
              <w:left w:w="160" w:type="dxa"/>
              <w:bottom w:w="120" w:type="dxa"/>
              <w:right w:w="160" w:type="dxa"/>
            </w:tcMar>
            <w:vAlign w:val="center"/>
          </w:tcPr>
          <w:p w14:paraId="0FACF3F3">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Yr 5</w:t>
            </w:r>
          </w:p>
        </w:tc>
      </w:tr>
      <w:tr w14:paraId="14EA0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48311C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Subscription revenue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E6ECB14">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D40F3E9">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B8B49C3">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94756E3">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DA4EE09">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r>
      <w:tr w14:paraId="7C97E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08EB75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Transaction &amp; seller fees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E7F86D8">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2A21AA8">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96CD867">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A8FC08F">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835158B">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r>
      <w:tr w14:paraId="07B0B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79B4AD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Total revenue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FC60D19">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D27CE95">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E1C5277">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F8364E2">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4F12DBA">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r>
      <w:tr w14:paraId="7859F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1D6E28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Gross margin %</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E71308A">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86C9F2D">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4AFFDF7">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764C8AD">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770790C">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r>
      <w:tr w14:paraId="7BDC49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35FDAF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EBITDA</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17704C4">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C34FF89">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FB1C0D3">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8456170">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7ECC74A">
            <w:pPr>
              <w:keepNext w:val="0"/>
              <w:keepLines w:val="0"/>
              <w:widowControl/>
              <w:suppressLineNumbers w:val="0"/>
              <w:spacing w:line="23" w:lineRule="atLeast"/>
              <w:jc w:val="left"/>
              <w:textAlignment w:val="top"/>
              <w:rPr>
                <w:rFonts w:hint="default" w:ascii="Calibri" w:hAnsi="Calibri" w:cs="Calibri"/>
                <w:b/>
                <w:bCs/>
                <w:color w:val="B45309"/>
                <w:sz w:val="21"/>
                <w:szCs w:val="21"/>
              </w:rPr>
            </w:pPr>
            <w:r>
              <w:rPr>
                <w:rFonts w:hint="default" w:ascii="Calibri" w:hAnsi="Calibri" w:eastAsia="SimSun" w:cs="Calibri"/>
                <w:b/>
                <w:bCs/>
                <w:color w:val="B45309"/>
                <w:sz w:val="21"/>
                <w:szCs w:val="21"/>
                <w:bdr w:val="none" w:color="auto" w:sz="0" w:space="0"/>
              </w:rPr>
              <w:t>[__]</w:t>
            </w:r>
          </w:p>
        </w:tc>
      </w:tr>
    </w:tbl>
    <w:p w14:paraId="365D1EA5">
      <w:pPr>
        <w:pStyle w:val="3"/>
        <w:keepNext w:val="0"/>
        <w:keepLines w:val="0"/>
        <w:widowControl/>
        <w:suppressLineNumbers w:val="0"/>
        <w:spacing w:line="23" w:lineRule="atLeast"/>
      </w:pPr>
      <w:r>
        <w:t>16. The Invitation — Co-Investors &amp; Institutional Partners</w:t>
      </w:r>
    </w:p>
    <w:p w14:paraId="4F228342">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Investprop is opening two complementary tracks of participation:</w:t>
      </w:r>
    </w:p>
    <w:p w14:paraId="1DA0D4D1">
      <w:pPr>
        <w:pStyle w:val="4"/>
        <w:keepNext w:val="0"/>
        <w:keepLines w:val="0"/>
        <w:widowControl/>
        <w:suppressLineNumbers w:val="0"/>
        <w:spacing w:line="23" w:lineRule="atLeast"/>
      </w:pPr>
      <w:r>
        <w:t>Track A — Co-Investors (join the pool)</w:t>
      </w:r>
    </w:p>
    <w:p w14:paraId="70D9A89E">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Qualifying individuals and investors are invited to co-invest from </w:t>
      </w:r>
      <w:r>
        <w:rPr>
          <w:rStyle w:val="26"/>
          <w:rFonts w:hint="default" w:ascii="Calibri" w:hAnsi="Calibri" w:cs="Calibri"/>
          <w:sz w:val="22"/>
          <w:szCs w:val="22"/>
        </w:rPr>
        <w:t>[R10,000]</w:t>
      </w:r>
      <w:r>
        <w:rPr>
          <w:rFonts w:hint="default" w:ascii="Calibri" w:hAnsi="Calibri" w:cs="Calibri"/>
          <w:color w:val="1A1A1A"/>
          <w:sz w:val="22"/>
          <w:szCs w:val="22"/>
        </w:rPr>
        <w:t xml:space="preserve"> per deal. Your capital joins the pooled developer-equity tranche of a specific, ring-fenced SPV, giving you fractional ownership of an institutional-grade development you could not access alone — with transparent reporting, a share certificate, AI deal insight, and access to the secondary market for liquidity. </w:t>
      </w:r>
    </w:p>
    <w:p w14:paraId="1935989E">
      <w:pPr>
        <w:pStyle w:val="4"/>
        <w:keepNext w:val="0"/>
        <w:keepLines w:val="0"/>
        <w:widowControl/>
        <w:suppressLineNumbers w:val="0"/>
        <w:spacing w:line="23" w:lineRule="atLeast"/>
      </w:pPr>
      <w:r>
        <w:t>Track B — Institutional Funders &amp; Development-Finance Partners</w:t>
      </w:r>
    </w:p>
    <w:p w14:paraId="42FD29FD">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 xml:space="preserve">Banks, DFIs, pension and asset managers, and specialist development financiers — the kind of institutions this Platform is built to work with include the Public Investment Corporation (PIC), Absa, Nedbank, Capitec, and TUHF Capital, among other banks, DFIs and funds — are invited to partner with Investprop on project funding. In each partnership, the Platform assembles and administers the ~30% equity tranche and brings AI-underwritten, compliance-ready deal flow; the institution provides senior development finance against that equity cushion.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7CAA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157CC4CC">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What each partner brings</w:t>
            </w:r>
          </w:p>
        </w:tc>
        <w:tc>
          <w:tcPr>
            <w:tcW w:w="0" w:type="auto"/>
            <w:shd w:val="clear" w:color="auto" w:fill="7A5118"/>
            <w:tcMar>
              <w:top w:w="120" w:type="dxa"/>
              <w:left w:w="160" w:type="dxa"/>
              <w:bottom w:w="120" w:type="dxa"/>
              <w:right w:w="160" w:type="dxa"/>
            </w:tcMar>
            <w:vAlign w:val="center"/>
          </w:tcPr>
          <w:p w14:paraId="4A1076A3">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Investprop</w:t>
            </w:r>
          </w:p>
        </w:tc>
        <w:tc>
          <w:tcPr>
            <w:tcW w:w="0" w:type="auto"/>
            <w:shd w:val="clear" w:color="auto" w:fill="7A5118"/>
            <w:tcMar>
              <w:top w:w="120" w:type="dxa"/>
              <w:left w:w="160" w:type="dxa"/>
              <w:bottom w:w="120" w:type="dxa"/>
              <w:right w:w="160" w:type="dxa"/>
            </w:tcMar>
            <w:vAlign w:val="center"/>
          </w:tcPr>
          <w:p w14:paraId="0AB8DE43">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Institutional partner</w:t>
            </w:r>
          </w:p>
        </w:tc>
      </w:tr>
      <w:tr w14:paraId="2AF51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E3EE48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Capital</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CB0F55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Pooled ~30% developer equity</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94B71B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Senior development finance (balance)</w:t>
            </w:r>
          </w:p>
        </w:tc>
      </w:tr>
      <w:tr w14:paraId="5ABE9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C231B4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Origination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A2DF7C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AI-sourced &amp; graded pipeline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AA4F85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Mandate / sector focus</w:t>
            </w:r>
          </w:p>
        </w:tc>
      </w:tr>
      <w:tr w14:paraId="246D8C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799F28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Structuring &amp; admin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44F142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SPV setup, reporting, distributions, compliance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449C8C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Credit &amp; funding terms</w:t>
            </w:r>
          </w:p>
        </w:tc>
      </w:tr>
      <w:tr w14:paraId="1135F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C2159A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Risk controls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4684D1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Ring-fencing, DvP settlement, share-integrity audit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371449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Security &amp; covenants</w:t>
            </w:r>
          </w:p>
        </w:tc>
      </w:tr>
    </w:tbl>
    <w:p w14:paraId="35601988">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The split above is illustrative; actual equity/senior ratios and terms are agreed per deal and per partner.</w:t>
      </w:r>
    </w:p>
    <w:p w14:paraId="3EA00E5C">
      <w:pPr>
        <w:pStyle w:val="3"/>
        <w:keepNext w:val="0"/>
        <w:keepLines w:val="0"/>
        <w:widowControl/>
        <w:suppressLineNumbers w:val="0"/>
        <w:spacing w:line="23" w:lineRule="atLeast"/>
      </w:pPr>
      <w:r>
        <w:t>17. Indicative Terms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1817C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1ACDD1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Co-investor instrument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431D5A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Shares in a per-deal ring-fenced SPV (fractional ownership)</w:t>
            </w:r>
          </w:p>
        </w:tc>
      </w:tr>
      <w:tr w14:paraId="59E3F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2DA8AA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Co-investor minimum</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3DEBC73">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26"/>
                <w:rFonts w:hint="default" w:ascii="Calibri" w:hAnsi="Calibri" w:eastAsia="SimSun" w:cs="Calibri"/>
                <w:sz w:val="21"/>
                <w:szCs w:val="21"/>
                <w:bdr w:val="none" w:color="auto" w:sz="0" w:space="0"/>
              </w:rPr>
              <w:t>[R10,000]</w:t>
            </w:r>
            <w:r>
              <w:rPr>
                <w:rFonts w:hint="default" w:ascii="Calibri" w:hAnsi="Calibri" w:eastAsia="SimSun" w:cs="Calibri"/>
                <w:color w:val="1A1A1A"/>
                <w:sz w:val="21"/>
                <w:szCs w:val="21"/>
                <w:bdr w:val="none" w:color="auto" w:sz="0" w:space="0"/>
              </w:rPr>
              <w:t xml:space="preserve"> per deal</w:t>
            </w:r>
          </w:p>
        </w:tc>
      </w:tr>
      <w:tr w14:paraId="05EBD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3305D9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Developer-equity target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F46E446">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26"/>
                <w:rFonts w:hint="default" w:ascii="Calibri" w:hAnsi="Calibri" w:eastAsia="SimSun" w:cs="Calibri"/>
                <w:sz w:val="21"/>
                <w:szCs w:val="21"/>
                <w:bdr w:val="none" w:color="auto" w:sz="0" w:space="0"/>
              </w:rPr>
              <w:t>[~30%]</w:t>
            </w:r>
            <w:r>
              <w:rPr>
                <w:rFonts w:hint="default" w:ascii="Calibri" w:hAnsi="Calibri" w:eastAsia="SimSun" w:cs="Calibri"/>
                <w:color w:val="1A1A1A"/>
                <w:sz w:val="21"/>
                <w:szCs w:val="21"/>
                <w:bdr w:val="none" w:color="auto" w:sz="0" w:space="0"/>
              </w:rPr>
              <w:t xml:space="preserve"> of project cost, aggregated from the pool</w:t>
            </w:r>
          </w:p>
        </w:tc>
      </w:tr>
      <w:tr w14:paraId="21575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1C506E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Institutional role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57C60F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Senior development finance against the equity cushion; terms per deal</w:t>
            </w:r>
          </w:p>
        </w:tc>
      </w:tr>
      <w:tr w14:paraId="79F08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EE5326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Co-investor returns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4B0640B">
            <w:pPr>
              <w:keepNext w:val="0"/>
              <w:keepLines w:val="0"/>
              <w:widowControl/>
              <w:suppressLineNumbers w:val="0"/>
              <w:spacing w:line="23" w:lineRule="atLeast"/>
              <w:jc w:val="left"/>
              <w:textAlignment w:val="top"/>
              <w:rPr>
                <w:rFonts w:hint="default" w:ascii="Calibri" w:hAnsi="Calibri" w:cs="Calibri"/>
                <w:color w:val="1A1A1A"/>
                <w:sz w:val="21"/>
                <w:szCs w:val="21"/>
              </w:rPr>
            </w:pPr>
            <w:r>
              <w:rPr>
                <w:rStyle w:val="26"/>
                <w:rFonts w:hint="default" w:ascii="Calibri" w:hAnsi="Calibri" w:eastAsia="SimSun" w:cs="Calibri"/>
                <w:sz w:val="21"/>
                <w:szCs w:val="21"/>
                <w:bdr w:val="none" w:color="auto" w:sz="0" w:space="0"/>
              </w:rPr>
              <w:t>[Rental income and/or development profit share]</w:t>
            </w:r>
            <w:r>
              <w:rPr>
                <w:rFonts w:hint="default" w:ascii="Calibri" w:hAnsi="Calibri" w:eastAsia="SimSun" w:cs="Calibri"/>
                <w:color w:val="1A1A1A"/>
                <w:sz w:val="21"/>
                <w:szCs w:val="21"/>
                <w:bdr w:val="none" w:color="auto" w:sz="0" w:space="0"/>
              </w:rPr>
              <w:t>, distributed via the SPV</w:t>
            </w:r>
          </w:p>
        </w:tc>
      </w:tr>
      <w:tr w14:paraId="38111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A4A6E8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Liquidity</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3555EE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Secondary market for SPV shares (subject to availability &amp; KYC)</w:t>
            </w:r>
          </w:p>
        </w:tc>
      </w:tr>
      <w:tr w14:paraId="76C95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C18A2F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Governance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C36F77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Ring-fenced SPV, transparent reporting, share-integrity audit, fee disclosure</w:t>
            </w:r>
          </w:p>
        </w:tc>
      </w:tr>
    </w:tbl>
    <w:p w14:paraId="21079653">
      <w:pPr>
        <w:pStyle w:val="11"/>
        <w:keepNext w:val="0"/>
        <w:keepLines w:val="0"/>
        <w:widowControl/>
        <w:suppressLineNumbers w:val="0"/>
        <w:spacing w:before="0" w:beforeAutospacing="0" w:after="160" w:afterAutospacing="0" w:line="23" w:lineRule="atLeast"/>
        <w:ind w:left="0" w:right="0"/>
      </w:pPr>
      <w:r>
        <w:rPr>
          <w:rFonts w:hint="default" w:ascii="Calibri" w:hAnsi="Calibri" w:cs="Calibri"/>
          <w:color w:val="1A1A1A"/>
          <w:sz w:val="22"/>
          <w:szCs w:val="22"/>
        </w:rPr>
        <w:t>Indicative only and subject to definitive subscription, co-funding, and shareholders’ agreements and applicable exemptions.</w:t>
      </w:r>
    </w:p>
    <w:p w14:paraId="67FB9235">
      <w:pPr>
        <w:pStyle w:val="3"/>
        <w:keepNext w:val="0"/>
        <w:keepLines w:val="0"/>
        <w:widowControl/>
        <w:suppressLineNumbers w:val="0"/>
        <w:spacing w:line="23" w:lineRule="atLeast"/>
      </w:pPr>
      <w:r>
        <w:t>18. Key Risks &amp; Mitigations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011A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235F4F71">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Risk</w:t>
            </w:r>
          </w:p>
        </w:tc>
        <w:tc>
          <w:tcPr>
            <w:tcW w:w="0" w:type="auto"/>
            <w:shd w:val="clear" w:color="auto" w:fill="7A5118"/>
            <w:tcMar>
              <w:top w:w="120" w:type="dxa"/>
              <w:left w:w="160" w:type="dxa"/>
              <w:bottom w:w="120" w:type="dxa"/>
              <w:right w:w="160" w:type="dxa"/>
            </w:tcMar>
            <w:vAlign w:val="center"/>
          </w:tcPr>
          <w:p w14:paraId="5CDCD71F">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Mitigation</w:t>
            </w:r>
          </w:p>
        </w:tc>
      </w:tr>
      <w:tr w14:paraId="36A963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C20D5B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Regulatory (pooled co-investment)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994B19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Operate through an FSCA-accredited partner; phased rollout; legal counsel; qualifying-investor exemptions.</w:t>
            </w:r>
          </w:p>
        </w:tc>
      </w:tr>
      <w:tr w14:paraId="3E40A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2A2502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Equity tranche not fully subscribed</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01FEDA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Deals proceed only once the ~30% is committed; funds held/reserved per SPV; staged commitments.</w:t>
            </w:r>
          </w:p>
        </w:tc>
      </w:tr>
      <w:tr w14:paraId="63629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5449E5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Market / property / development cycle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290FAE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Diversified SPVs, conservative AI underwriting, margin-of-safety, institutional co-diligence.</w:t>
            </w:r>
          </w:p>
        </w:tc>
      </w:tr>
      <w:tr w14:paraId="364D2A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B20483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Liquidity for co-investors</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F555E1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Secondary-trade mechanism and defined exit pathways (subject to availability).</w:t>
            </w:r>
          </w:p>
        </w:tc>
      </w:tr>
      <w:tr w14:paraId="2E689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235ADC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Execution / key-person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AE46D2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Documented systems, automation, planned key hires.</w:t>
            </w:r>
          </w:p>
        </w:tc>
      </w:tr>
      <w:tr w14:paraId="255D4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68F513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Technology / security / capital integrity</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2BBE33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Ring-fencing, DvP settlement, share-integrity audit, hardened stack, monitoring and audits.</w:t>
            </w:r>
          </w:p>
        </w:tc>
      </w:tr>
    </w:tbl>
    <w:p w14:paraId="3BEA4287">
      <w:pPr>
        <w:pStyle w:val="3"/>
        <w:keepNext w:val="0"/>
        <w:keepLines w:val="0"/>
        <w:widowControl/>
        <w:suppressLineNumbers w:val="0"/>
        <w:spacing w:line="23" w:lineRule="atLeast"/>
      </w:pPr>
      <w:r>
        <w:t>19. Team &amp; Governance</w:t>
      </w:r>
    </w:p>
    <w:p w14:paraId="47B0DC22">
      <w:pPr>
        <w:pStyle w:val="19"/>
        <w:keepNext w:val="0"/>
        <w:keepLines w:val="0"/>
        <w:widowControl/>
        <w:suppressLineNumbers w:val="0"/>
        <w:spacing w:beforeAutospacing="1" w:afterAutospacing="1" w:line="23" w:lineRule="atLeast"/>
      </w:pPr>
      <w:r>
        <w:rPr>
          <w:rStyle w:val="26"/>
          <w:rFonts w:hint="default" w:ascii="Calibri" w:hAnsi="Calibri" w:cs="Calibri"/>
          <w:sz w:val="22"/>
          <w:szCs w:val="22"/>
        </w:rPr>
        <w:t>[Founder &amp; key team bios — name, role, relevant experience.]</w:t>
      </w:r>
    </w:p>
    <w:p w14:paraId="04BAF6E2">
      <w:pPr>
        <w:pStyle w:val="19"/>
        <w:keepNext w:val="0"/>
        <w:keepLines w:val="0"/>
        <w:widowControl/>
        <w:suppressLineNumbers w:val="0"/>
        <w:spacing w:beforeAutospacing="1" w:afterAutospacing="1" w:line="23" w:lineRule="atLeast"/>
      </w:pPr>
      <w:r>
        <w:rPr>
          <w:rStyle w:val="26"/>
          <w:rFonts w:hint="default" w:ascii="Calibri" w:hAnsi="Calibri" w:cs="Calibri"/>
          <w:sz w:val="22"/>
          <w:szCs w:val="22"/>
        </w:rPr>
        <w:t>[Advisers, board, and corporate governance structure.]</w:t>
      </w:r>
    </w:p>
    <w:p w14:paraId="4A058ABE">
      <w:pPr>
        <w:pStyle w:val="3"/>
        <w:keepNext w:val="0"/>
        <w:keepLines w:val="0"/>
        <w:widowControl/>
        <w:suppressLineNumbers w:val="0"/>
        <w:spacing w:line="23" w:lineRule="atLeast"/>
      </w:pPr>
      <w:r>
        <w:t>20. Proposed Next Steps</w:t>
      </w:r>
    </w:p>
    <w:p w14:paraId="23A1353D">
      <w:pPr>
        <w:keepNext w:val="0"/>
        <w:keepLines w:val="0"/>
        <w:widowControl/>
        <w:numPr>
          <w:ilvl w:val="0"/>
          <w:numId w:val="10"/>
        </w:numPr>
        <w:suppressLineNumbers w:val="0"/>
        <w:spacing w:before="0" w:beforeAutospacing="1" w:after="80" w:afterAutospacing="0" w:line="23" w:lineRule="atLeast"/>
        <w:ind w:left="720" w:hanging="360"/>
      </w:pPr>
      <w:r>
        <w:rPr>
          <w:rFonts w:hint="default" w:ascii="Calibri" w:hAnsi="Calibri" w:cs="Calibri"/>
          <w:color w:val="1A1A1A"/>
          <w:sz w:val="22"/>
          <w:szCs w:val="22"/>
        </w:rPr>
        <w:t>Sign a mutual NDA and share the full data room.</w:t>
      </w:r>
    </w:p>
    <w:p w14:paraId="3D490199">
      <w:pPr>
        <w:keepNext w:val="0"/>
        <w:keepLines w:val="0"/>
        <w:widowControl/>
        <w:numPr>
          <w:ilvl w:val="0"/>
          <w:numId w:val="10"/>
        </w:numPr>
        <w:suppressLineNumbers w:val="0"/>
        <w:spacing w:before="0" w:beforeAutospacing="1" w:after="80" w:afterAutospacing="0" w:line="23" w:lineRule="atLeast"/>
        <w:ind w:left="720" w:hanging="360"/>
      </w:pPr>
      <w:r>
        <w:rPr>
          <w:rFonts w:hint="default" w:ascii="Calibri" w:hAnsi="Calibri" w:cs="Calibri"/>
          <w:color w:val="1A1A1A"/>
          <w:sz w:val="22"/>
          <w:szCs w:val="22"/>
        </w:rPr>
        <w:t>Management presentation and live product walkthrough.</w:t>
      </w:r>
    </w:p>
    <w:p w14:paraId="5B90036F">
      <w:pPr>
        <w:keepNext w:val="0"/>
        <w:keepLines w:val="0"/>
        <w:widowControl/>
        <w:numPr>
          <w:ilvl w:val="0"/>
          <w:numId w:val="10"/>
        </w:numPr>
        <w:suppressLineNumbers w:val="0"/>
        <w:spacing w:before="0" w:beforeAutospacing="1" w:after="80" w:afterAutospacing="0" w:line="23" w:lineRule="atLeast"/>
        <w:ind w:left="720" w:hanging="360"/>
      </w:pPr>
      <w:r>
        <w:rPr>
          <w:rFonts w:hint="default" w:ascii="Calibri" w:hAnsi="Calibri" w:cs="Calibri"/>
          <w:color w:val="1A1A1A"/>
          <w:sz w:val="22"/>
          <w:szCs w:val="22"/>
        </w:rPr>
        <w:t>Due diligence (technical, financial, legal, compliance).</w:t>
      </w:r>
    </w:p>
    <w:p w14:paraId="5BC16694">
      <w:pPr>
        <w:keepNext w:val="0"/>
        <w:keepLines w:val="0"/>
        <w:widowControl/>
        <w:numPr>
          <w:ilvl w:val="0"/>
          <w:numId w:val="10"/>
        </w:numPr>
        <w:suppressLineNumbers w:val="0"/>
        <w:spacing w:before="0" w:beforeAutospacing="1" w:after="80" w:afterAutospacing="0" w:line="23" w:lineRule="atLeast"/>
        <w:ind w:left="720" w:hanging="360"/>
      </w:pPr>
      <w:r>
        <w:rPr>
          <w:rFonts w:hint="default" w:ascii="Calibri" w:hAnsi="Calibri" w:cs="Calibri"/>
          <w:color w:val="1A1A1A"/>
          <w:sz w:val="22"/>
          <w:szCs w:val="22"/>
        </w:rPr>
        <w:t>Agree terms; execute definitive agreements; close.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98"/>
        <w:gridCol w:w="4198"/>
      </w:tblGrid>
      <w:tr w14:paraId="75224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tcMar>
              <w:top w:w="480" w:type="dxa"/>
              <w:left w:w="0" w:type="dxa"/>
              <w:bottom w:w="80" w:type="dxa"/>
              <w:right w:w="240" w:type="dxa"/>
            </w:tcMar>
            <w:vAlign w:val="center"/>
          </w:tcPr>
          <w:p w14:paraId="48BAB352">
            <w:pPr>
              <w:keepNext w:val="0"/>
              <w:keepLines w:val="0"/>
              <w:widowControl/>
              <w:suppressLineNumbers w:val="0"/>
              <w:pBdr>
                <w:top w:val="single" w:color="333333" w:sz="6" w:space="3"/>
                <w:left w:val="none" w:color="auto" w:sz="0" w:space="0"/>
                <w:bottom w:val="none" w:color="auto" w:sz="0" w:space="0"/>
                <w:right w:val="none" w:color="auto" w:sz="0" w:space="0"/>
              </w:pBdr>
              <w:spacing w:line="23" w:lineRule="atLeast"/>
              <w:jc w:val="left"/>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For and on behalf of Investprop</w:t>
            </w:r>
          </w:p>
        </w:tc>
        <w:tc>
          <w:tcPr>
            <w:tcW w:w="0" w:type="auto"/>
            <w:shd w:val="clear"/>
            <w:tcMar>
              <w:top w:w="480" w:type="dxa"/>
              <w:left w:w="0" w:type="dxa"/>
              <w:bottom w:w="80" w:type="dxa"/>
              <w:right w:w="240" w:type="dxa"/>
            </w:tcMar>
            <w:vAlign w:val="center"/>
          </w:tcPr>
          <w:p w14:paraId="35BEB51F">
            <w:pPr>
              <w:keepNext w:val="0"/>
              <w:keepLines w:val="0"/>
              <w:widowControl/>
              <w:suppressLineNumbers w:val="0"/>
              <w:pBdr>
                <w:top w:val="single" w:color="333333" w:sz="6" w:space="3"/>
                <w:left w:val="none" w:color="auto" w:sz="0" w:space="0"/>
                <w:bottom w:val="none" w:color="auto" w:sz="0" w:space="0"/>
                <w:right w:val="none" w:color="auto" w:sz="0" w:space="0"/>
              </w:pBdr>
              <w:spacing w:line="23" w:lineRule="atLeast"/>
              <w:jc w:val="left"/>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Prospective Investor</w:t>
            </w:r>
          </w:p>
        </w:tc>
      </w:tr>
      <w:tr w14:paraId="778087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tcMar>
              <w:top w:w="480" w:type="dxa"/>
              <w:left w:w="0" w:type="dxa"/>
              <w:bottom w:w="80" w:type="dxa"/>
              <w:right w:w="240" w:type="dxa"/>
            </w:tcMar>
            <w:vAlign w:val="center"/>
          </w:tcPr>
          <w:p w14:paraId="4030D8DD">
            <w:pPr>
              <w:keepNext w:val="0"/>
              <w:keepLines w:val="0"/>
              <w:widowControl/>
              <w:suppressLineNumbers w:val="0"/>
              <w:spacing w:line="23" w:lineRule="atLeast"/>
              <w:jc w:val="left"/>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Name / Title / Date</w:t>
            </w:r>
          </w:p>
        </w:tc>
        <w:tc>
          <w:tcPr>
            <w:tcW w:w="0" w:type="auto"/>
            <w:shd w:val="clear"/>
            <w:tcMar>
              <w:top w:w="480" w:type="dxa"/>
              <w:left w:w="0" w:type="dxa"/>
              <w:bottom w:w="80" w:type="dxa"/>
              <w:right w:w="240" w:type="dxa"/>
            </w:tcMar>
            <w:vAlign w:val="center"/>
          </w:tcPr>
          <w:p w14:paraId="12435E64">
            <w:pPr>
              <w:keepNext w:val="0"/>
              <w:keepLines w:val="0"/>
              <w:widowControl/>
              <w:suppressLineNumbers w:val="0"/>
              <w:spacing w:line="23" w:lineRule="atLeast"/>
              <w:jc w:val="left"/>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Name / Title / Date</w:t>
            </w:r>
          </w:p>
        </w:tc>
      </w:tr>
    </w:tbl>
    <w:p w14:paraId="06184FF3">
      <w:pPr>
        <w:pStyle w:val="3"/>
        <w:keepNext w:val="0"/>
        <w:keepLines w:val="0"/>
        <w:widowControl/>
        <w:suppressLineNumbers w:val="0"/>
        <w:spacing w:line="23" w:lineRule="atLeast"/>
      </w:pPr>
      <w:r>
        <w:t>Appendix A — Revenue Catalogue</w:t>
      </w:r>
    </w:p>
    <w:p w14:paraId="3A60766D">
      <w:pPr>
        <w:pStyle w:val="19"/>
        <w:keepNext w:val="0"/>
        <w:keepLines w:val="0"/>
        <w:widowControl/>
        <w:suppressLineNumbers w:val="0"/>
        <w:spacing w:beforeAutospacing="1" w:afterAutospacing="1" w:line="23" w:lineRule="atLeast"/>
      </w:pPr>
      <w:r>
        <w:rPr>
          <w:rFonts w:hint="default" w:ascii="Calibri" w:hAnsi="Calibri" w:cs="Calibri"/>
          <w:color w:val="1A1A1A"/>
          <w:sz w:val="22"/>
          <w:szCs w:val="22"/>
        </w:rPr>
        <w:t>Full list of monetisation lines currently implemented in the platform.</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39FF3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46DE59C2">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w:t>
            </w:r>
          </w:p>
        </w:tc>
        <w:tc>
          <w:tcPr>
            <w:tcW w:w="0" w:type="auto"/>
            <w:shd w:val="clear" w:color="auto" w:fill="7A5118"/>
            <w:tcMar>
              <w:top w:w="120" w:type="dxa"/>
              <w:left w:w="160" w:type="dxa"/>
              <w:bottom w:w="120" w:type="dxa"/>
              <w:right w:w="160" w:type="dxa"/>
            </w:tcMar>
            <w:vAlign w:val="center"/>
          </w:tcPr>
          <w:p w14:paraId="777E6C90">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Line</w:t>
            </w:r>
          </w:p>
        </w:tc>
        <w:tc>
          <w:tcPr>
            <w:tcW w:w="0" w:type="auto"/>
            <w:shd w:val="clear" w:color="auto" w:fill="7A5118"/>
            <w:tcMar>
              <w:top w:w="120" w:type="dxa"/>
              <w:left w:w="160" w:type="dxa"/>
              <w:bottom w:w="120" w:type="dxa"/>
              <w:right w:w="160" w:type="dxa"/>
            </w:tcMar>
            <w:vAlign w:val="center"/>
          </w:tcPr>
          <w:p w14:paraId="0A6EDC72">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Type</w:t>
            </w:r>
          </w:p>
        </w:tc>
        <w:tc>
          <w:tcPr>
            <w:tcW w:w="0" w:type="auto"/>
            <w:shd w:val="clear" w:color="auto" w:fill="7A5118"/>
            <w:tcMar>
              <w:top w:w="120" w:type="dxa"/>
              <w:left w:w="160" w:type="dxa"/>
              <w:bottom w:w="120" w:type="dxa"/>
              <w:right w:w="160" w:type="dxa"/>
            </w:tcMar>
            <w:vAlign w:val="center"/>
          </w:tcPr>
          <w:p w14:paraId="502A3646">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Rate / Price</w:t>
            </w:r>
          </w:p>
        </w:tc>
      </w:tr>
      <w:tr w14:paraId="0F9B8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B53D4B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4D6C5D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Investor Plus subscription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8B10FD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Recurring</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93782D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R299/mo · R2,990/yr</w:t>
            </w:r>
          </w:p>
        </w:tc>
      </w:tr>
      <w:tr w14:paraId="62175A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25FE74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2</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50347D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Pro subscription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E8DEE4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Recurring</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A1091C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R799/mo · R7,990/yr</w:t>
            </w:r>
          </w:p>
        </w:tc>
      </w:tr>
      <w:tr w14:paraId="153BD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10E242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3</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F75E3C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Enterprise subscription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4D690E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Recurring</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D8256C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R2,499/mo · R24,990/yr</w:t>
            </w:r>
          </w:p>
        </w:tc>
      </w:tr>
      <w:tr w14:paraId="0226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1A951D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4</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160C8A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DistressedDeals SA subscription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B43AB2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Recurring</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FAA467C">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R499/mo · R4,990/yr</w:t>
            </w:r>
          </w:p>
        </w:tc>
      </w:tr>
      <w:tr w14:paraId="2445F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A80131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5</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57B7AE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 Pro subscription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B4D531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Recurring</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069472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R499/mo · R4,990/yr</w:t>
            </w:r>
          </w:p>
        </w:tc>
      </w:tr>
      <w:tr w14:paraId="3CB5C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A96DAA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6</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776220A">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Capital raise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A097EA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Transaction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FA7647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2.5%</w:t>
            </w:r>
          </w:p>
        </w:tc>
      </w:tr>
      <w:tr w14:paraId="55766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79D6BC8">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7</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6C208D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Distribution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9DA51E3">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Transaction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ACF7551">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2.0%</w:t>
            </w:r>
          </w:p>
        </w:tc>
      </w:tr>
      <w:tr w14:paraId="6B0BF3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466ADF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8</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6EE3B9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Secondary trade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C020398">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Transaction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8EDCE3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1.0%</w:t>
            </w:r>
          </w:p>
        </w:tc>
      </w:tr>
      <w:tr w14:paraId="1DEEA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5D020C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9</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A4F4B5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Sourcing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BCC238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Transaction</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DAB71B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1.0%</w:t>
            </w:r>
          </w:p>
        </w:tc>
      </w:tr>
      <w:tr w14:paraId="63369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7DE72B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10</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433824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 facilitation fee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4E0F9D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Seller-side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FBE9A2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2.0% at close</w:t>
            </w:r>
          </w:p>
        </w:tc>
      </w:tr>
      <w:tr w14:paraId="78FA98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CFF5F8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11</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C260BA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Assessment / DD pack</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8A9868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Seller-side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672B3D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R2,500 (credited at close)</w:t>
            </w:r>
          </w:p>
        </w:tc>
      </w:tr>
      <w:tr w14:paraId="44B5F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A2F2DD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12</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D36084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JV promote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215B49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Seller-side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162B47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10.0% of JV payout</w:t>
            </w:r>
          </w:p>
        </w:tc>
      </w:tr>
      <w:tr w14:paraId="4E124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591A1F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13</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F34E4BE">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Lease-back setup</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1AC826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Seller-side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D269DA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R5,000</w:t>
            </w:r>
          </w:p>
        </w:tc>
      </w:tr>
      <w:tr w14:paraId="21293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3CEF0F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14</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3AD526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Lease-back rental management</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419356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Recurring</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D66F36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8.0% of rent</w:t>
            </w:r>
          </w:p>
        </w:tc>
      </w:tr>
      <w:tr w14:paraId="76930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237CFA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15</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678AD5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Bond referral</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A6B8BD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Referral</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BBB638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Configurable</w:t>
            </w:r>
          </w:p>
        </w:tc>
      </w:tr>
    </w:tbl>
    <w:p w14:paraId="433E4876">
      <w:pPr>
        <w:pStyle w:val="3"/>
        <w:keepNext w:val="0"/>
        <w:keepLines w:val="0"/>
        <w:widowControl/>
        <w:suppressLineNumbers w:val="0"/>
        <w:spacing w:line="23" w:lineRule="atLeast"/>
      </w:pPr>
      <w:r>
        <w:t>Appendix B — Glossary</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18BA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color="auto" w:fill="7A5118"/>
            <w:tcMar>
              <w:top w:w="120" w:type="dxa"/>
              <w:left w:w="160" w:type="dxa"/>
              <w:bottom w:w="120" w:type="dxa"/>
              <w:right w:w="160" w:type="dxa"/>
            </w:tcMar>
            <w:vAlign w:val="center"/>
          </w:tcPr>
          <w:p w14:paraId="1C0EAC07">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Term</w:t>
            </w:r>
          </w:p>
        </w:tc>
        <w:tc>
          <w:tcPr>
            <w:tcW w:w="0" w:type="auto"/>
            <w:shd w:val="clear" w:color="auto" w:fill="7A5118"/>
            <w:tcMar>
              <w:top w:w="120" w:type="dxa"/>
              <w:left w:w="160" w:type="dxa"/>
              <w:bottom w:w="120" w:type="dxa"/>
              <w:right w:w="160" w:type="dxa"/>
            </w:tcMar>
            <w:vAlign w:val="center"/>
          </w:tcPr>
          <w:p w14:paraId="1D7A6B3C">
            <w:pPr>
              <w:keepNext w:val="0"/>
              <w:keepLines w:val="0"/>
              <w:widowControl/>
              <w:suppressLineNumbers w:val="0"/>
              <w:spacing w:line="23" w:lineRule="atLeast"/>
              <w:jc w:val="left"/>
              <w:rPr>
                <w:rFonts w:hint="default" w:ascii="Calibri" w:hAnsi="Calibri" w:cs="Calibri"/>
                <w:b/>
                <w:bCs/>
                <w:color w:val="FFFFFF"/>
                <w:sz w:val="21"/>
                <w:szCs w:val="21"/>
              </w:rPr>
            </w:pPr>
            <w:r>
              <w:rPr>
                <w:rFonts w:hint="default" w:ascii="Calibri" w:hAnsi="Calibri" w:eastAsia="SimSun" w:cs="Calibri"/>
                <w:b/>
                <w:bCs/>
                <w:color w:val="FFFFFF"/>
                <w:sz w:val="21"/>
                <w:szCs w:val="21"/>
                <w:bdr w:val="none" w:color="auto" w:sz="0" w:space="0"/>
              </w:rPr>
              <w:t>Meaning</w:t>
            </w:r>
          </w:p>
        </w:tc>
      </w:tr>
      <w:tr w14:paraId="2D20E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5D05FB2">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SPV</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B4F1197">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Special Purpose Vehicle — a ring-fenced company that holds a single property or deal.</w:t>
            </w:r>
          </w:p>
        </w:tc>
      </w:tr>
      <w:tr w14:paraId="076635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2036ECB">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Fractional ownership</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42E486D">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Owning a share of a property via shares in its SPV.</w:t>
            </w:r>
          </w:p>
        </w:tc>
      </w:tr>
      <w:tr w14:paraId="03910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C0609B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FICA</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0E150F8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Financial Intelligence Centre Act — identity/AML verification.</w:t>
            </w:r>
          </w:p>
        </w:tc>
      </w:tr>
      <w:tr w14:paraId="372E1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6A6A64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POPIA</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F1E5658">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Protection of Personal Information Act — SA data-privacy law.</w:t>
            </w:r>
          </w:p>
        </w:tc>
      </w:tr>
      <w:tr w14:paraId="5953B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E68F5A4">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FSCA</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3E9F384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Financial Sector Conduct Authority — SA financial-services regulator.</w:t>
            </w:r>
          </w:p>
        </w:tc>
      </w:tr>
      <w:tr w14:paraId="38A0C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781D8F95">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JV promote</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63519698">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A performance share of profit on a joint-venture deal.</w:t>
            </w:r>
          </w:p>
        </w:tc>
      </w:tr>
      <w:tr w14:paraId="61E5A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29D9E076">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Lease-back</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5B9F2DF9">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Seller sells a property and continues to occupy it as a tenant.</w:t>
            </w:r>
          </w:p>
        </w:tc>
      </w:tr>
      <w:tr w14:paraId="2883D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16E5DEBF">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GMV</w:t>
            </w:r>
          </w:p>
        </w:tc>
        <w:tc>
          <w:tcPr>
            <w:tcW w:w="0" w:type="auto"/>
            <w:tcBorders>
              <w:top w:val="single" w:color="CFCFCF" w:sz="6" w:space="0"/>
              <w:left w:val="single" w:color="CFCFCF" w:sz="6" w:space="0"/>
              <w:bottom w:val="single" w:color="CFCFCF" w:sz="6" w:space="0"/>
              <w:right w:val="single" w:color="CFCFCF" w:sz="6" w:space="0"/>
            </w:tcBorders>
            <w:shd w:val="clear"/>
            <w:tcMar>
              <w:top w:w="120" w:type="dxa"/>
              <w:left w:w="160" w:type="dxa"/>
              <w:bottom w:w="120" w:type="dxa"/>
              <w:right w:w="160" w:type="dxa"/>
            </w:tcMar>
            <w:vAlign w:val="top"/>
          </w:tcPr>
          <w:p w14:paraId="42601640">
            <w:pPr>
              <w:keepNext w:val="0"/>
              <w:keepLines w:val="0"/>
              <w:widowControl/>
              <w:suppressLineNumbers w:val="0"/>
              <w:spacing w:line="23" w:lineRule="atLeast"/>
              <w:jc w:val="left"/>
              <w:textAlignment w:val="top"/>
              <w:rPr>
                <w:rFonts w:hint="default" w:ascii="Calibri" w:hAnsi="Calibri" w:cs="Calibri"/>
                <w:color w:val="1A1A1A"/>
                <w:sz w:val="21"/>
                <w:szCs w:val="21"/>
              </w:rPr>
            </w:pPr>
            <w:r>
              <w:rPr>
                <w:rFonts w:hint="default" w:ascii="Calibri" w:hAnsi="Calibri" w:eastAsia="SimSun" w:cs="Calibri"/>
                <w:color w:val="1A1A1A"/>
                <w:sz w:val="21"/>
                <w:szCs w:val="21"/>
                <w:bdr w:val="none" w:color="auto" w:sz="0" w:space="0"/>
              </w:rPr>
              <w:t>Gross Merchandise Value — total value of deals transacted.</w:t>
            </w:r>
          </w:p>
        </w:tc>
      </w:tr>
    </w:tbl>
    <w:p w14:paraId="30147189">
      <w:pPr>
        <w:pStyle w:val="16"/>
        <w:keepNext w:val="0"/>
        <w:keepLines w:val="0"/>
        <w:widowControl/>
        <w:suppressLineNumbers w:val="0"/>
        <w:spacing w:before="0" w:beforeAutospacing="0" w:after="160" w:afterAutospacing="0" w:line="23" w:lineRule="atLeast"/>
        <w:ind w:left="0" w:right="0"/>
      </w:pPr>
      <w:r>
        <w:rPr>
          <w:rFonts w:hint="default" w:ascii="Calibri" w:hAnsi="Calibri" w:cs="Calibri"/>
        </w:rPr>
        <w:t>Investprop — Confidential Investor Memorandum — not for distribution without written consent</w:t>
      </w:r>
    </w:p>
    <w:sectPr>
      <w:pgSz w:w="11906" w:h="16839"/>
      <w:pgMar w:top="1440" w:right="1800" w:bottom="1440" w:left="1800" w:header="851" w:footer="992"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4139582"/>
    <w:multiLevelType w:val="multilevel"/>
    <w:tmpl w:val="C41395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06583663"/>
    <w:multiLevelType w:val="multilevel"/>
    <w:tmpl w:val="065836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082933DF"/>
    <w:multiLevelType w:val="multilevel"/>
    <w:tmpl w:val="082933D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84D866C"/>
    <w:multiLevelType w:val="multilevel"/>
    <w:tmpl w:val="284D866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293D6F6A"/>
    <w:multiLevelType w:val="multilevel"/>
    <w:tmpl w:val="293D6F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3511907C"/>
    <w:multiLevelType w:val="multilevel"/>
    <w:tmpl w:val="351190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43C81CD5"/>
    <w:multiLevelType w:val="multilevel"/>
    <w:tmpl w:val="43C81C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45DCA164"/>
    <w:multiLevelType w:val="multilevel"/>
    <w:tmpl w:val="45DCA16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626D3EF6"/>
    <w:multiLevelType w:val="multilevel"/>
    <w:tmpl w:val="626D3E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7431F2A5"/>
    <w:multiLevelType w:val="multilevel"/>
    <w:tmpl w:val="7431F2A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7"/>
  </w:num>
  <w:num w:numId="3">
    <w:abstractNumId w:val="5"/>
  </w:num>
  <w:num w:numId="4">
    <w:abstractNumId w:val="8"/>
  </w:num>
  <w:num w:numId="5">
    <w:abstractNumId w:val="4"/>
  </w:num>
  <w:num w:numId="6">
    <w:abstractNumId w:val="9"/>
  </w:num>
  <w:num w:numId="7">
    <w:abstractNumId w:val="1"/>
  </w:num>
  <w:num w:numId="8">
    <w:abstractNumId w:val="6"/>
  </w:num>
  <w:num w:numId="9">
    <w:abstractNumId w:val="0"/>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289A66D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spacing w:before="0" w:beforeAutospacing="0" w:after="80" w:afterAutospacing="0"/>
      <w:ind w:left="0" w:right="0"/>
      <w:jc w:val="left"/>
    </w:pPr>
    <w:rPr>
      <w:rFonts w:hint="eastAsia" w:ascii="SimSun" w:hAnsi="SimSun" w:eastAsia="SimSun" w:cs="SimSun"/>
      <w:b/>
      <w:bCs/>
      <w:color w:val="7A5118"/>
      <w:spacing w:val="-10"/>
      <w:kern w:val="44"/>
      <w:sz w:val="52"/>
      <w:szCs w:val="52"/>
      <w:lang w:val="en-US" w:eastAsia="zh-CN" w:bidi="ar"/>
    </w:rPr>
  </w:style>
  <w:style w:type="paragraph" w:styleId="3">
    <w:name w:val="heading 2"/>
    <w:basedOn w:val="1"/>
    <w:next w:val="1"/>
    <w:semiHidden/>
    <w:unhideWhenUsed/>
    <w:qFormat/>
    <w:uiPriority w:val="0"/>
    <w:pPr>
      <w:pBdr>
        <w:bottom w:val="single" w:color="D4A02E" w:sz="12" w:space="3"/>
      </w:pBdr>
      <w:spacing w:before="400" w:beforeAutospacing="0" w:after="120" w:afterAutospacing="0"/>
      <w:ind w:left="0" w:right="0"/>
      <w:jc w:val="left"/>
    </w:pPr>
    <w:rPr>
      <w:rFonts w:hint="eastAsia" w:ascii="SimSun" w:hAnsi="SimSun" w:eastAsia="SimSun" w:cs="SimSun"/>
      <w:b/>
      <w:bCs/>
      <w:color w:val="7A5118"/>
      <w:kern w:val="0"/>
      <w:sz w:val="30"/>
      <w:szCs w:val="30"/>
      <w:lang w:val="en-US" w:eastAsia="zh-CN" w:bidi="ar"/>
    </w:rPr>
  </w:style>
  <w:style w:type="paragraph" w:styleId="4">
    <w:name w:val="heading 3"/>
    <w:basedOn w:val="1"/>
    <w:next w:val="1"/>
    <w:semiHidden/>
    <w:unhideWhenUsed/>
    <w:qFormat/>
    <w:uiPriority w:val="0"/>
    <w:pPr>
      <w:spacing w:before="280" w:beforeAutospacing="0" w:after="80" w:afterAutospacing="0"/>
      <w:ind w:left="0" w:right="0"/>
      <w:jc w:val="left"/>
    </w:pPr>
    <w:rPr>
      <w:rFonts w:hint="eastAsia" w:ascii="SimSun" w:hAnsi="SimSun" w:eastAsia="SimSun" w:cs="SimSun"/>
      <w:b/>
      <w:bCs/>
      <w:color w:val="111318"/>
      <w:kern w:val="0"/>
      <w:sz w:val="25"/>
      <w:szCs w:val="25"/>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basedOn w:val="1"/>
    <w:uiPriority w:val="0"/>
    <w:pPr>
      <w:spacing w:before="0" w:beforeAutospacing="0" w:after="160" w:afterAutospacing="0"/>
      <w:ind w:left="0" w:right="0"/>
      <w:jc w:val="left"/>
    </w:pPr>
    <w:rPr>
      <w:color w:val="111318"/>
      <w:kern w:val="0"/>
      <w:lang w:val="en-US" w:eastAsia="zh-CN" w:bidi="ar"/>
    </w:rPr>
  </w:style>
  <w:style w:type="character" w:styleId="12">
    <w:name w:val="Strong"/>
    <w:basedOn w:val="8"/>
    <w:qFormat/>
    <w:uiPriority w:val="0"/>
    <w:rPr>
      <w:b/>
      <w:bCs/>
    </w:rPr>
  </w:style>
  <w:style w:type="paragraph" w:customStyle="1" w:styleId="13">
    <w:name w:val="callout"/>
    <w:basedOn w:val="1"/>
    <w:uiPriority w:val="0"/>
    <w:pPr>
      <w:pBdr>
        <w:top w:val="none" w:color="auto" w:sz="0" w:space="0"/>
        <w:left w:val="single" w:color="D4A02E" w:sz="24" w:space="12"/>
        <w:bottom w:val="none" w:color="auto" w:sz="0" w:space="0"/>
        <w:right w:val="none" w:color="auto" w:sz="0" w:space="0"/>
      </w:pBdr>
      <w:shd w:val="clear" w:fill="FAF6EC"/>
      <w:spacing w:before="200" w:beforeAutospacing="0" w:after="200" w:afterAutospacing="0"/>
      <w:ind w:left="0" w:right="0"/>
      <w:jc w:val="left"/>
    </w:pPr>
    <w:rPr>
      <w:kern w:val="0"/>
      <w:lang w:val="en-US" w:eastAsia="zh-CN" w:bidi="ar"/>
    </w:rPr>
  </w:style>
  <w:style w:type="paragraph" w:customStyle="1" w:styleId="14">
    <w:name w:val="pagebreak"/>
    <w:basedOn w:val="1"/>
    <w:uiPriority w:val="0"/>
    <w:pPr>
      <w:pageBreakBefore/>
      <w:jc w:val="left"/>
    </w:pPr>
    <w:rPr>
      <w:kern w:val="0"/>
      <w:lang w:val="en-US" w:eastAsia="zh-CN" w:bidi="ar"/>
    </w:rPr>
  </w:style>
  <w:style w:type="paragraph" w:customStyle="1" w:styleId="15">
    <w:name w:val="muted"/>
    <w:basedOn w:val="1"/>
    <w:uiPriority w:val="0"/>
    <w:pPr>
      <w:jc w:val="left"/>
    </w:pPr>
    <w:rPr>
      <w:color w:val="4A4A4A"/>
      <w:kern w:val="0"/>
      <w:lang w:val="en-US" w:eastAsia="zh-CN" w:bidi="ar"/>
    </w:rPr>
  </w:style>
  <w:style w:type="paragraph" w:customStyle="1" w:styleId="16">
    <w:name w:val="confidential"/>
    <w:basedOn w:val="1"/>
    <w:uiPriority w:val="0"/>
    <w:pPr>
      <w:jc w:val="left"/>
    </w:pPr>
    <w:rPr>
      <w:caps/>
      <w:color w:val="6B6B6B"/>
      <w:spacing w:val="20"/>
      <w:kern w:val="0"/>
      <w:sz w:val="18"/>
      <w:szCs w:val="18"/>
      <w:lang w:val="en-US" w:eastAsia="zh-CN" w:bidi="ar"/>
    </w:rPr>
  </w:style>
  <w:style w:type="paragraph" w:customStyle="1" w:styleId="17">
    <w:name w:val="small"/>
    <w:basedOn w:val="1"/>
    <w:uiPriority w:val="0"/>
    <w:pPr>
      <w:jc w:val="left"/>
    </w:pPr>
    <w:rPr>
      <w:kern w:val="0"/>
      <w:sz w:val="19"/>
      <w:szCs w:val="19"/>
      <w:lang w:val="en-US" w:eastAsia="zh-CN" w:bidi="ar"/>
    </w:rPr>
  </w:style>
  <w:style w:type="paragraph" w:customStyle="1" w:styleId="18">
    <w:name w:val="i"/>
    <w:basedOn w:val="1"/>
    <w:uiPriority w:val="0"/>
    <w:pPr>
      <w:jc w:val="left"/>
    </w:pPr>
    <w:rPr>
      <w:color w:val="96691A"/>
      <w:kern w:val="0"/>
      <w:lang w:val="en-US" w:eastAsia="zh-CN" w:bidi="ar"/>
    </w:rPr>
  </w:style>
  <w:style w:type="paragraph" w:customStyle="1" w:styleId="19">
    <w:name w:val="p1 Char"/>
    <w:basedOn w:val="1"/>
    <w:uiPriority w:val="0"/>
    <w:pPr>
      <w:jc w:val="left"/>
    </w:pPr>
    <w:rPr>
      <w:color w:val="111318"/>
      <w:kern w:val="0"/>
      <w:lang w:val="en-US" w:eastAsia="zh-CN" w:bidi="ar"/>
    </w:rPr>
  </w:style>
  <w:style w:type="paragraph" w:customStyle="1" w:styleId="20">
    <w:name w:val="eyebrow"/>
    <w:basedOn w:val="1"/>
    <w:uiPriority w:val="0"/>
    <w:pPr>
      <w:jc w:val="left"/>
    </w:pPr>
    <w:rPr>
      <w:b/>
      <w:bCs/>
      <w:caps/>
      <w:color w:val="7A5118"/>
      <w:spacing w:val="30"/>
      <w:kern w:val="0"/>
      <w:sz w:val="20"/>
      <w:szCs w:val="20"/>
      <w:lang w:val="en-US" w:eastAsia="zh-CN" w:bidi="ar"/>
    </w:rPr>
  </w:style>
  <w:style w:type="paragraph" w:customStyle="1" w:styleId="21">
    <w:name w:val="n"/>
    <w:basedOn w:val="1"/>
    <w:uiPriority w:val="0"/>
    <w:pPr>
      <w:jc w:val="left"/>
    </w:pPr>
    <w:rPr>
      <w:b/>
      <w:bCs/>
      <w:color w:val="7A5118"/>
      <w:kern w:val="0"/>
      <w:sz w:val="36"/>
      <w:szCs w:val="36"/>
      <w:lang w:val="en-US" w:eastAsia="zh-CN" w:bidi="ar"/>
    </w:rPr>
  </w:style>
  <w:style w:type="paragraph" w:customStyle="1" w:styleId="22">
    <w:name w:val="line"/>
    <w:basedOn w:val="1"/>
    <w:uiPriority w:val="0"/>
    <w:pPr>
      <w:pBdr>
        <w:top w:val="single" w:color="333333" w:sz="6" w:space="3"/>
      </w:pBdr>
      <w:jc w:val="left"/>
    </w:pPr>
    <w:rPr>
      <w:kern w:val="0"/>
      <w:lang w:val="en-US" w:eastAsia="zh-CN" w:bidi="ar"/>
    </w:rPr>
  </w:style>
  <w:style w:type="paragraph" w:customStyle="1" w:styleId="23">
    <w:name w:val="placeholder"/>
    <w:basedOn w:val="1"/>
    <w:uiPriority w:val="0"/>
    <w:pPr>
      <w:jc w:val="left"/>
    </w:pPr>
    <w:rPr>
      <w:b/>
      <w:bCs/>
      <w:color w:val="B45309"/>
      <w:kern w:val="0"/>
      <w:lang w:val="en-US" w:eastAsia="zh-CN" w:bidi="ar"/>
    </w:rPr>
  </w:style>
  <w:style w:type="paragraph" w:customStyle="1" w:styleId="24">
    <w:name w:val="l"/>
    <w:basedOn w:val="1"/>
    <w:uiPriority w:val="0"/>
    <w:pPr>
      <w:jc w:val="left"/>
    </w:pPr>
    <w:rPr>
      <w:color w:val="4A4A4A"/>
      <w:kern w:val="0"/>
      <w:sz w:val="19"/>
      <w:szCs w:val="19"/>
      <w:lang w:val="en-US" w:eastAsia="zh-CN" w:bidi="ar"/>
    </w:rPr>
  </w:style>
  <w:style w:type="character" w:customStyle="1" w:styleId="25">
    <w:name w:val="i1"/>
    <w:uiPriority w:val="0"/>
    <w:rPr>
      <w:color w:val="96691A"/>
    </w:rPr>
  </w:style>
  <w:style w:type="character" w:customStyle="1" w:styleId="26">
    <w:name w:val="placeholder1"/>
    <w:uiPriority w:val="0"/>
    <w:rPr>
      <w:b/>
      <w:bCs/>
      <w:color w:val="B45309"/>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TotalTime>0</TotalTime>
  <ScaleCrop>false</ScaleCrop>
  <LinksUpToDate>false</LinksUpToDate>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2026-10-27T15:37:36Z</dcterms:created>
  <cp:lastModifiedBy>Thapelo</cp:lastModifiedBy>
  <dcterms:modified xsi:type="dcterms:W3CDTF">2026-10-27T15:37:40Z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FCE3C1526EC3485F844E487B05B52610_13</vt:lpwstr>
  </property>
</Properties>
</file>