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5A20E46">
      <w:pPr>
        <w:keepNext w:val="0"/>
        <w:keepLines w:val="0"/>
        <w:widowControl/>
        <w:suppressLineNumbers w:val="0"/>
        <w:spacing w:line="23" w:lineRule="atLeast"/>
        <w:jc w:val="left"/>
        <w:rPr>
          <w:rFonts w:ascii="Calibri" w:hAnsi="Calibri" w:cs="Calibri"/>
          <w:b/>
          <w:bCs/>
          <w:color w:val="1A1A1A"/>
          <w:sz w:val="44"/>
          <w:szCs w:val="44"/>
        </w:rPr>
      </w:pPr>
      <w:r>
        <w:rPr>
          <w:rStyle w:val="28"/>
          <w:rFonts w:hint="default" w:ascii="Calibri" w:hAnsi="Calibri" w:eastAsia="SimSun" w:cs="Calibri"/>
          <w:b/>
          <w:bCs/>
          <w:sz w:val="44"/>
          <w:szCs w:val="44"/>
        </w:rPr>
        <w:t>Invest</w:t>
      </w:r>
      <w:r>
        <w:rPr>
          <w:rFonts w:hint="default" w:ascii="Calibri" w:hAnsi="Calibri" w:eastAsia="SimSun" w:cs="Calibri"/>
          <w:b/>
          <w:bCs/>
          <w:sz w:val="44"/>
          <w:szCs w:val="44"/>
        </w:rPr>
        <w:t>prop</w:t>
      </w:r>
    </w:p>
    <w:p w14:paraId="0A8A70F8">
      <w:pPr>
        <w:pStyle w:val="23"/>
        <w:keepNext w:val="0"/>
        <w:keepLines w:val="0"/>
        <w:widowControl/>
        <w:suppressLineNumbers w:val="0"/>
        <w:spacing w:before="0" w:beforeAutospacing="0" w:after="160" w:afterAutospacing="0" w:line="23" w:lineRule="atLeast"/>
        <w:ind w:left="0" w:right="0"/>
      </w:pPr>
      <w:r>
        <w:rPr>
          <w:rFonts w:hint="default" w:ascii="Calibri" w:hAnsi="Calibri" w:cs="Calibri"/>
        </w:rPr>
        <w:t>Property &amp; Land Development, Renovation or Flip Partnership</w:t>
      </w:r>
    </w:p>
    <w:p w14:paraId="7B8F1F8E">
      <w:pPr>
        <w:pStyle w:val="23"/>
        <w:keepNext w:val="0"/>
        <w:keepLines w:val="0"/>
        <w:widowControl/>
        <w:suppressLineNumbers w:val="0"/>
        <w:spacing w:before="0" w:beforeAutospacing="0" w:after="160" w:afterAutospacing="0" w:line="23" w:lineRule="atLeast"/>
        <w:ind w:left="0" w:right="0"/>
      </w:pPr>
      <w:r>
        <w:rPr>
          <w:rFonts w:hint="default" w:ascii="Calibri" w:hAnsi="Calibri" w:cs="Calibri"/>
        </w:rPr>
        <w:t>Private &amp; Confidential — Prepared for a Property Owner</w:t>
      </w:r>
    </w:p>
    <w:p w14:paraId="0EC1D673">
      <w:pPr>
        <w:pStyle w:val="2"/>
        <w:keepNext w:val="0"/>
        <w:keepLines w:val="0"/>
        <w:widowControl/>
        <w:suppressLineNumbers w:val="0"/>
        <w:spacing w:line="23" w:lineRule="atLeast"/>
      </w:pPr>
      <w:r>
        <w:t>Turn Your Property or Land Into a Share of a Completed Project</w:t>
      </w:r>
    </w:p>
    <w:p w14:paraId="77C7A3A7">
      <w:pPr>
        <w:pStyle w:val="12"/>
        <w:keepNext w:val="0"/>
        <w:keepLines w:val="0"/>
        <w:widowControl/>
        <w:suppressLineNumbers w:val="0"/>
        <w:spacing w:before="40" w:beforeAutospacing="0" w:afterAutospacing="1" w:line="23" w:lineRule="atLeast"/>
        <w:rPr>
          <w:color w:val="333333"/>
          <w:sz w:val="28"/>
          <w:szCs w:val="28"/>
        </w:rPr>
      </w:pPr>
      <w:r>
        <w:rPr>
          <w:rFonts w:hint="default" w:ascii="Calibri" w:hAnsi="Calibri" w:cs="Calibri"/>
          <w:color w:val="333333"/>
          <w:sz w:val="28"/>
          <w:szCs w:val="28"/>
        </w:rPr>
        <w:t xml:space="preserve">You bring the property or land. We bring the capital, the team and the expertise — and we do everything, whether that means developing, renovating or flipping. You keep </w:t>
      </w:r>
      <w:r>
        <w:rPr>
          <w:rStyle w:val="13"/>
          <w:rFonts w:hint="default" w:ascii="Calibri" w:hAnsi="Calibri" w:cs="Calibri"/>
          <w:color w:val="333333"/>
          <w:sz w:val="28"/>
          <w:szCs w:val="28"/>
        </w:rPr>
        <w:t>20% equity</w:t>
      </w:r>
      <w:r>
        <w:rPr>
          <w:rFonts w:hint="default" w:ascii="Calibri" w:hAnsi="Calibri" w:cs="Calibri"/>
          <w:color w:val="333333"/>
          <w:sz w:val="28"/>
          <w:szCs w:val="28"/>
        </w:rPr>
        <w:t xml:space="preserve"> in a ring-fenced company that owns the finished project.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5"/>
        <w:gridCol w:w="3743"/>
      </w:tblGrid>
      <w:tr w14:paraId="6FAA3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7891FA6C">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Prepared for</w:t>
            </w:r>
          </w:p>
        </w:tc>
        <w:tc>
          <w:tcPr>
            <w:tcW w:w="0" w:type="auto"/>
            <w:shd w:val="clear"/>
            <w:tcMar>
              <w:top w:w="80" w:type="dxa"/>
              <w:left w:w="0" w:type="dxa"/>
              <w:bottom w:w="80" w:type="dxa"/>
              <w:right w:w="200" w:type="dxa"/>
            </w:tcMar>
            <w:vAlign w:val="top"/>
          </w:tcPr>
          <w:p w14:paraId="2411D83B">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9"/>
                <w:rFonts w:hint="default" w:ascii="Calibri" w:hAnsi="Calibri" w:eastAsia="SimSun" w:cs="Calibri"/>
                <w:sz w:val="22"/>
                <w:szCs w:val="22"/>
                <w:bdr w:val="none" w:color="auto" w:sz="0" w:space="0"/>
              </w:rPr>
              <w:t>[Landowner Full Name]</w:t>
            </w:r>
          </w:p>
        </w:tc>
      </w:tr>
      <w:tr w14:paraId="6F424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14417D9A">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Regarding the property at</w:t>
            </w:r>
          </w:p>
        </w:tc>
        <w:tc>
          <w:tcPr>
            <w:tcW w:w="0" w:type="auto"/>
            <w:shd w:val="clear"/>
            <w:tcMar>
              <w:top w:w="80" w:type="dxa"/>
              <w:left w:w="0" w:type="dxa"/>
              <w:bottom w:w="80" w:type="dxa"/>
              <w:right w:w="200" w:type="dxa"/>
            </w:tcMar>
            <w:vAlign w:val="top"/>
          </w:tcPr>
          <w:p w14:paraId="5A1D2DC3">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9"/>
                <w:rFonts w:hint="default" w:ascii="Calibri" w:hAnsi="Calibri" w:eastAsia="SimSun" w:cs="Calibri"/>
                <w:sz w:val="22"/>
                <w:szCs w:val="22"/>
                <w:bdr w:val="none" w:color="auto" w:sz="0" w:space="0"/>
              </w:rPr>
              <w:t>[Property Address / Erf No.]</w:t>
            </w:r>
          </w:p>
        </w:tc>
      </w:tr>
      <w:tr w14:paraId="51690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594122FA">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Prepared by</w:t>
            </w:r>
          </w:p>
        </w:tc>
        <w:tc>
          <w:tcPr>
            <w:tcW w:w="0" w:type="auto"/>
            <w:shd w:val="clear"/>
            <w:tcMar>
              <w:top w:w="80" w:type="dxa"/>
              <w:left w:w="0" w:type="dxa"/>
              <w:bottom w:w="80" w:type="dxa"/>
              <w:right w:w="200" w:type="dxa"/>
            </w:tcMar>
            <w:vAlign w:val="top"/>
          </w:tcPr>
          <w:p w14:paraId="5F1EDFD6">
            <w:pPr>
              <w:keepNext w:val="0"/>
              <w:keepLines w:val="0"/>
              <w:widowControl/>
              <w:suppressLineNumbers w:val="0"/>
              <w:spacing w:line="23" w:lineRule="atLeast"/>
              <w:jc w:val="left"/>
              <w:textAlignment w:val="top"/>
              <w:rPr>
                <w:rFonts w:hint="default" w:ascii="Calibri" w:hAnsi="Calibri" w:cs="Calibri"/>
                <w:color w:val="1A1A1A"/>
                <w:sz w:val="22"/>
                <w:szCs w:val="22"/>
              </w:rPr>
            </w:pPr>
            <w:r>
              <w:rPr>
                <w:rFonts w:hint="default" w:ascii="Calibri" w:hAnsi="Calibri" w:eastAsia="SimSun" w:cs="Calibri"/>
                <w:color w:val="1A1A1A"/>
                <w:sz w:val="22"/>
                <w:szCs w:val="22"/>
                <w:bdr w:val="none" w:color="auto" w:sz="0" w:space="0"/>
              </w:rPr>
              <w:t>Investprop (Pty) Ltd (“Investprop”)</w:t>
            </w:r>
          </w:p>
        </w:tc>
      </w:tr>
      <w:tr w14:paraId="0C8B1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3820209E">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Registration No.</w:t>
            </w:r>
          </w:p>
        </w:tc>
        <w:tc>
          <w:tcPr>
            <w:tcW w:w="0" w:type="auto"/>
            <w:shd w:val="clear"/>
            <w:tcMar>
              <w:top w:w="80" w:type="dxa"/>
              <w:left w:w="0" w:type="dxa"/>
              <w:bottom w:w="80" w:type="dxa"/>
              <w:right w:w="200" w:type="dxa"/>
            </w:tcMar>
            <w:vAlign w:val="top"/>
          </w:tcPr>
          <w:p w14:paraId="332B4F16">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9"/>
                <w:rFonts w:hint="default" w:ascii="Calibri" w:hAnsi="Calibri" w:eastAsia="SimSun" w:cs="Calibri"/>
                <w:sz w:val="22"/>
                <w:szCs w:val="22"/>
                <w:bdr w:val="none" w:color="auto" w:sz="0" w:space="0"/>
              </w:rPr>
              <w:t>[Company Registration Number]</w:t>
            </w:r>
          </w:p>
        </w:tc>
      </w:tr>
      <w:tr w14:paraId="169FE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2E5A3411">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Primary contact</w:t>
            </w:r>
          </w:p>
        </w:tc>
        <w:tc>
          <w:tcPr>
            <w:tcW w:w="0" w:type="auto"/>
            <w:shd w:val="clear"/>
            <w:tcMar>
              <w:top w:w="80" w:type="dxa"/>
              <w:left w:w="0" w:type="dxa"/>
              <w:bottom w:w="80" w:type="dxa"/>
              <w:right w:w="200" w:type="dxa"/>
            </w:tcMar>
            <w:vAlign w:val="top"/>
          </w:tcPr>
          <w:p w14:paraId="3846C12B">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9"/>
                <w:rFonts w:hint="default" w:ascii="Calibri" w:hAnsi="Calibri" w:eastAsia="SimSun" w:cs="Calibri"/>
                <w:sz w:val="22"/>
                <w:szCs w:val="22"/>
                <w:bdr w:val="none" w:color="auto" w:sz="0" w:space="0"/>
              </w:rPr>
              <w:t>[Your Name]</w:t>
            </w:r>
            <w:r>
              <w:rPr>
                <w:rFonts w:hint="default" w:ascii="Calibri" w:hAnsi="Calibri" w:eastAsia="SimSun" w:cs="Calibri"/>
                <w:color w:val="1A1A1A"/>
                <w:sz w:val="22"/>
                <w:szCs w:val="22"/>
                <w:bdr w:val="none" w:color="auto" w:sz="0" w:space="0"/>
              </w:rPr>
              <w:t xml:space="preserve">, </w:t>
            </w:r>
            <w:r>
              <w:rPr>
                <w:rStyle w:val="29"/>
                <w:rFonts w:hint="default" w:ascii="Calibri" w:hAnsi="Calibri" w:eastAsia="SimSun" w:cs="Calibri"/>
                <w:sz w:val="22"/>
                <w:szCs w:val="22"/>
                <w:bdr w:val="none" w:color="auto" w:sz="0" w:space="0"/>
              </w:rPr>
              <w:t>[Title]</w:t>
            </w:r>
            <w:r>
              <w:rPr>
                <w:rFonts w:hint="default" w:ascii="Calibri" w:hAnsi="Calibri" w:eastAsia="SimSun" w:cs="Calibri"/>
                <w:color w:val="1A1A1A"/>
                <w:sz w:val="22"/>
                <w:szCs w:val="22"/>
                <w:bdr w:val="none" w:color="auto" w:sz="0" w:space="0"/>
              </w:rPr>
              <w:t xml:space="preserve"> · </w:t>
            </w:r>
            <w:r>
              <w:rPr>
                <w:rStyle w:val="29"/>
                <w:rFonts w:hint="default" w:ascii="Calibri" w:hAnsi="Calibri" w:eastAsia="SimSun" w:cs="Calibri"/>
                <w:sz w:val="22"/>
                <w:szCs w:val="22"/>
                <w:bdr w:val="none" w:color="auto" w:sz="0" w:space="0"/>
              </w:rPr>
              <w:t>[Email]</w:t>
            </w:r>
            <w:r>
              <w:rPr>
                <w:rFonts w:hint="default" w:ascii="Calibri" w:hAnsi="Calibri" w:eastAsia="SimSun" w:cs="Calibri"/>
                <w:color w:val="1A1A1A"/>
                <w:sz w:val="22"/>
                <w:szCs w:val="22"/>
                <w:bdr w:val="none" w:color="auto" w:sz="0" w:space="0"/>
              </w:rPr>
              <w:t xml:space="preserve"> · </w:t>
            </w:r>
            <w:r>
              <w:rPr>
                <w:rStyle w:val="29"/>
                <w:rFonts w:hint="default" w:ascii="Calibri" w:hAnsi="Calibri" w:eastAsia="SimSun" w:cs="Calibri"/>
                <w:sz w:val="22"/>
                <w:szCs w:val="22"/>
                <w:bdr w:val="none" w:color="auto" w:sz="0" w:space="0"/>
              </w:rPr>
              <w:t>[Phone]</w:t>
            </w:r>
          </w:p>
        </w:tc>
      </w:tr>
      <w:tr w14:paraId="6563D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200" w:type="dxa"/>
            <w:shd w:val="clear"/>
            <w:tcMar>
              <w:top w:w="80" w:type="dxa"/>
              <w:left w:w="0" w:type="dxa"/>
              <w:bottom w:w="80" w:type="dxa"/>
              <w:right w:w="200" w:type="dxa"/>
            </w:tcMar>
            <w:vAlign w:val="top"/>
          </w:tcPr>
          <w:p w14:paraId="08A089F2">
            <w:pPr>
              <w:keepNext w:val="0"/>
              <w:keepLines w:val="0"/>
              <w:widowControl/>
              <w:suppressLineNumbers w:val="0"/>
              <w:spacing w:line="23" w:lineRule="atLeast"/>
              <w:jc w:val="left"/>
              <w:textAlignment w:val="top"/>
              <w:rPr>
                <w:rFonts w:hint="default" w:ascii="Calibri" w:hAnsi="Calibri" w:cs="Calibri"/>
                <w:b/>
                <w:bCs/>
                <w:color w:val="7A5118"/>
                <w:sz w:val="22"/>
                <w:szCs w:val="22"/>
              </w:rPr>
            </w:pPr>
            <w:r>
              <w:rPr>
                <w:rFonts w:hint="default" w:ascii="Calibri" w:hAnsi="Calibri" w:eastAsia="SimSun" w:cs="Calibri"/>
                <w:b/>
                <w:bCs/>
                <w:color w:val="7A5118"/>
                <w:sz w:val="22"/>
                <w:szCs w:val="22"/>
                <w:bdr w:val="none" w:color="auto" w:sz="0" w:space="0"/>
              </w:rPr>
              <w:t>Date</w:t>
            </w:r>
          </w:p>
        </w:tc>
        <w:tc>
          <w:tcPr>
            <w:tcW w:w="0" w:type="auto"/>
            <w:shd w:val="clear"/>
            <w:tcMar>
              <w:top w:w="80" w:type="dxa"/>
              <w:left w:w="0" w:type="dxa"/>
              <w:bottom w:w="80" w:type="dxa"/>
              <w:right w:w="200" w:type="dxa"/>
            </w:tcMar>
            <w:vAlign w:val="top"/>
          </w:tcPr>
          <w:p w14:paraId="0BFA15A7">
            <w:pPr>
              <w:keepNext w:val="0"/>
              <w:keepLines w:val="0"/>
              <w:widowControl/>
              <w:suppressLineNumbers w:val="0"/>
              <w:spacing w:line="23" w:lineRule="atLeast"/>
              <w:jc w:val="left"/>
              <w:textAlignment w:val="top"/>
              <w:rPr>
                <w:rFonts w:hint="default" w:ascii="Calibri" w:hAnsi="Calibri" w:cs="Calibri"/>
                <w:color w:val="1A1A1A"/>
                <w:sz w:val="22"/>
                <w:szCs w:val="22"/>
              </w:rPr>
            </w:pPr>
            <w:r>
              <w:rPr>
                <w:rStyle w:val="29"/>
                <w:rFonts w:hint="default" w:ascii="Calibri" w:hAnsi="Calibri" w:eastAsia="SimSun" w:cs="Calibri"/>
                <w:sz w:val="22"/>
                <w:szCs w:val="22"/>
                <w:bdr w:val="none" w:color="auto" w:sz="0" w:space="0"/>
              </w:rPr>
              <w:t>[Date]</w:t>
            </w:r>
          </w:p>
        </w:tc>
      </w:tr>
    </w:tbl>
    <w:p w14:paraId="35E70522">
      <w:pPr>
        <w:pStyle w:val="18"/>
        <w:keepNext w:val="0"/>
        <w:keepLines w:val="0"/>
        <w:widowControl/>
        <w:suppressLineNumbers w:val="0"/>
        <w:spacing w:before="0" w:beforeAutospacing="0" w:after="160" w:afterAutospacing="0" w:line="23" w:lineRule="atLeast"/>
        <w:ind w:left="0" w:right="0"/>
      </w:pPr>
      <w:r>
        <w:rPr>
          <w:rFonts w:hint="default" w:ascii="Calibri" w:hAnsi="Calibri" w:cs="Calibri"/>
        </w:rPr>
        <w:t>Confidential — prepared solely for the named owner</w:t>
      </w:r>
    </w:p>
    <w:p w14:paraId="301BDE16">
      <w:pPr>
        <w:pStyle w:val="3"/>
        <w:keepNext w:val="0"/>
        <w:keepLines w:val="0"/>
        <w:widowControl/>
        <w:suppressLineNumbers w:val="0"/>
        <w:spacing w:line="23" w:lineRule="atLeast"/>
      </w:pPr>
      <w:r>
        <w:t xml:space="preserve">Dear </w:t>
      </w:r>
      <w:r>
        <w:rPr>
          <w:rStyle w:val="29"/>
          <w:b/>
          <w:bCs/>
        </w:rPr>
        <w:t>[Owner Name]</w:t>
      </w:r>
    </w:p>
    <w:p w14:paraId="48855E23">
      <w:pPr>
        <w:pStyle w:val="1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Thank you for considering Investprop as a partner for your property at </w:t>
      </w:r>
      <w:r>
        <w:rPr>
          <w:rStyle w:val="29"/>
          <w:rFonts w:hint="default" w:ascii="Calibri" w:hAnsi="Calibri" w:cs="Calibri"/>
          <w:sz w:val="22"/>
          <w:szCs w:val="22"/>
        </w:rPr>
        <w:t>[Property Address]</w:t>
      </w:r>
      <w:r>
        <w:rPr>
          <w:rFonts w:hint="default" w:ascii="Calibri" w:hAnsi="Calibri" w:cs="Calibri"/>
          <w:color w:val="1A1A1A"/>
          <w:sz w:val="22"/>
          <w:szCs w:val="22"/>
        </w:rPr>
        <w:t xml:space="preserve">. Many owners are sitting on valuable property or land that they cannot unlock — developing, renovating or flipping takes capital, a professional team, approvals, funding relationships and years of risk. Most owners either sell cheaply and watch someone else make the profit, or let the asset sit idle while rates and holding costs mount. </w:t>
      </w:r>
    </w:p>
    <w:p w14:paraId="270FA0B7">
      <w:pPr>
        <w:pStyle w:val="1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We offer a third way. </w:t>
      </w:r>
      <w:r>
        <w:rPr>
          <w:rStyle w:val="13"/>
          <w:rFonts w:hint="default" w:ascii="Calibri" w:hAnsi="Calibri" w:cs="Calibri"/>
          <w:color w:val="1A1A1A"/>
          <w:sz w:val="22"/>
          <w:szCs w:val="22"/>
        </w:rPr>
        <w:t>You contribute your property or land into a dedicated company (an SPV), and in exchange you receive a 20% shareholding in that company.</w:t>
      </w:r>
      <w:r>
        <w:rPr>
          <w:rFonts w:hint="default" w:ascii="Calibri" w:hAnsi="Calibri" w:cs="Calibri"/>
          <w:color w:val="1A1A1A"/>
          <w:sz w:val="22"/>
          <w:szCs w:val="22"/>
        </w:rPr>
        <w:t xml:space="preserve"> Investprop funds and manages the entire project — feasibility, approvals, design, funding, construction or renovation and sales — at our risk and cost. When the project is sold or let, you share in the proceeds as a 20% shareholder, having put in no cash and taken on none of the execution risk. </w:t>
      </w:r>
    </w:p>
    <w:p w14:paraId="61FB6ED2">
      <w:pPr>
        <w:pStyle w:val="12"/>
        <w:keepNext w:val="0"/>
        <w:keepLines w:val="0"/>
        <w:widowControl/>
        <w:suppressLineNumbers w:val="0"/>
        <w:spacing w:before="200" w:beforeAutospacing="0" w:after="200" w:afterAutospacing="0" w:line="23" w:lineRule="atLeast"/>
        <w:ind w:left="0" w:right="0"/>
      </w:pPr>
      <w:r>
        <w:rPr>
          <w:rStyle w:val="13"/>
          <w:rFonts w:hint="default" w:ascii="Calibri" w:hAnsi="Calibri" w:cs="Calibri"/>
          <w:color w:val="1A1A1A"/>
          <w:sz w:val="22"/>
          <w:szCs w:val="22"/>
          <w:shd w:val="clear" w:fill="FAF6EC"/>
        </w:rPr>
        <w:t>In one line:</w:t>
      </w:r>
      <w:r>
        <w:rPr>
          <w:rFonts w:hint="default" w:ascii="Calibri" w:hAnsi="Calibri" w:cs="Calibri"/>
          <w:color w:val="1A1A1A"/>
          <w:sz w:val="22"/>
          <w:szCs w:val="22"/>
          <w:shd w:val="clear" w:fill="FAF6EC"/>
        </w:rPr>
        <w:t xml:space="preserve"> You keep ownership upside without selling cheap, without spending a cent, and without lifting a finger — we do everything.</w:t>
      </w:r>
    </w:p>
    <w:p w14:paraId="226211BB">
      <w:pPr>
        <w:pStyle w:val="3"/>
        <w:keepNext w:val="0"/>
        <w:keepLines w:val="0"/>
        <w:widowControl/>
        <w:suppressLineNumbers w:val="0"/>
        <w:spacing w:line="23" w:lineRule="atLeast"/>
      </w:pPr>
      <w:r>
        <w:t>The Offer at a Glance</w:t>
      </w:r>
    </w:p>
    <w:p w14:paraId="269CAA3C">
      <w:pPr>
        <w:keepNext w:val="0"/>
        <w:keepLines w:val="0"/>
        <w:widowControl/>
        <w:suppressLineNumbers w:val="0"/>
        <w:pBdr>
          <w:top w:val="single" w:color="E3D9C3" w:sz="6" w:space="10"/>
          <w:left w:val="single" w:color="E3D9C3" w:sz="6" w:space="12"/>
          <w:bottom w:val="single" w:color="E3D9C3" w:sz="6" w:space="10"/>
          <w:right w:val="single" w:color="E3D9C3" w:sz="6" w:space="12"/>
        </w:pBdr>
        <w:shd w:val="clear" w:fill="FFFDF8"/>
        <w:spacing w:before="120" w:beforeAutospacing="0" w:after="120" w:afterAutospacing="0" w:line="23" w:lineRule="atLeast"/>
        <w:ind w:left="0" w:right="0"/>
        <w:jc w:val="left"/>
        <w:rPr>
          <w:rFonts w:hint="default" w:ascii="Calibri" w:hAnsi="Calibri" w:cs="Calibri"/>
          <w:color w:val="1A1A1A"/>
          <w:sz w:val="22"/>
          <w:szCs w:val="22"/>
        </w:rPr>
      </w:pPr>
      <w:r>
        <w:rPr>
          <w:rStyle w:val="30"/>
          <w:rFonts w:hint="default" w:ascii="Calibri" w:hAnsi="Calibri" w:eastAsia="SimSun" w:cs="Calibri"/>
          <w:bdr w:val="none" w:color="auto" w:sz="0" w:space="0"/>
          <w:shd w:val="clear" w:fill="FFFDF8"/>
        </w:rPr>
        <w:t>20%</w:t>
      </w:r>
      <w:r>
        <w:rPr>
          <w:rFonts w:hint="default" w:ascii="Calibri" w:hAnsi="Calibri" w:eastAsia="SimSun" w:cs="Calibri"/>
          <w:color w:val="1A1A1A"/>
          <w:sz w:val="22"/>
          <w:szCs w:val="22"/>
          <w:bdr w:val="single" w:color="E3D9C3" w:sz="6" w:space="0"/>
          <w:shd w:val="clear" w:fill="FFFDF8"/>
        </w:rPr>
        <w:br w:type="textWrapping"/>
      </w:r>
      <w:r>
        <w:rPr>
          <w:rStyle w:val="13"/>
          <w:rFonts w:hint="default" w:ascii="Calibri" w:hAnsi="Calibri" w:eastAsia="SimSun" w:cs="Calibri"/>
          <w:color w:val="1A1A1A"/>
          <w:sz w:val="22"/>
          <w:szCs w:val="22"/>
          <w:bdr w:val="none" w:color="auto" w:sz="0" w:space="0"/>
          <w:shd w:val="clear" w:fill="FFFDF8"/>
        </w:rPr>
        <w:t>Your equity</w:t>
      </w:r>
      <w:r>
        <w:rPr>
          <w:rFonts w:hint="default" w:ascii="Calibri" w:hAnsi="Calibri" w:eastAsia="SimSun" w:cs="Calibri"/>
          <w:color w:val="1A1A1A"/>
          <w:sz w:val="22"/>
          <w:szCs w:val="22"/>
          <w:bdr w:val="single" w:color="E3D9C3" w:sz="6" w:space="0"/>
          <w:shd w:val="clear" w:fill="FFFDF8"/>
        </w:rPr>
        <w:br w:type="textWrapping"/>
      </w:r>
      <w:r>
        <w:rPr>
          <w:rFonts w:hint="default" w:ascii="Calibri" w:hAnsi="Calibri" w:eastAsia="SimSun" w:cs="Calibri"/>
          <w:color w:val="1A1A1A"/>
          <w:sz w:val="22"/>
          <w:szCs w:val="22"/>
          <w:bdr w:val="none" w:color="auto" w:sz="0" w:space="0"/>
          <w:shd w:val="clear" w:fill="FFFDF8"/>
        </w:rPr>
        <w:t>You hold 20% of the ring-fenced SPV that owns the completed development.</w:t>
      </w:r>
    </w:p>
    <w:p w14:paraId="760EDC67">
      <w:pPr>
        <w:keepNext w:val="0"/>
        <w:keepLines w:val="0"/>
        <w:widowControl/>
        <w:suppressLineNumbers w:val="0"/>
        <w:pBdr>
          <w:top w:val="single" w:color="E3D9C3" w:sz="6" w:space="10"/>
          <w:left w:val="single" w:color="E3D9C3" w:sz="6" w:space="12"/>
          <w:bottom w:val="single" w:color="E3D9C3" w:sz="6" w:space="10"/>
          <w:right w:val="single" w:color="E3D9C3" w:sz="6" w:space="12"/>
        </w:pBdr>
        <w:shd w:val="clear" w:fill="FFFDF8"/>
        <w:spacing w:before="120" w:beforeAutospacing="0" w:after="120" w:afterAutospacing="0" w:line="23" w:lineRule="atLeast"/>
        <w:ind w:left="0" w:right="0"/>
        <w:jc w:val="left"/>
        <w:rPr>
          <w:rFonts w:hint="default" w:ascii="Calibri" w:hAnsi="Calibri" w:cs="Calibri"/>
          <w:color w:val="1A1A1A"/>
          <w:sz w:val="22"/>
          <w:szCs w:val="22"/>
        </w:rPr>
      </w:pPr>
      <w:r>
        <w:rPr>
          <w:rStyle w:val="30"/>
          <w:rFonts w:hint="default" w:ascii="Calibri" w:hAnsi="Calibri" w:eastAsia="SimSun" w:cs="Calibri"/>
          <w:bdr w:val="none" w:color="auto" w:sz="0" w:space="0"/>
          <w:shd w:val="clear" w:fill="FFFDF8"/>
        </w:rPr>
        <w:t>R0</w:t>
      </w:r>
      <w:r>
        <w:rPr>
          <w:rFonts w:hint="default" w:ascii="Calibri" w:hAnsi="Calibri" w:eastAsia="SimSun" w:cs="Calibri"/>
          <w:color w:val="1A1A1A"/>
          <w:sz w:val="22"/>
          <w:szCs w:val="22"/>
          <w:bdr w:val="single" w:color="E3D9C3" w:sz="6" w:space="0"/>
          <w:shd w:val="clear" w:fill="FFFDF8"/>
        </w:rPr>
        <w:br w:type="textWrapping"/>
      </w:r>
      <w:r>
        <w:rPr>
          <w:rStyle w:val="13"/>
          <w:rFonts w:hint="default" w:ascii="Calibri" w:hAnsi="Calibri" w:eastAsia="SimSun" w:cs="Calibri"/>
          <w:color w:val="1A1A1A"/>
          <w:sz w:val="22"/>
          <w:szCs w:val="22"/>
          <w:bdr w:val="none" w:color="auto" w:sz="0" w:space="0"/>
          <w:shd w:val="clear" w:fill="FFFDF8"/>
        </w:rPr>
        <w:t>Your cash outlay</w:t>
      </w:r>
      <w:r>
        <w:rPr>
          <w:rFonts w:hint="default" w:ascii="Calibri" w:hAnsi="Calibri" w:eastAsia="SimSun" w:cs="Calibri"/>
          <w:color w:val="1A1A1A"/>
          <w:sz w:val="22"/>
          <w:szCs w:val="22"/>
          <w:bdr w:val="single" w:color="E3D9C3" w:sz="6" w:space="0"/>
          <w:shd w:val="clear" w:fill="FFFDF8"/>
        </w:rPr>
        <w:br w:type="textWrapping"/>
      </w:r>
      <w:r>
        <w:rPr>
          <w:rFonts w:hint="default" w:ascii="Calibri" w:hAnsi="Calibri" w:eastAsia="SimSun" w:cs="Calibri"/>
          <w:color w:val="1A1A1A"/>
          <w:sz w:val="22"/>
          <w:szCs w:val="22"/>
          <w:bdr w:val="none" w:color="auto" w:sz="0" w:space="0"/>
          <w:shd w:val="clear" w:fill="FFFDF8"/>
        </w:rPr>
        <w:t>You contribute only the property or land. No cash, no project costs, no capital calls.</w:t>
      </w:r>
    </w:p>
    <w:p w14:paraId="2971C626">
      <w:pPr>
        <w:keepNext w:val="0"/>
        <w:keepLines w:val="0"/>
        <w:widowControl/>
        <w:suppressLineNumbers w:val="0"/>
        <w:pBdr>
          <w:top w:val="single" w:color="E3D9C3" w:sz="6" w:space="10"/>
          <w:left w:val="single" w:color="E3D9C3" w:sz="6" w:space="12"/>
          <w:bottom w:val="single" w:color="E3D9C3" w:sz="6" w:space="10"/>
          <w:right w:val="single" w:color="E3D9C3" w:sz="6" w:space="12"/>
        </w:pBdr>
        <w:shd w:val="clear" w:fill="FFFDF8"/>
        <w:spacing w:before="120" w:beforeAutospacing="0" w:after="120" w:afterAutospacing="0" w:line="23" w:lineRule="atLeast"/>
        <w:ind w:left="0" w:right="0"/>
        <w:jc w:val="left"/>
        <w:rPr>
          <w:rFonts w:hint="default" w:ascii="Calibri" w:hAnsi="Calibri" w:cs="Calibri"/>
          <w:color w:val="1A1A1A"/>
          <w:sz w:val="22"/>
          <w:szCs w:val="22"/>
        </w:rPr>
      </w:pPr>
      <w:r>
        <w:rPr>
          <w:rStyle w:val="30"/>
          <w:rFonts w:hint="default" w:ascii="Calibri" w:hAnsi="Calibri" w:eastAsia="SimSun" w:cs="Calibri"/>
          <w:bdr w:val="none" w:color="auto" w:sz="0" w:space="0"/>
          <w:shd w:val="clear" w:fill="FFFDF8"/>
        </w:rPr>
        <w:t>80%</w:t>
      </w:r>
      <w:r>
        <w:rPr>
          <w:rFonts w:hint="default" w:ascii="Calibri" w:hAnsi="Calibri" w:eastAsia="SimSun" w:cs="Calibri"/>
          <w:color w:val="1A1A1A"/>
          <w:sz w:val="22"/>
          <w:szCs w:val="22"/>
          <w:bdr w:val="single" w:color="E3D9C3" w:sz="6" w:space="0"/>
          <w:shd w:val="clear" w:fill="FFFDF8"/>
        </w:rPr>
        <w:br w:type="textWrapping"/>
      </w:r>
      <w:r>
        <w:rPr>
          <w:rStyle w:val="13"/>
          <w:rFonts w:hint="default" w:ascii="Calibri" w:hAnsi="Calibri" w:eastAsia="SimSun" w:cs="Calibri"/>
          <w:color w:val="1A1A1A"/>
          <w:sz w:val="22"/>
          <w:szCs w:val="22"/>
          <w:bdr w:val="none" w:color="auto" w:sz="0" w:space="0"/>
          <w:shd w:val="clear" w:fill="FFFDF8"/>
        </w:rPr>
        <w:t>Our contribution</w:t>
      </w:r>
      <w:r>
        <w:rPr>
          <w:rFonts w:hint="default" w:ascii="Calibri" w:hAnsi="Calibri" w:eastAsia="SimSun" w:cs="Calibri"/>
          <w:color w:val="1A1A1A"/>
          <w:sz w:val="22"/>
          <w:szCs w:val="22"/>
          <w:bdr w:val="single" w:color="E3D9C3" w:sz="6" w:space="0"/>
          <w:shd w:val="clear" w:fill="FFFDF8"/>
        </w:rPr>
        <w:br w:type="textWrapping"/>
      </w:r>
      <w:r>
        <w:rPr>
          <w:rFonts w:hint="default" w:ascii="Calibri" w:hAnsi="Calibri" w:eastAsia="SimSun" w:cs="Calibri"/>
          <w:color w:val="1A1A1A"/>
          <w:sz w:val="22"/>
          <w:szCs w:val="22"/>
          <w:bdr w:val="none" w:color="auto" w:sz="0" w:space="0"/>
          <w:shd w:val="clear" w:fill="FFFDF8"/>
        </w:rPr>
        <w:t>Investprop and co-investors provide 100% of the funding, team and execution for an 80% share.</w:t>
      </w:r>
    </w:p>
    <w:p w14:paraId="62F7AC7C">
      <w:pPr>
        <w:keepNext w:val="0"/>
        <w:keepLines w:val="0"/>
        <w:widowControl/>
        <w:suppressLineNumbers w:val="0"/>
        <w:pBdr>
          <w:top w:val="single" w:color="E3D9C3" w:sz="6" w:space="10"/>
          <w:left w:val="single" w:color="E3D9C3" w:sz="6" w:space="12"/>
          <w:bottom w:val="single" w:color="E3D9C3" w:sz="6" w:space="10"/>
          <w:right w:val="single" w:color="E3D9C3" w:sz="6" w:space="12"/>
        </w:pBdr>
        <w:shd w:val="clear" w:fill="FFFDF8"/>
        <w:spacing w:before="120" w:beforeAutospacing="0" w:after="120" w:afterAutospacing="0" w:line="23" w:lineRule="atLeast"/>
        <w:ind w:left="0" w:right="0"/>
        <w:jc w:val="left"/>
        <w:rPr>
          <w:rFonts w:hint="default" w:ascii="Calibri" w:hAnsi="Calibri" w:cs="Calibri"/>
          <w:color w:val="1A1A1A"/>
          <w:sz w:val="22"/>
          <w:szCs w:val="22"/>
        </w:rPr>
      </w:pPr>
      <w:r>
        <w:rPr>
          <w:rStyle w:val="30"/>
          <w:rFonts w:hint="default" w:ascii="Calibri" w:hAnsi="Calibri" w:eastAsia="SimSun" w:cs="Calibri"/>
          <w:bdr w:val="none" w:color="auto" w:sz="0" w:space="0"/>
          <w:shd w:val="clear" w:fill="FFFDF8"/>
        </w:rPr>
        <w:t>100%</w:t>
      </w:r>
      <w:r>
        <w:rPr>
          <w:rFonts w:hint="default" w:ascii="Calibri" w:hAnsi="Calibri" w:eastAsia="SimSun" w:cs="Calibri"/>
          <w:color w:val="1A1A1A"/>
          <w:sz w:val="22"/>
          <w:szCs w:val="22"/>
          <w:bdr w:val="single" w:color="E3D9C3" w:sz="6" w:space="0"/>
          <w:shd w:val="clear" w:fill="FFFDF8"/>
        </w:rPr>
        <w:br w:type="textWrapping"/>
      </w:r>
      <w:r>
        <w:rPr>
          <w:rStyle w:val="13"/>
          <w:rFonts w:hint="default" w:ascii="Calibri" w:hAnsi="Calibri" w:eastAsia="SimSun" w:cs="Calibri"/>
          <w:color w:val="1A1A1A"/>
          <w:sz w:val="22"/>
          <w:szCs w:val="22"/>
          <w:bdr w:val="none" w:color="auto" w:sz="0" w:space="0"/>
          <w:shd w:val="clear" w:fill="FFFDF8"/>
        </w:rPr>
        <w:t>Done for you</w:t>
      </w:r>
      <w:r>
        <w:rPr>
          <w:rFonts w:hint="default" w:ascii="Calibri" w:hAnsi="Calibri" w:eastAsia="SimSun" w:cs="Calibri"/>
          <w:color w:val="1A1A1A"/>
          <w:sz w:val="22"/>
          <w:szCs w:val="22"/>
          <w:bdr w:val="single" w:color="E3D9C3" w:sz="6" w:space="0"/>
          <w:shd w:val="clear" w:fill="FFFDF8"/>
        </w:rPr>
        <w:br w:type="textWrapping"/>
      </w:r>
      <w:r>
        <w:rPr>
          <w:rFonts w:hint="default" w:ascii="Calibri" w:hAnsi="Calibri" w:eastAsia="SimSun" w:cs="Calibri"/>
          <w:color w:val="1A1A1A"/>
          <w:sz w:val="22"/>
          <w:szCs w:val="22"/>
          <w:bdr w:val="none" w:color="auto" w:sz="0" w:space="0"/>
          <w:shd w:val="clear" w:fill="FFFDF8"/>
        </w:rPr>
        <w:t>We handle feasibility, approvals, design, funding, building or renovating and selling — end to end.</w:t>
      </w:r>
    </w:p>
    <w:p w14:paraId="5DF22D54">
      <w:pPr>
        <w:pStyle w:val="3"/>
        <w:keepNext w:val="0"/>
        <w:keepLines w:val="0"/>
        <w:widowControl/>
        <w:suppressLineNumbers w:val="0"/>
        <w:spacing w:line="23" w:lineRule="atLeast"/>
      </w:pPr>
      <w:r>
        <w:t>How It Works — Step by Step</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8"/>
        <w:gridCol w:w="6038"/>
      </w:tblGrid>
      <w:tr w14:paraId="08E42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500" w:type="pct"/>
            <w:shd w:val="clear" w:color="auto" w:fill="7A5118"/>
            <w:tcMar>
              <w:top w:w="120" w:type="dxa"/>
              <w:left w:w="160" w:type="dxa"/>
              <w:bottom w:w="120" w:type="dxa"/>
              <w:right w:w="160" w:type="dxa"/>
            </w:tcMar>
            <w:vAlign w:val="center"/>
          </w:tcPr>
          <w:p w14:paraId="0BE76FDA">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Stage</w:t>
            </w:r>
          </w:p>
        </w:tc>
        <w:tc>
          <w:tcPr>
            <w:tcW w:w="0" w:type="auto"/>
            <w:shd w:val="clear" w:color="auto" w:fill="7A5118"/>
            <w:tcMar>
              <w:top w:w="120" w:type="dxa"/>
              <w:left w:w="160" w:type="dxa"/>
              <w:bottom w:w="120" w:type="dxa"/>
              <w:right w:w="160" w:type="dxa"/>
            </w:tcMar>
            <w:vAlign w:val="center"/>
          </w:tcPr>
          <w:p w14:paraId="2442B881">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What happens</w:t>
            </w:r>
          </w:p>
        </w:tc>
      </w:tr>
      <w:tr w14:paraId="71DC3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AD5C0F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1. You submit the property</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4DCF8B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 provide the property or land details on our platform (or to us directly). No obligation.</w:t>
            </w:r>
          </w:p>
        </w:tc>
      </w:tr>
      <w:tr w14:paraId="689C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8DD780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2. We assess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63B6B2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We run a feasibility review — zoning, condition, value, development or renovation potential and numbers.</w:t>
            </w:r>
          </w:p>
        </w:tc>
      </w:tr>
      <w:tr w14:paraId="75A18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93EC8F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3. Agreement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3576D9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If it works, we prepare the partnership agreement — pre-filled with your details — which you sign electronically on the app.</w:t>
            </w:r>
          </w:p>
        </w:tc>
      </w:tr>
      <w:tr w14:paraId="7F73F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647D6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4. We form the SPV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E32C6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 ring-fenced company is incorporated for your project. Your property is contributed into it; you receive 20% of the shares.</w:t>
            </w:r>
          </w:p>
        </w:tc>
      </w:tr>
      <w:tr w14:paraId="54244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4B8312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5. We develop</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5397B3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We fund it, get the approvals, appoint the team and develop, renovate or flip it. You are kept informed throughout.</w:t>
            </w:r>
          </w:p>
        </w:tc>
      </w:tr>
      <w:tr w14:paraId="5AA38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BEE08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6. You share the upside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77609C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On sale or rental, proceeds are distributed to shareholders — your 20% included.</w:t>
            </w:r>
          </w:p>
        </w:tc>
      </w:tr>
    </w:tbl>
    <w:p w14:paraId="092B3368">
      <w:pPr>
        <w:pStyle w:val="3"/>
        <w:keepNext w:val="0"/>
        <w:keepLines w:val="0"/>
        <w:widowControl/>
        <w:suppressLineNumbers w:val="0"/>
        <w:spacing w:line="23" w:lineRule="atLeast"/>
      </w:pPr>
      <w:r>
        <w:t>Why Owners Choose This</w:t>
      </w:r>
    </w:p>
    <w:p w14:paraId="7DF6EB85">
      <w:pPr>
        <w:keepNext w:val="0"/>
        <w:keepLines w:val="0"/>
        <w:widowControl/>
        <w:numPr>
          <w:ilvl w:val="0"/>
          <w:numId w:val="1"/>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You don’t sell cheap.</w:t>
      </w:r>
      <w:r>
        <w:rPr>
          <w:rFonts w:hint="default" w:ascii="Calibri" w:hAnsi="Calibri" w:cs="Calibri"/>
          <w:color w:val="1A1A1A"/>
          <w:sz w:val="22"/>
          <w:szCs w:val="22"/>
          <w:bdr w:val="none" w:color="auto" w:sz="0" w:space="0"/>
        </w:rPr>
        <w:t xml:space="preserve"> Instead of a once-off sale at current value, you keep a stake in the far higher </w:t>
      </w:r>
      <w:r>
        <w:rPr>
          <w:rStyle w:val="10"/>
          <w:rFonts w:hint="default" w:ascii="Calibri" w:hAnsi="Calibri" w:cs="Calibri"/>
          <w:color w:val="1A1A1A"/>
          <w:sz w:val="22"/>
          <w:szCs w:val="22"/>
          <w:bdr w:val="none" w:color="auto" w:sz="0" w:space="0"/>
        </w:rPr>
        <w:t>completed</w:t>
      </w:r>
      <w:r>
        <w:rPr>
          <w:rFonts w:hint="default" w:ascii="Calibri" w:hAnsi="Calibri" w:cs="Calibri"/>
          <w:color w:val="1A1A1A"/>
          <w:sz w:val="22"/>
          <w:szCs w:val="22"/>
          <w:bdr w:val="none" w:color="auto" w:sz="0" w:space="0"/>
        </w:rPr>
        <w:t xml:space="preserve"> value.</w:t>
      </w:r>
    </w:p>
    <w:p w14:paraId="1F913425">
      <w:pPr>
        <w:keepNext w:val="0"/>
        <w:keepLines w:val="0"/>
        <w:widowControl/>
        <w:numPr>
          <w:ilvl w:val="0"/>
          <w:numId w:val="1"/>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You risk no money.</w:t>
      </w:r>
      <w:r>
        <w:rPr>
          <w:rFonts w:hint="default" w:ascii="Calibri" w:hAnsi="Calibri" w:cs="Calibri"/>
          <w:color w:val="1A1A1A"/>
          <w:sz w:val="22"/>
          <w:szCs w:val="22"/>
          <w:bdr w:val="none" w:color="auto" w:sz="0" w:space="0"/>
        </w:rPr>
        <w:t xml:space="preserve"> Every rand of project cost and funding is ours. You never receive a capital call.</w:t>
      </w:r>
    </w:p>
    <w:p w14:paraId="3D69F202">
      <w:pPr>
        <w:keepNext w:val="0"/>
        <w:keepLines w:val="0"/>
        <w:widowControl/>
        <w:numPr>
          <w:ilvl w:val="0"/>
          <w:numId w:val="1"/>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You carry none of the execution burden.</w:t>
      </w:r>
      <w:r>
        <w:rPr>
          <w:rFonts w:hint="default" w:ascii="Calibri" w:hAnsi="Calibri" w:cs="Calibri"/>
          <w:color w:val="1A1A1A"/>
          <w:sz w:val="22"/>
          <w:szCs w:val="22"/>
          <w:bdr w:val="none" w:color="auto" w:sz="0" w:space="0"/>
        </w:rPr>
        <w:t xml:space="preserve"> We manage the professionals, the municipality, the bank and the builders.</w:t>
      </w:r>
    </w:p>
    <w:p w14:paraId="606AE96C">
      <w:pPr>
        <w:keepNext w:val="0"/>
        <w:keepLines w:val="0"/>
        <w:widowControl/>
        <w:numPr>
          <w:ilvl w:val="0"/>
          <w:numId w:val="1"/>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Your asset is ring-fenced.</w:t>
      </w:r>
      <w:r>
        <w:rPr>
          <w:rFonts w:hint="default" w:ascii="Calibri" w:hAnsi="Calibri" w:cs="Calibri"/>
          <w:color w:val="1A1A1A"/>
          <w:sz w:val="22"/>
          <w:szCs w:val="22"/>
          <w:bdr w:val="none" w:color="auto" w:sz="0" w:space="0"/>
        </w:rPr>
        <w:t xml:space="preserve"> Your property sits in its own company, legally separated from any other project’s liabilities.</w:t>
      </w:r>
    </w:p>
    <w:p w14:paraId="3FCF729A">
      <w:pPr>
        <w:keepNext w:val="0"/>
        <w:keepLines w:val="0"/>
        <w:widowControl/>
        <w:numPr>
          <w:ilvl w:val="0"/>
          <w:numId w:val="1"/>
        </w:numPr>
        <w:suppressLineNumbers w:val="0"/>
        <w:spacing w:before="0" w:beforeAutospacing="1" w:after="100" w:afterAutospacing="0" w:line="23" w:lineRule="atLeast"/>
        <w:ind w:left="0" w:hanging="360"/>
      </w:pPr>
      <w:r>
        <w:rPr>
          <w:rStyle w:val="13"/>
          <w:rFonts w:hint="default" w:ascii="Calibri" w:hAnsi="Calibri" w:cs="Calibri"/>
          <w:color w:val="1A1A1A"/>
          <w:sz w:val="22"/>
          <w:szCs w:val="22"/>
          <w:bdr w:val="none" w:color="auto" w:sz="0" w:space="0"/>
        </w:rPr>
        <w:t>Full transparency.</w:t>
      </w:r>
      <w:r>
        <w:rPr>
          <w:rFonts w:hint="default" w:ascii="Calibri" w:hAnsi="Calibri" w:cs="Calibri"/>
          <w:color w:val="1A1A1A"/>
          <w:sz w:val="22"/>
          <w:szCs w:val="22"/>
          <w:bdr w:val="none" w:color="auto" w:sz="0" w:space="0"/>
        </w:rPr>
        <w:t xml:space="preserve"> You see the cap table, capital movements and distributions through the platform.</w:t>
      </w:r>
    </w:p>
    <w:p w14:paraId="7AEEDCB5">
      <w:pPr>
        <w:pStyle w:val="3"/>
        <w:keepNext w:val="0"/>
        <w:keepLines w:val="0"/>
        <w:widowControl/>
        <w:suppressLineNumbers w:val="0"/>
        <w:spacing w:line="23" w:lineRule="atLeast"/>
      </w:pPr>
      <w:r>
        <w:t>Your Property (as we understand it)</w:t>
      </w:r>
    </w:p>
    <w:p w14:paraId="5587CA9A">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Please confirm or correct the details below.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2"/>
        <w:gridCol w:w="4983"/>
      </w:tblGrid>
      <w:tr w14:paraId="6E6C7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00" w:type="pct"/>
            <w:shd w:val="clear" w:color="auto" w:fill="7A5118"/>
            <w:tcMar>
              <w:top w:w="120" w:type="dxa"/>
              <w:left w:w="160" w:type="dxa"/>
              <w:bottom w:w="120" w:type="dxa"/>
              <w:right w:w="160" w:type="dxa"/>
            </w:tcMar>
            <w:vAlign w:val="center"/>
          </w:tcPr>
          <w:p w14:paraId="42BAB5CD">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Item</w:t>
            </w:r>
          </w:p>
        </w:tc>
        <w:tc>
          <w:tcPr>
            <w:tcW w:w="0" w:type="auto"/>
            <w:shd w:val="clear" w:color="auto" w:fill="7A5118"/>
            <w:tcMar>
              <w:top w:w="120" w:type="dxa"/>
              <w:left w:w="160" w:type="dxa"/>
              <w:bottom w:w="120" w:type="dxa"/>
              <w:right w:w="160" w:type="dxa"/>
            </w:tcMar>
            <w:vAlign w:val="center"/>
          </w:tcPr>
          <w:p w14:paraId="4D1AB4E1">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Detail</w:t>
            </w:r>
          </w:p>
        </w:tc>
      </w:tr>
      <w:tr w14:paraId="14795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3F2156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Owner</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967FEBA">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[Full name / entity]</w:t>
            </w:r>
          </w:p>
        </w:tc>
      </w:tr>
      <w:tr w14:paraId="1FFAF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614234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Property description</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AD83081">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[e.g. 2 ha vacant stand, or 4-bed house to renovate]</w:t>
            </w:r>
          </w:p>
        </w:tc>
      </w:tr>
      <w:tr w14:paraId="329A6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91B8B0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Address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CE48C4A">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[Address, City, Province]</w:t>
            </w:r>
          </w:p>
        </w:tc>
      </w:tr>
      <w:tr w14:paraId="543D9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6D3DAB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Erf / Portion No.</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C4DB238">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[____]</w:t>
            </w:r>
          </w:p>
        </w:tc>
      </w:tr>
      <w:tr w14:paraId="0C841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C24420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Extent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FBFB66C">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[____ m²]</w:t>
            </w:r>
          </w:p>
        </w:tc>
      </w:tr>
      <w:tr w14:paraId="50D03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32461D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Current zoning / use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0AEAFA2">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[____]</w:t>
            </w:r>
          </w:p>
        </w:tc>
      </w:tr>
      <w:tr w14:paraId="6E692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DDF300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property value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898B17C">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r w14:paraId="28E1F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BC6233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Proposed project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15E5529">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[e.g. residential estate — ____ units, or full renovation]</w:t>
            </w:r>
          </w:p>
        </w:tc>
      </w:tr>
      <w:tr w14:paraId="5398D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AC18E0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end value (GDV)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BEAC5B6">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bl>
    <w:p w14:paraId="3BFDD1C9">
      <w:pPr>
        <w:pStyle w:val="3"/>
        <w:keepNext w:val="0"/>
        <w:keepLines w:val="0"/>
        <w:widowControl/>
        <w:suppressLineNumbers w:val="0"/>
        <w:spacing w:line="23" w:lineRule="atLeast"/>
      </w:pPr>
      <w:r>
        <w:t>Illustrative Outcome</w:t>
      </w:r>
    </w:p>
    <w:p w14:paraId="4AED3CA3">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For illustration only — not a forecast, promise or guarantee of return. Actual outcomes depend on the project.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01F12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7A5118"/>
            <w:tcMar>
              <w:top w:w="120" w:type="dxa"/>
              <w:left w:w="160" w:type="dxa"/>
              <w:bottom w:w="120" w:type="dxa"/>
              <w:right w:w="160" w:type="dxa"/>
            </w:tcMar>
            <w:vAlign w:val="center"/>
          </w:tcPr>
          <w:p w14:paraId="6803E95F">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Scenario</w:t>
            </w:r>
          </w:p>
        </w:tc>
        <w:tc>
          <w:tcPr>
            <w:tcW w:w="0" w:type="auto"/>
            <w:shd w:val="clear" w:color="auto" w:fill="7A5118"/>
            <w:tcMar>
              <w:top w:w="120" w:type="dxa"/>
              <w:left w:w="160" w:type="dxa"/>
              <w:bottom w:w="120" w:type="dxa"/>
              <w:right w:w="160" w:type="dxa"/>
            </w:tcMar>
            <w:vAlign w:val="center"/>
          </w:tcPr>
          <w:p w14:paraId="47936892">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Amount</w:t>
            </w:r>
          </w:p>
        </w:tc>
      </w:tr>
      <w:tr w14:paraId="344A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9CC310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Raw property value today (what a buyer might pay you now)</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7F73510">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r w14:paraId="6F52C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0FC8B40">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completed project value (GDV)</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A847439">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r w14:paraId="4492F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BB4DDB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Estimated net profit after all costs &amp; funding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EA6E200">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r w14:paraId="749C2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0C9B6A5">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13"/>
                <w:rFonts w:hint="default" w:ascii="Calibri" w:hAnsi="Calibri" w:eastAsia="SimSun" w:cs="Calibri"/>
                <w:color w:val="1A1A1A"/>
                <w:sz w:val="21"/>
                <w:szCs w:val="21"/>
                <w:bdr w:val="none" w:color="auto" w:sz="0" w:space="0"/>
              </w:rPr>
              <w:t>Your 20% share of net proceeds (illustrative)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55A6ABB">
            <w:pPr>
              <w:keepNext w:val="0"/>
              <w:keepLines w:val="0"/>
              <w:widowControl/>
              <w:suppressLineNumbers w:val="0"/>
              <w:spacing w:line="23" w:lineRule="atLeast"/>
              <w:jc w:val="left"/>
              <w:textAlignment w:val="top"/>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[R ____]</w:t>
            </w:r>
          </w:p>
        </w:tc>
      </w:tr>
    </w:tbl>
    <w:p w14:paraId="5DAD412F">
      <w:pPr>
        <w:pStyle w:val="12"/>
        <w:keepNext w:val="0"/>
        <w:keepLines w:val="0"/>
        <w:widowControl/>
        <w:suppressLineNumbers w:val="0"/>
        <w:spacing w:before="200" w:beforeAutospacing="0" w:after="200" w:afterAutospacing="0" w:line="23" w:lineRule="atLeast"/>
        <w:ind w:left="0" w:right="0"/>
      </w:pPr>
      <w:r>
        <w:rPr>
          <w:rFonts w:hint="default" w:ascii="Calibri" w:hAnsi="Calibri" w:cs="Calibri"/>
          <w:color w:val="1A1A1A"/>
          <w:sz w:val="22"/>
          <w:szCs w:val="22"/>
          <w:shd w:val="clear" w:fill="FAF6EC"/>
        </w:rPr>
        <w:t>The point: a 20% stake in a completed project frequently exceeds what you would receive from selling the property or land outright — with none of your own money at risk.</w:t>
      </w:r>
    </w:p>
    <w:p w14:paraId="4B6E2DB9">
      <w:pPr>
        <w:pStyle w:val="3"/>
        <w:keepNext w:val="0"/>
        <w:keepLines w:val="0"/>
        <w:widowControl/>
        <w:suppressLineNumbers w:val="0"/>
        <w:spacing w:line="23" w:lineRule="atLeast"/>
      </w:pPr>
      <w:r>
        <w:t>The Partnership Terms (Plain-Language Summary)</w:t>
      </w:r>
    </w:p>
    <w:p w14:paraId="56817296">
      <w:pPr>
        <w:pStyle w:val="1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The full legal terms are in the </w:t>
      </w:r>
      <w:r>
        <w:rPr>
          <w:rStyle w:val="10"/>
          <w:rFonts w:hint="default" w:ascii="Calibri" w:hAnsi="Calibri" w:cs="Calibri"/>
          <w:color w:val="1A1A1A"/>
          <w:sz w:val="22"/>
          <w:szCs w:val="22"/>
        </w:rPr>
        <w:t>Property / Land Contribution &amp; Development Partnership Agreement</w:t>
      </w:r>
      <w:r>
        <w:rPr>
          <w:rFonts w:hint="default" w:ascii="Calibri" w:hAnsi="Calibri" w:cs="Calibri"/>
          <w:color w:val="1A1A1A"/>
          <w:sz w:val="22"/>
          <w:szCs w:val="22"/>
        </w:rPr>
        <w:t xml:space="preserve">, which you will sign electronically on the app. In plain language, the key terms are: </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4"/>
        <w:gridCol w:w="5481"/>
      </w:tblGrid>
      <w:tr w14:paraId="1F04C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shd w:val="clear" w:color="auto" w:fill="7A5118"/>
            <w:tcMar>
              <w:top w:w="120" w:type="dxa"/>
              <w:left w:w="160" w:type="dxa"/>
              <w:bottom w:w="120" w:type="dxa"/>
              <w:right w:w="160" w:type="dxa"/>
            </w:tcMar>
            <w:vAlign w:val="center"/>
          </w:tcPr>
          <w:p w14:paraId="50BB0917">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Term</w:t>
            </w:r>
          </w:p>
        </w:tc>
        <w:tc>
          <w:tcPr>
            <w:tcW w:w="0" w:type="auto"/>
            <w:shd w:val="clear" w:color="auto" w:fill="7A5118"/>
            <w:tcMar>
              <w:top w:w="120" w:type="dxa"/>
              <w:left w:w="160" w:type="dxa"/>
              <w:bottom w:w="120" w:type="dxa"/>
              <w:right w:w="160" w:type="dxa"/>
            </w:tcMar>
            <w:vAlign w:val="center"/>
          </w:tcPr>
          <w:p w14:paraId="6FA6A08B">
            <w:pPr>
              <w:keepNext w:val="0"/>
              <w:keepLines w:val="0"/>
              <w:widowControl/>
              <w:suppressLineNumbers w:val="0"/>
              <w:spacing w:line="23"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What it means</w:t>
            </w:r>
          </w:p>
        </w:tc>
      </w:tr>
      <w:tr w14:paraId="6AC75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342483D">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Exclusive contribution undertaking &amp; mandate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1488225">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 irrevocably undertake to contribute the property into the SPV and grant Investprop the exclusive, irrevocable mandate to develop, renovate or flip it through the SPV, so we can commit real money and time with confidence.</w:t>
            </w:r>
          </w:p>
        </w:tc>
      </w:tr>
      <w:tr w14:paraId="00125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77DA1F5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Exclusivity / lock-out</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0A5515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While we are working on the project you won’t sell, encumber or shop the property to others.</w:t>
            </w:r>
          </w:p>
        </w:tc>
      </w:tr>
      <w:tr w14:paraId="0CFFE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C6D39B9">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Interest noted against title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845395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Our interest may be registered against the property’s title to protect the work we are funding.</w:t>
            </w:r>
          </w:p>
        </w:tc>
      </w:tr>
      <w:tr w14:paraId="4F8C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DBCFD0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Power of attorney</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A1E0442">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 authorise us to sign the planning, municipal and transfer documents needed to progress the project.</w:t>
            </w:r>
          </w:p>
        </w:tc>
      </w:tr>
      <w:tr w14:paraId="1364E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D8439E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 contribute only the property</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D482F3B">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No cash from you, ever. You receive 20% of the SPV; we and our co-investors hold 80%.</w:t>
            </w:r>
          </w:p>
        </w:tc>
      </w:tr>
      <w:tr w14:paraId="7D77B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30FABCD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We do everything</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89EEE26">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Funding, approvals, professional team, construction and sales are all our responsibility and at our risk.</w:t>
            </w:r>
          </w:p>
        </w:tc>
      </w:tr>
      <w:tr w14:paraId="530BC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159A6D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Protection of our spend</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5A11CE5C">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If you withdraw or breach after we’ve started spending, you reimburse our costs and a break fee, and any value uplift we created — so neither side walks away from work already done.</w:t>
            </w:r>
          </w:p>
        </w:tc>
      </w:tr>
      <w:tr w14:paraId="0EE44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F6F3D04">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Transparent distributions</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46220113">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Proceeds repay funding and costs first, then are shared pro-rata — your 20% included.</w:t>
            </w:r>
          </w:p>
        </w:tc>
      </w:tr>
      <w:tr w14:paraId="09D18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3CECD01">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Your return isn’t guaranteed</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FF00B9E">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Like any equity, your return depends on the project outcome. This is a partnership, not a loan.</w:t>
            </w:r>
          </w:p>
        </w:tc>
      </w:tr>
      <w:tr w14:paraId="33D28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1A23E4D7">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POPIA &amp; electronic signature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0F1D5568">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Your information is processed lawfully for the project; the agreement is signed electronically and is binding.</w:t>
            </w:r>
          </w:p>
        </w:tc>
      </w:tr>
      <w:tr w14:paraId="13D05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611C0E4F">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Independent advice</w:t>
            </w:r>
          </w:p>
        </w:tc>
        <w:tc>
          <w:tcPr>
            <w:tcW w:w="0" w:type="auto"/>
            <w:tcBorders>
              <w:top w:val="single" w:color="CFCFCF" w:sz="6" w:space="0"/>
              <w:left w:val="single" w:color="CFCFCF" w:sz="6" w:space="0"/>
              <w:bottom w:val="single" w:color="CFCFCF" w:sz="6" w:space="0"/>
              <w:right w:val="single" w:color="CFCFCF" w:sz="6" w:space="0"/>
            </w:tcBorders>
            <w:shd w:val="clear"/>
            <w:tcMar>
              <w:top w:w="120" w:type="dxa"/>
              <w:left w:w="160" w:type="dxa"/>
              <w:bottom w:w="120" w:type="dxa"/>
              <w:right w:w="160" w:type="dxa"/>
            </w:tcMar>
            <w:vAlign w:val="top"/>
          </w:tcPr>
          <w:p w14:paraId="209F546A">
            <w:pPr>
              <w:keepNext w:val="0"/>
              <w:keepLines w:val="0"/>
              <w:widowControl/>
              <w:suppressLineNumbers w:val="0"/>
              <w:spacing w:line="23" w:lineRule="atLeast"/>
              <w:jc w:val="left"/>
              <w:textAlignment w:val="top"/>
              <w:rPr>
                <w:rFonts w:hint="default" w:ascii="Calibri" w:hAnsi="Calibri" w:cs="Calibri"/>
                <w:color w:val="1A1A1A"/>
                <w:sz w:val="21"/>
                <w:szCs w:val="21"/>
              </w:rPr>
            </w:pPr>
            <w:r>
              <w:rPr>
                <w:rFonts w:hint="default" w:ascii="Calibri" w:hAnsi="Calibri" w:eastAsia="SimSun" w:cs="Calibri"/>
                <w:color w:val="1A1A1A"/>
                <w:sz w:val="21"/>
                <w:szCs w:val="21"/>
                <w:bdr w:val="none" w:color="auto" w:sz="0" w:space="0"/>
              </w:rPr>
              <w:t>You are encouraged to obtain independent legal advice before signing. We want an informed, willing partner.</w:t>
            </w:r>
          </w:p>
        </w:tc>
      </w:tr>
    </w:tbl>
    <w:p w14:paraId="2444E676">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This summary is for convenience only; the signed agreement governs. Nothing in this proposal is an offer capable of acceptance, financial advice, or a guarantee of return. </w:t>
      </w:r>
    </w:p>
    <w:p w14:paraId="4B8611B3">
      <w:pPr>
        <w:pStyle w:val="3"/>
        <w:keepNext w:val="0"/>
        <w:keepLines w:val="0"/>
        <w:widowControl/>
        <w:suppressLineNumbers w:val="0"/>
        <w:spacing w:line="23" w:lineRule="atLeast"/>
      </w:pPr>
      <w:r>
        <w:t>Next Steps</w:t>
      </w:r>
    </w:p>
    <w:p w14:paraId="1FBCA1D9">
      <w:pPr>
        <w:keepNext w:val="0"/>
        <w:keepLines w:val="0"/>
        <w:widowControl/>
        <w:numPr>
          <w:ilvl w:val="0"/>
          <w:numId w:val="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Confirm the property details above.</w:t>
      </w:r>
    </w:p>
    <w:p w14:paraId="759C61FA">
      <w:pPr>
        <w:keepNext w:val="0"/>
        <w:keepLines w:val="0"/>
        <w:widowControl/>
        <w:numPr>
          <w:ilvl w:val="0"/>
          <w:numId w:val="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We complete a feasibility review and share the numbers with you.</w:t>
      </w:r>
    </w:p>
    <w:p w14:paraId="31F6EAF1">
      <w:pPr>
        <w:keepNext w:val="0"/>
        <w:keepLines w:val="0"/>
        <w:widowControl/>
        <w:numPr>
          <w:ilvl w:val="0"/>
          <w:numId w:val="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We send you the pre-filled partnership agreement to review and sign on the app.</w:t>
      </w:r>
    </w:p>
    <w:p w14:paraId="3E6C46EF">
      <w:pPr>
        <w:keepNext w:val="0"/>
        <w:keepLines w:val="0"/>
        <w:widowControl/>
        <w:numPr>
          <w:ilvl w:val="0"/>
          <w:numId w:val="2"/>
        </w:numPr>
        <w:suppressLineNumbers w:val="0"/>
        <w:spacing w:before="0" w:beforeAutospacing="1" w:after="100" w:afterAutospacing="0" w:line="23" w:lineRule="atLeast"/>
        <w:ind w:left="0" w:hanging="360"/>
      </w:pPr>
      <w:r>
        <w:rPr>
          <w:rFonts w:hint="default" w:ascii="Calibri" w:hAnsi="Calibri" w:cs="Calibri"/>
          <w:color w:val="1A1A1A"/>
          <w:sz w:val="22"/>
          <w:szCs w:val="22"/>
          <w:bdr w:val="none" w:color="auto" w:sz="0" w:space="0"/>
        </w:rPr>
        <w:t>We incorporate the SPV, contribute the property, and begin the project.</w:t>
      </w:r>
    </w:p>
    <w:p w14:paraId="11678C74">
      <w:pPr>
        <w:pStyle w:val="12"/>
        <w:keepNext w:val="0"/>
        <w:keepLines w:val="0"/>
        <w:widowControl/>
        <w:suppressLineNumbers w:val="0"/>
        <w:spacing w:beforeAutospacing="1" w:afterAutospacing="1" w:line="23" w:lineRule="atLeast"/>
      </w:pPr>
      <w:r>
        <w:rPr>
          <w:rFonts w:hint="default" w:ascii="Calibri" w:hAnsi="Calibri" w:cs="Calibri"/>
          <w:color w:val="1A1A1A"/>
          <w:sz w:val="22"/>
          <w:szCs w:val="22"/>
        </w:rPr>
        <w:t xml:space="preserve">We would welcome the opportunity to partner with you. If you have any questions, please contact </w:t>
      </w:r>
      <w:r>
        <w:rPr>
          <w:rStyle w:val="29"/>
          <w:rFonts w:hint="default" w:ascii="Calibri" w:hAnsi="Calibri" w:cs="Calibri"/>
          <w:sz w:val="22"/>
          <w:szCs w:val="22"/>
        </w:rPr>
        <w:t>[Your Name]</w:t>
      </w:r>
      <w:r>
        <w:rPr>
          <w:rFonts w:hint="default" w:ascii="Calibri" w:hAnsi="Calibri" w:cs="Calibri"/>
          <w:color w:val="1A1A1A"/>
          <w:sz w:val="22"/>
          <w:szCs w:val="22"/>
        </w:rPr>
        <w:t xml:space="preserve"> on </w:t>
      </w:r>
      <w:r>
        <w:rPr>
          <w:rStyle w:val="29"/>
          <w:rFonts w:hint="default" w:ascii="Calibri" w:hAnsi="Calibri" w:cs="Calibri"/>
          <w:sz w:val="22"/>
          <w:szCs w:val="22"/>
        </w:rPr>
        <w:t>[Phone]</w:t>
      </w:r>
      <w:r>
        <w:rPr>
          <w:rFonts w:hint="default" w:ascii="Calibri" w:hAnsi="Calibri" w:cs="Calibri"/>
          <w:color w:val="1A1A1A"/>
          <w:sz w:val="22"/>
          <w:szCs w:val="22"/>
        </w:rPr>
        <w:t xml:space="preserve"> or </w:t>
      </w:r>
      <w:r>
        <w:rPr>
          <w:rStyle w:val="29"/>
          <w:rFonts w:hint="default" w:ascii="Calibri" w:hAnsi="Calibri" w:cs="Calibri"/>
          <w:sz w:val="22"/>
          <w:szCs w:val="22"/>
        </w:rPr>
        <w:t>[Email]</w:t>
      </w:r>
      <w:r>
        <w:rPr>
          <w:rFonts w:hint="default" w:ascii="Calibri" w:hAnsi="Calibri" w:cs="Calibri"/>
          <w:color w:val="1A1A1A"/>
          <w:sz w:val="22"/>
          <w:szCs w:val="22"/>
        </w:rPr>
        <w:t xml:space="preserve">. </w:t>
      </w:r>
    </w:p>
    <w:p w14:paraId="56A4AF86">
      <w:pPr>
        <w:pStyle w:val="12"/>
        <w:keepNext w:val="0"/>
        <w:keepLines w:val="0"/>
        <w:widowControl/>
        <w:suppressLineNumbers w:val="0"/>
        <w:spacing w:before="280" w:beforeAutospacing="0" w:afterAutospacing="1" w:line="23" w:lineRule="atLeast"/>
      </w:pPr>
      <w:r>
        <w:rPr>
          <w:rFonts w:hint="default" w:ascii="Calibri" w:hAnsi="Calibri" w:cs="Calibri"/>
          <w:color w:val="1A1A1A"/>
          <w:sz w:val="22"/>
          <w:szCs w:val="22"/>
        </w:rPr>
        <w:t>Yours sincerely,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98"/>
        <w:gridCol w:w="4198"/>
      </w:tblGrid>
      <w:tr w14:paraId="21173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480" w:type="dxa"/>
              <w:left w:w="0" w:type="dxa"/>
              <w:bottom w:w="80" w:type="dxa"/>
              <w:right w:w="240" w:type="dxa"/>
            </w:tcMar>
            <w:vAlign w:val="center"/>
          </w:tcPr>
          <w:p w14:paraId="27426654">
            <w:pPr>
              <w:keepNext w:val="0"/>
              <w:keepLines w:val="0"/>
              <w:widowControl/>
              <w:suppressLineNumbers w:val="0"/>
              <w:pBdr>
                <w:top w:val="single" w:color="333333" w:sz="6" w:space="3"/>
                <w:left w:val="none" w:color="auto" w:sz="0" w:space="0"/>
                <w:bottom w:val="none" w:color="auto" w:sz="0" w:space="0"/>
                <w:right w:val="none" w:color="auto" w:sz="0" w:space="0"/>
              </w:pBdr>
              <w:spacing w:line="23" w:lineRule="atLeast"/>
              <w:jc w:val="left"/>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[Your Name]</w:t>
            </w:r>
          </w:p>
          <w:p w14:paraId="034D97BF">
            <w:pPr>
              <w:keepNext w:val="0"/>
              <w:keepLines w:val="0"/>
              <w:widowControl/>
              <w:suppressLineNumbers w:val="0"/>
              <w:spacing w:line="23" w:lineRule="atLeast"/>
              <w:jc w:val="left"/>
              <w:rPr>
                <w:rFonts w:hint="default" w:ascii="Calibri" w:hAnsi="Calibri" w:cs="Calibri"/>
                <w:color w:val="1A1A1A"/>
                <w:sz w:val="21"/>
                <w:szCs w:val="21"/>
              </w:rPr>
            </w:pPr>
            <w:r>
              <w:rPr>
                <w:rStyle w:val="29"/>
                <w:rFonts w:hint="default" w:ascii="Calibri" w:hAnsi="Calibri" w:eastAsia="SimSun" w:cs="Calibri"/>
                <w:sz w:val="21"/>
                <w:szCs w:val="21"/>
                <w:bdr w:val="none" w:color="auto" w:sz="0" w:space="0"/>
              </w:rPr>
              <w:t>[Title]</w:t>
            </w:r>
            <w:r>
              <w:rPr>
                <w:rFonts w:hint="default" w:ascii="Calibri" w:hAnsi="Calibri" w:eastAsia="SimSun" w:cs="Calibri"/>
                <w:color w:val="1A1A1A"/>
                <w:sz w:val="21"/>
                <w:szCs w:val="21"/>
                <w:bdr w:val="none" w:color="auto" w:sz="0" w:space="0"/>
              </w:rPr>
              <w:t>, Investprop (Pty) Ltd</w:t>
            </w:r>
          </w:p>
        </w:tc>
        <w:tc>
          <w:tcPr>
            <w:tcW w:w="0" w:type="auto"/>
            <w:shd w:val="clear"/>
            <w:tcMar>
              <w:top w:w="480" w:type="dxa"/>
              <w:left w:w="0" w:type="dxa"/>
              <w:bottom w:w="80" w:type="dxa"/>
              <w:right w:w="240" w:type="dxa"/>
            </w:tcMar>
            <w:vAlign w:val="center"/>
          </w:tcPr>
          <w:p w14:paraId="1B5B1F13">
            <w:pPr>
              <w:rPr>
                <w:rFonts w:hint="default" w:ascii="Calibri" w:hAnsi="Calibri" w:cs="Calibri"/>
                <w:color w:val="1A1A1A"/>
                <w:sz w:val="21"/>
                <w:szCs w:val="21"/>
              </w:rPr>
            </w:pPr>
          </w:p>
        </w:tc>
      </w:tr>
    </w:tbl>
    <w:p w14:paraId="24DD1331">
      <w:pPr>
        <w:keepNext w:val="0"/>
        <w:keepLines w:val="0"/>
        <w:widowControl/>
        <w:suppressLineNumbers w:val="0"/>
        <w:pBdr>
          <w:top w:val="single" w:color="DDDDDD" w:sz="6" w:space="0"/>
          <w:left w:val="none" w:color="auto" w:sz="0" w:space="0"/>
          <w:bottom w:val="none" w:color="auto" w:sz="0" w:space="0"/>
          <w:right w:val="none" w:color="auto" w:sz="0" w:space="0"/>
        </w:pBdr>
        <w:spacing w:before="280" w:beforeAutospacing="0" w:after="280" w:afterAutospacing="0" w:line="23" w:lineRule="atLeast"/>
        <w:ind w:left="0" w:right="0"/>
      </w:pPr>
      <w:r>
        <w:rPr>
          <w:sz w:val="24"/>
          <w:szCs w:val="24"/>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269A30DD">
      <w:pPr>
        <w:pStyle w:val="12"/>
        <w:keepNext w:val="0"/>
        <w:keepLines w:val="0"/>
        <w:widowControl/>
        <w:suppressLineNumbers w:val="0"/>
        <w:spacing w:before="0" w:beforeAutospacing="0" w:after="160" w:afterAutospacing="0" w:line="23" w:lineRule="atLeast"/>
        <w:ind w:left="0" w:right="0"/>
      </w:pPr>
      <w:r>
        <w:rPr>
          <w:rFonts w:hint="default" w:ascii="Calibri" w:hAnsi="Calibri" w:cs="Calibri"/>
          <w:color w:val="1A1A1A"/>
          <w:sz w:val="22"/>
          <w:szCs w:val="22"/>
        </w:rPr>
        <w:t xml:space="preserve">This document is confidential and prepared solely for the named owner. It is an invitation to discuss and does not constitute an offer, financial or legal advice, or a solicitation to invest. Any partnership is subject to due diligence and the signing of definitive written agreements.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25BAB"/>
    <w:multiLevelType w:val="multilevel"/>
    <w:tmpl w:val="AE625B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9640BA0"/>
    <w:multiLevelType w:val="multilevel"/>
    <w:tmpl w:val="49640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017245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80" w:afterAutospacing="0"/>
      <w:ind w:left="0" w:right="0"/>
      <w:jc w:val="left"/>
    </w:pPr>
    <w:rPr>
      <w:rFonts w:hint="eastAsia" w:ascii="SimSun" w:hAnsi="SimSun" w:eastAsia="SimSun" w:cs="SimSun"/>
      <w:b/>
      <w:bCs/>
      <w:color w:val="7A5118"/>
      <w:spacing w:val="-10"/>
      <w:kern w:val="44"/>
      <w:sz w:val="52"/>
      <w:szCs w:val="52"/>
      <w:lang w:val="en-US" w:eastAsia="zh-CN" w:bidi="ar"/>
    </w:rPr>
  </w:style>
  <w:style w:type="paragraph" w:styleId="3">
    <w:name w:val="heading 2"/>
    <w:basedOn w:val="1"/>
    <w:next w:val="1"/>
    <w:semiHidden/>
    <w:unhideWhenUsed/>
    <w:qFormat/>
    <w:uiPriority w:val="0"/>
    <w:pPr>
      <w:pBdr>
        <w:bottom w:val="single" w:color="D4A02E" w:sz="12" w:space="3"/>
      </w:pBdr>
      <w:spacing w:before="400" w:beforeAutospacing="0" w:after="120" w:afterAutospacing="0"/>
      <w:ind w:left="0" w:right="0"/>
      <w:jc w:val="left"/>
    </w:pPr>
    <w:rPr>
      <w:rFonts w:hint="eastAsia" w:ascii="SimSun" w:hAnsi="SimSun" w:eastAsia="SimSun" w:cs="SimSun"/>
      <w:b/>
      <w:bCs/>
      <w:color w:val="7A5118"/>
      <w:kern w:val="0"/>
      <w:sz w:val="30"/>
      <w:szCs w:val="30"/>
      <w:lang w:val="en-US" w:eastAsia="zh-CN" w:bidi="ar"/>
    </w:rPr>
  </w:style>
  <w:style w:type="paragraph" w:styleId="4">
    <w:name w:val="heading 3"/>
    <w:basedOn w:val="1"/>
    <w:next w:val="1"/>
    <w:semiHidden/>
    <w:unhideWhenUsed/>
    <w:qFormat/>
    <w:uiPriority w:val="0"/>
    <w:pPr>
      <w:spacing w:before="280" w:beforeAutospacing="0" w:after="80" w:afterAutospacing="0"/>
      <w:ind w:left="0" w:right="0"/>
      <w:jc w:val="left"/>
    </w:pPr>
    <w:rPr>
      <w:rFonts w:hint="eastAsia" w:ascii="SimSun" w:hAnsi="SimSun" w:eastAsia="SimSun" w:cs="SimSun"/>
      <w:b/>
      <w:bCs/>
      <w:color w:val="111318"/>
      <w:kern w:val="0"/>
      <w:sz w:val="25"/>
      <w:szCs w:val="25"/>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jc w:val="left"/>
    </w:pPr>
    <w:rPr>
      <w:color w:val="111318"/>
      <w:kern w:val="0"/>
      <w:lang w:val="en-US" w:eastAsia="zh-CN" w:bidi="ar"/>
    </w:rPr>
  </w:style>
  <w:style w:type="character" w:styleId="13">
    <w:name w:val="Strong"/>
    <w:basedOn w:val="8"/>
    <w:qFormat/>
    <w:uiPriority w:val="0"/>
    <w:rPr>
      <w:b/>
      <w:bCs/>
    </w:rPr>
  </w:style>
  <w:style w:type="paragraph" w:customStyle="1" w:styleId="14">
    <w:name w:val="callout"/>
    <w:basedOn w:val="1"/>
    <w:uiPriority w:val="0"/>
    <w:pPr>
      <w:pBdr>
        <w:top w:val="none" w:color="auto" w:sz="0" w:space="0"/>
        <w:left w:val="single" w:color="D4A02E" w:sz="24" w:space="12"/>
        <w:bottom w:val="none" w:color="auto" w:sz="0" w:space="0"/>
        <w:right w:val="none" w:color="auto" w:sz="0" w:space="0"/>
      </w:pBdr>
      <w:shd w:val="clear" w:fill="FAF6EC"/>
      <w:spacing w:before="200" w:beforeAutospacing="0" w:after="200" w:afterAutospacing="0"/>
      <w:ind w:left="0" w:right="0"/>
      <w:jc w:val="left"/>
    </w:pPr>
    <w:rPr>
      <w:kern w:val="0"/>
      <w:lang w:val="en-US" w:eastAsia="zh-CN" w:bidi="ar"/>
    </w:rPr>
  </w:style>
  <w:style w:type="paragraph" w:customStyle="1" w:styleId="15">
    <w:name w:val="p Char"/>
    <w:basedOn w:val="1"/>
    <w:uiPriority w:val="0"/>
    <w:pPr>
      <w:spacing w:before="0" w:beforeAutospacing="0" w:after="160" w:afterAutospacing="0"/>
      <w:ind w:left="0" w:right="0"/>
      <w:jc w:val="left"/>
    </w:pPr>
    <w:rPr>
      <w:color w:val="111318"/>
      <w:kern w:val="0"/>
      <w:lang w:val="en-US" w:eastAsia="zh-CN" w:bidi="ar"/>
    </w:rPr>
  </w:style>
  <w:style w:type="paragraph" w:customStyle="1" w:styleId="16">
    <w:name w:val="grid2"/>
    <w:basedOn w:val="1"/>
    <w:uiPriority w:val="0"/>
    <w:pPr>
      <w:jc w:val="left"/>
    </w:pPr>
    <w:rPr>
      <w:kern w:val="0"/>
      <w:lang w:val="en-US" w:eastAsia="zh-CN" w:bidi="ar"/>
    </w:rPr>
  </w:style>
  <w:style w:type="paragraph" w:customStyle="1" w:styleId="17">
    <w:name w:val="big"/>
    <w:basedOn w:val="1"/>
    <w:uiPriority w:val="0"/>
    <w:pPr>
      <w:jc w:val="left"/>
    </w:pPr>
    <w:rPr>
      <w:b/>
      <w:bCs/>
      <w:color w:val="7A5118"/>
      <w:kern w:val="0"/>
      <w:sz w:val="30"/>
      <w:szCs w:val="30"/>
      <w:lang w:val="en-US" w:eastAsia="zh-CN" w:bidi="ar"/>
    </w:rPr>
  </w:style>
  <w:style w:type="paragraph" w:customStyle="1" w:styleId="18">
    <w:name w:val="confidential"/>
    <w:basedOn w:val="1"/>
    <w:uiPriority w:val="0"/>
    <w:pPr>
      <w:jc w:val="left"/>
    </w:pPr>
    <w:rPr>
      <w:caps/>
      <w:color w:val="6B6B6B"/>
      <w:spacing w:val="20"/>
      <w:kern w:val="0"/>
      <w:sz w:val="18"/>
      <w:szCs w:val="18"/>
      <w:lang w:val="en-US" w:eastAsia="zh-CN" w:bidi="ar"/>
    </w:rPr>
  </w:style>
  <w:style w:type="paragraph" w:customStyle="1" w:styleId="19">
    <w:name w:val="i"/>
    <w:basedOn w:val="1"/>
    <w:uiPriority w:val="0"/>
    <w:pPr>
      <w:jc w:val="left"/>
    </w:pPr>
    <w:rPr>
      <w:color w:val="96691A"/>
      <w:kern w:val="0"/>
      <w:lang w:val="en-US" w:eastAsia="zh-CN" w:bidi="ar"/>
    </w:rPr>
  </w:style>
  <w:style w:type="paragraph" w:customStyle="1" w:styleId="20">
    <w:name w:val="pagebreak"/>
    <w:basedOn w:val="1"/>
    <w:uiPriority w:val="0"/>
    <w:pPr>
      <w:pageBreakBefore/>
      <w:jc w:val="left"/>
    </w:pPr>
    <w:rPr>
      <w:kern w:val="0"/>
      <w:lang w:val="en-US" w:eastAsia="zh-CN" w:bidi="ar"/>
    </w:rPr>
  </w:style>
  <w:style w:type="paragraph" w:customStyle="1" w:styleId="21">
    <w:name w:val="small"/>
    <w:basedOn w:val="1"/>
    <w:uiPriority w:val="0"/>
    <w:pPr>
      <w:jc w:val="left"/>
    </w:pPr>
    <w:rPr>
      <w:kern w:val="0"/>
      <w:sz w:val="19"/>
      <w:szCs w:val="19"/>
      <w:lang w:val="en-US" w:eastAsia="zh-CN" w:bidi="ar"/>
    </w:rPr>
  </w:style>
  <w:style w:type="paragraph" w:customStyle="1" w:styleId="22">
    <w:name w:val="muted"/>
    <w:basedOn w:val="1"/>
    <w:uiPriority w:val="0"/>
    <w:pPr>
      <w:jc w:val="left"/>
    </w:pPr>
    <w:rPr>
      <w:color w:val="4A4A4A"/>
      <w:kern w:val="0"/>
      <w:lang w:val="en-US" w:eastAsia="zh-CN" w:bidi="ar"/>
    </w:rPr>
  </w:style>
  <w:style w:type="paragraph" w:customStyle="1" w:styleId="23">
    <w:name w:val="eyebrow"/>
    <w:basedOn w:val="1"/>
    <w:uiPriority w:val="0"/>
    <w:pPr>
      <w:jc w:val="left"/>
    </w:pPr>
    <w:rPr>
      <w:b/>
      <w:bCs/>
      <w:caps/>
      <w:color w:val="7A5118"/>
      <w:spacing w:val="30"/>
      <w:kern w:val="0"/>
      <w:sz w:val="20"/>
      <w:szCs w:val="20"/>
      <w:lang w:val="en-US" w:eastAsia="zh-CN" w:bidi="ar"/>
    </w:rPr>
  </w:style>
  <w:style w:type="paragraph" w:customStyle="1" w:styleId="24">
    <w:name w:val="fill"/>
    <w:basedOn w:val="1"/>
    <w:uiPriority w:val="0"/>
    <w:pPr>
      <w:jc w:val="left"/>
    </w:pPr>
    <w:rPr>
      <w:b/>
      <w:bCs/>
      <w:color w:val="B45309"/>
      <w:kern w:val="0"/>
      <w:lang w:val="en-US" w:eastAsia="zh-CN" w:bidi="ar"/>
    </w:rPr>
  </w:style>
  <w:style w:type="paragraph" w:customStyle="1" w:styleId="25">
    <w:name w:val="card"/>
    <w:basedOn w:val="1"/>
    <w:uiPriority w:val="0"/>
    <w:pPr>
      <w:pBdr>
        <w:top w:val="single" w:color="E3D9C3" w:sz="6" w:space="10"/>
        <w:left w:val="single" w:color="E3D9C3" w:sz="6" w:space="12"/>
        <w:bottom w:val="single" w:color="E3D9C3" w:sz="6" w:space="10"/>
        <w:right w:val="single" w:color="E3D9C3" w:sz="6" w:space="12"/>
      </w:pBdr>
      <w:shd w:val="clear" w:fill="FFFDF8"/>
      <w:spacing w:before="120" w:beforeAutospacing="0" w:after="120" w:afterAutospacing="0"/>
      <w:ind w:left="0" w:right="0"/>
      <w:jc w:val="left"/>
    </w:pPr>
    <w:rPr>
      <w:kern w:val="0"/>
      <w:lang w:val="en-US" w:eastAsia="zh-CN" w:bidi="ar"/>
    </w:rPr>
  </w:style>
  <w:style w:type="paragraph" w:customStyle="1" w:styleId="26">
    <w:name w:val="line"/>
    <w:basedOn w:val="1"/>
    <w:uiPriority w:val="0"/>
    <w:pPr>
      <w:pBdr>
        <w:top w:val="single" w:color="333333" w:sz="6" w:space="3"/>
      </w:pBdr>
      <w:jc w:val="left"/>
    </w:pPr>
    <w:rPr>
      <w:kern w:val="0"/>
      <w:lang w:val="en-US" w:eastAsia="zh-CN" w:bidi="ar"/>
    </w:rPr>
  </w:style>
  <w:style w:type="paragraph" w:customStyle="1" w:styleId="27">
    <w:name w:val="num"/>
    <w:basedOn w:val="1"/>
    <w:uiPriority w:val="0"/>
    <w:pPr>
      <w:spacing w:line="15" w:lineRule="atLeast"/>
      <w:jc w:val="left"/>
    </w:pPr>
    <w:rPr>
      <w:b/>
      <w:bCs/>
      <w:color w:val="D4A02E"/>
      <w:kern w:val="0"/>
      <w:sz w:val="48"/>
      <w:szCs w:val="48"/>
      <w:lang w:val="en-US" w:eastAsia="zh-CN" w:bidi="ar"/>
    </w:rPr>
  </w:style>
  <w:style w:type="character" w:customStyle="1" w:styleId="28">
    <w:name w:val="i1"/>
    <w:uiPriority w:val="0"/>
    <w:rPr>
      <w:color w:val="96691A"/>
    </w:rPr>
  </w:style>
  <w:style w:type="character" w:customStyle="1" w:styleId="29">
    <w:name w:val="fill1"/>
    <w:uiPriority w:val="0"/>
    <w:rPr>
      <w:b/>
      <w:bCs/>
      <w:color w:val="B45309"/>
    </w:rPr>
  </w:style>
  <w:style w:type="character" w:customStyle="1" w:styleId="30">
    <w:name w:val="num1"/>
    <w:uiPriority w:val="0"/>
    <w:rPr>
      <w:b/>
      <w:bCs/>
      <w:color w:val="D4A02E"/>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2026-10-27T21:23:57Z</dcterms:created>
  <cp:lastModifiedBy>Thapelo</cp:lastModifiedBy>
  <dcterms:modified xsi:type="dcterms:W3CDTF">2026-10-27T21:23:58Z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CDE074B2AF4E4BD2871DA76277D0441A_13</vt:lpwstr>
  </property>
</Properties>
</file>