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/>
        <w:jc w:val="center"/>
      </w:pPr>
      <w:r>
        <w:rPr>
          <w:rFonts w:ascii="Arial" w:hAnsi="Arial" w:eastAsia="黑体"/>
          <w:b/>
          <w:bCs/>
          <w:sz w:val="36"/>
          <w:szCs w:val="36"/>
        </w:rPr>
        <w:t xml:space="preserve">CAN FD 控制器 IP 验证报告</w:t>
      </w:r>
    </w:p>
    <w:p>
      <w:pPr>
        <w:spacing w:before="0" w:after="120"/>
        <w:jc w:val="center"/>
      </w:pPr>
      <w:r>
        <w:rPr>
          <w:rFonts w:ascii="Arial" w:hAnsi="Arial" w:eastAsia="黑体"/>
          <w:sz w:val="24"/>
          <w:szCs w:val="24"/>
        </w:rPr>
        <w:t xml:space="preserve">CAN FD Controller IP Verification Report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/>
          <w:bCs/>
          <w:sz w:val="24"/>
          <w:szCs w:val="24"/>
        </w:rPr>
        <w:t xml:space="preserve">验证方法学 · 验证环境 · VIP · 测试列表 · 覆盖率验收标准</w:t>
      </w:r>
    </w:p>
    <w:p>
      <w:pPr>
        <w:spacing w:before="240" w:after="120"/>
      </w:pPr>
      <w:r>
        <w:rPr>
          <w:rFonts w:ascii="Arial" w:hAnsi="Arial" w:eastAsia="黑体"/>
          <w:b/>
          <w:bCs/>
          <w:color w:val="000000"/>
          <w:sz w:val="32"/>
          <w:szCs w:val="32"/>
        </w:rPr>
        <w:t xml:space="preserve">文档信息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1814"/>
        <w:gridCol w:w="7088"/>
      </w:tblGrid>
      <w:tr>
        <w:tc>
          <w:tcPr>
            <w:tcW w:w="1814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w="7088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文档名称</w:t>
            </w:r>
          </w:p>
        </w:tc>
        <w:tc>
          <w:tcPr>
            <w:tcW w:w="70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 FD 控制器 IP 验证报告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文档版本</w:t>
            </w:r>
          </w:p>
        </w:tc>
        <w:tc>
          <w:tcPr>
            <w:tcW w:w="70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验证对象</w:t>
            </w:r>
          </w:p>
        </w:tc>
        <w:tc>
          <w:tcPr>
            <w:tcW w:w="70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 FD Controller IP（自定义控制器，参照 AMD/Xilinx PG223 v3.0 + 自定义增强）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方法学</w:t>
            </w:r>
          </w:p>
        </w:tc>
        <w:tc>
          <w:tcPr>
            <w:tcW w:w="70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UVM 1.2（覆盖率驱动验证 CDV + 约束随机 + 参考模型自检）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仿真工具</w:t>
            </w:r>
          </w:p>
        </w:tc>
        <w:tc>
          <w:tcPr>
            <w:tcW w:w="70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Synopsys VCS / Verdi vN-2017.12-SP2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编写日期</w:t>
            </w:r>
          </w:p>
        </w:tc>
        <w:tc>
          <w:tcPr>
            <w:tcW w:w="70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2026-10-12</w:t>
            </w:r>
          </w:p>
        </w:tc>
      </w:tr>
      <w:tr>
        <w:tc>
          <w:tcPr>
            <w:tcW w:w="181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状态</w:t>
            </w:r>
          </w:p>
        </w:tc>
        <w:tc>
          <w:tcPr>
            <w:tcW w:w="70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成熟环境 · 完整回归 · 覆盖率 · CI</w:t>
            </w:r>
          </w:p>
        </w:tc>
      </w:tr>
    </w:tbl>
    <w:p>
      <w:pPr>
        <w:spacing w:before="240" w:after="120"/>
      </w:pPr>
      <w:r>
        <w:rPr>
          <w:rFonts w:ascii="Arial" w:hAnsi="Arial" w:eastAsia="黑体"/>
          <w:b/>
          <w:bCs/>
          <w:color w:val="000000"/>
          <w:sz w:val="32"/>
          <w:szCs w:val="32"/>
        </w:rPr>
        <w:t xml:space="preserve">1. 概述</w:t>
      </w:r>
    </w:p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1.1 验证对象</w:t>
      </w:r>
    </w:p>
    <w:p>
      <w:pPr>
        <w:spacing w:before="0" w:after="60"/>
      </w:pPr>
      <w:r>
        <w:rPr>
          <w:rFonts w:ascii="Times New Roman" w:hAnsi="Times New Roman" w:eastAsia="宋体"/>
          <w:sz w:val="21"/>
          <w:szCs w:val="21"/>
        </w:rPr>
        <w:t xml:space="preserve">被验证对象为 CAN FD 控制器 IP，符合 ISO 11898-1:2015 数据链路层与物理信令规范。该 IP 参照 AMD/Xilinx PG223 CAN FD v3.0 LogiCORE IP 设计，并在此基础上增加 SPI 接口、外部时钟失效检测、时钟输出、ECC/SECDED 加固、32 位时间戳、可配置中断输出等自定义增强。</w:t>
      </w:r>
    </w:p>
    <w:p>
      <w:pPr>
        <w:spacing w:before="0" w:after="6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核心特性：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双协议：同时支持经典 CAN（CAN 2.0A/B）与 CAN FD 帧格式（0~64 字节数据）；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双速率：标称段最高 1 Mb/s，快速数据段（Data Phase）最高 8 Mb/s；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发送器延迟补偿 TDC（TDCOFF 0~3 数据位）；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TX 邮箱缓冲器 8/16/32 可配置；RX 支持 FIFO / Mailbox 两种模式；双 RX FIFO（64 深）各配 32 组 ID 滤波掩码对；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最低 ID 优先仲裁 + TX 消息取消（TCR）；快速数据段独立错误记录（F_BERR/F_STER/F_FMER/F_CRCER）；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时间戳：16 位计数器（TSR）+ 32 位计数器（TS32）+ TX/RX SOF 时间戳捕获（TXTS/RXTS）；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多工作模式：DAR、Snoop、Sleep、内部环回、Bus-Off 自动/手动恢复、DPEE；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ECC/SECDED 加固（ECC0~ECC3 + ESR.ECCERR）、运行时 RX 模式切换（MSR.RX_MODE）、可配置中断输出（IMCR）。</w:t>
      </w:r>
    </w:p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1.2 验证目标与范围</w:t>
      </w:r>
    </w:p>
    <w:p>
      <w:pPr>
        <w:spacing w:before="0" w:after="60"/>
      </w:pPr>
      <w:r>
        <w:rPr>
          <w:rFonts w:ascii="Times New Roman" w:hAnsi="Times New Roman" w:eastAsia="宋体"/>
          <w:sz w:val="21"/>
          <w:szCs w:val="21"/>
        </w:rPr>
        <w:t xml:space="preserve">本次验证覆盖：验证功能点（VFPT）80 项、验收测试 52 项、任务书功能点 23 项，并满足任务书要求的代码覆盖率 100%。验证范围包括：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寄存器访问与中断（T 系列）；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CAN 2.0 / CAN FD 收发、仲裁、TX 缓冲器（B 系列）；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边界与压力（C 系列）；错误处理与错误计数（E 系列）；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AXI4-Lite / APB 接口时序与 CDC/复位（I 系列）；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工作模式与 Bus-Off（M 系列）；接收 FIFO/Mailbox 与滤波（R 系列）；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时间戳与 TDC（S 系列）；随机化综合（R_03）。</w:t>
      </w:r>
    </w:p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1.3 参考文档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850"/>
        <w:gridCol w:w="8051"/>
      </w:tblGrid>
      <w:tr>
        <w:tc>
          <w:tcPr>
            <w:tcW w:w="85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w="8051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文档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[1]</w:t>
            </w:r>
          </w:p>
        </w:tc>
        <w:tc>
          <w:tcPr>
            <w:tcW w:w="805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AMD/Xilinx PG223 CAN FD v3.0 LogiCORE IP 产品指南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[2]</w:t>
            </w:r>
          </w:p>
        </w:tc>
        <w:tc>
          <w:tcPr>
            <w:tcW w:w="805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CANFD_Controller_Product_Manual_V1.0（寄存器描述 v2.0 实际设计映射）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[3]</w:t>
            </w:r>
          </w:p>
        </w:tc>
        <w:tc>
          <w:tcPr>
            <w:tcW w:w="805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CANFD_IP_验证功能点.xlsx（VFPT 80 项）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[4]</w:t>
            </w:r>
          </w:p>
        </w:tc>
        <w:tc>
          <w:tcPr>
            <w:tcW w:w="805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CAN_FD_Verification_Report.xlsx（验收测试 52 项）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[5]</w:t>
            </w:r>
          </w:p>
        </w:tc>
        <w:tc>
          <w:tcPr>
            <w:tcW w:w="805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任务书要求验证功能点（23 项）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[6]</w:t>
            </w:r>
          </w:p>
        </w:tc>
        <w:tc>
          <w:tcPr>
            <w:tcW w:w="805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ISO 11898-1:2015 数据链路层与物理信令规范</w:t>
            </w:r>
          </w:p>
        </w:tc>
      </w:tr>
    </w:tbl>
    <w:p>
      <w:pPr>
        <w:spacing w:before="240" w:after="120"/>
      </w:pPr>
      <w:r>
        <w:rPr>
          <w:rFonts w:ascii="Arial" w:hAnsi="Arial" w:eastAsia="黑体"/>
          <w:b/>
          <w:bCs/>
          <w:color w:val="000000"/>
          <w:sz w:val="32"/>
          <w:szCs w:val="32"/>
        </w:rPr>
        <w:t xml:space="preserve">2. 验证方法学</w:t>
      </w:r>
    </w:p>
    <w:p>
      <w:pPr>
        <w:spacing w:before="0" w:after="60"/>
      </w:pPr>
      <w:r>
        <w:rPr>
          <w:rFonts w:ascii="Times New Roman" w:hAnsi="Times New Roman" w:eastAsia="宋体"/>
          <w:sz w:val="21"/>
          <w:szCs w:val="21"/>
        </w:rPr>
        <w:t xml:space="preserve">本环境采用业界主流的 UVM 1.2 验证方法学，结合覆盖率驱动验证（CDV）、约束随机化、参考模型自检与断言验证，形成分层、可复用、可回归的验证体系。</w:t>
      </w:r>
    </w:p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2.1 验证方法学要点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2041"/>
        <w:gridCol w:w="6861"/>
      </w:tblGrid>
      <w:tr>
        <w:tc>
          <w:tcPr>
            <w:tcW w:w="2041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w="6861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204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UVM 1.2</w:t>
            </w:r>
          </w:p>
        </w:tc>
        <w:tc>
          <w:tcPr>
            <w:tcW w:w="68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标准的分层验证框架（agent/sequencer/driver/monitor/scoreboard/env/test），组件可复用、可配置。</w:t>
            </w:r>
          </w:p>
        </w:tc>
      </w:tr>
      <w:tr>
        <w:tc>
          <w:tcPr>
            <w:tcW w:w="204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覆盖率驱动验证 CDV</w:t>
            </w:r>
          </w:p>
        </w:tc>
        <w:tc>
          <w:tcPr>
            <w:tcW w:w="68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以功能覆盖率 + 代码覆盖率驱动激励生成与测试收敛，量化验证完备度。</w:t>
            </w:r>
          </w:p>
        </w:tc>
      </w:tr>
      <w:tr>
        <w:tc>
          <w:tcPr>
            <w:tcW w:w="204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约束随机化</w:t>
            </w:r>
          </w:p>
        </w:tc>
        <w:tc>
          <w:tcPr>
            <w:tcW w:w="68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在 B/C/E/R/S 系列用例中采用 constrained-random 生成帧 ID/DLC/数据/波特率组合，扩大激励空间。</w:t>
            </w:r>
          </w:p>
        </w:tc>
      </w:tr>
      <w:tr>
        <w:tc>
          <w:tcPr>
            <w:tcW w:w="204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参考模型自检</w:t>
            </w:r>
          </w:p>
        </w:tc>
        <w:tc>
          <w:tcPr>
            <w:tcW w:w="68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canfd_ref_model 维护全部寄存器状态与期望 TX 帧，scoreboard 逐字段比对，实现自动结果判定。</w:t>
            </w:r>
          </w:p>
        </w:tc>
      </w:tr>
      <w:tr>
        <w:tc>
          <w:tcPr>
            <w:tcW w:w="204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断言验证 SVA</w:t>
            </w:r>
          </w:p>
        </w:tc>
        <w:tc>
          <w:tcPr>
            <w:tcW w:w="68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在 sva/ 层对关键接口时序（AXI4-Lite 握手、CAN 帧时序、CDC 同步）做属性断言。</w:t>
            </w:r>
          </w:p>
        </w:tc>
      </w:tr>
      <w:tr>
        <w:tc>
          <w:tcPr>
            <w:tcW w:w="204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回归测试</w:t>
            </w:r>
          </w:p>
        </w:tc>
        <w:tc>
          <w:tcPr>
            <w:tcW w:w="68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Jenkins Pipeline + xrun 脚本实现编译/仿真/覆盖率/报告的自动化回归与并行执行。</w:t>
            </w:r>
          </w:p>
        </w:tc>
      </w:tr>
    </w:tbl>
    <w:p>
      <w:pPr>
        <w:spacing w:before="240" w:after="120"/>
      </w:pPr>
      <w:r>
        <w:rPr>
          <w:rFonts w:ascii="Arial" w:hAnsi="Arial" w:eastAsia="黑体"/>
          <w:b/>
          <w:bCs/>
          <w:color w:val="000000"/>
          <w:sz w:val="32"/>
          <w:szCs w:val="32"/>
        </w:rPr>
        <w:t xml:space="preserve">3. 验证环境</w:t>
      </w:r>
    </w:p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3.1 环境总体架构</w:t>
      </w:r>
    </w:p>
    <w:p>
      <w:pPr>
        <w:spacing w:before="0" w:after="60"/>
      </w:pPr>
      <w:r>
        <w:rPr>
          <w:rFonts w:ascii="Times New Roman" w:hAnsi="Times New Roman" w:eastAsia="宋体"/>
          <w:sz w:val="21"/>
          <w:szCs w:val="21"/>
        </w:rPr>
        <w:t xml:space="preserve">环境采用三层结构：tb（测试平台顶层）→ env（环境层）→ uvc（UVC 组件层），辅以 regmodel（寄存器模型）、coverage（覆盖率）、sva（断言）、testcase（用例层）。</w:t>
      </w:r>
    </w:p>
    <w:p>
      <w:pPr>
        <w:spacing w:before="0" w:after="6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环境数据流：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canphy_agent 驱动 CAN 总线帧 → DUT → monitor 采样 → canphy_tx/rx_analysis_fifo → scoreboard 比对；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axi4lite_agent 驱动寄存器读写 → DUT → monitor 采样 AXI 事务 → axi4lite_analysis_fifo → scoreboard 比对；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scoreboard 内部调用 canfd_ref_model 生成期望帧/期望寄存器值，与实际事务逐字段比对。</w:t>
      </w:r>
    </w:p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3.2 环境组件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2948"/>
        <w:gridCol w:w="5954"/>
      </w:tblGrid>
      <w:tr>
        <w:tc>
          <w:tcPr>
            <w:tcW w:w="2948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组件</w:t>
            </w:r>
          </w:p>
        </w:tc>
        <w:tc>
          <w:tcPr>
            <w:tcW w:w="5954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w="294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tb_top.sv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UVM 顶层：include crg_gen/uvmconfigdb/dutinst/dumpctrl，例化 DUT 与 virtual interface。</w:t>
            </w:r>
          </w:p>
        </w:tc>
      </w:tr>
      <w:tr>
        <w:tc>
          <w:tcPr>
            <w:tcW w:w="294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canfd_env.sv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UVM env：3 个 Agent + Scoreboard + 参考模型 + 功能覆盖率。</w:t>
            </w:r>
          </w:p>
        </w:tc>
      </w:tr>
      <w:tr>
        <w:tc>
          <w:tcPr>
            <w:tcW w:w="294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canfd_config.sv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全局配置（config_db），控制 Agent 使能、模式、参数。</w:t>
            </w:r>
          </w:p>
        </w:tc>
      </w:tr>
      <w:tr>
        <w:tc>
          <w:tcPr>
            <w:tcW w:w="294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canfd_event.sv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全局事件池，实现跨组件同步。</w:t>
            </w:r>
          </w:p>
        </w:tc>
      </w:tr>
      <w:tr>
        <w:tc>
          <w:tcPr>
            <w:tcW w:w="294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canfd_virtual_sequencer.sv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虚拟 Sequencer（canphy_seqr + axi4lite_seqr 两个 handle）。</w:t>
            </w:r>
          </w:p>
        </w:tc>
      </w:tr>
      <w:tr>
        <w:tc>
          <w:tcPr>
            <w:tcW w:w="294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canfd_scoreboard.sv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核心比对引擎：TX 帧比对 + AXI 读比对 + AXI 响应检查。</w:t>
            </w:r>
          </w:p>
        </w:tc>
      </w:tr>
      <w:tr>
        <w:tc>
          <w:tcPr>
            <w:tcW w:w="294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canfd_ref_model.sv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参考模型：维护寄存器状态，提供 write_reg/read_reg/get_expected_tx_frame 等。</w:t>
            </w:r>
          </w:p>
        </w:tc>
      </w:tr>
      <w:tr>
        <w:tc>
          <w:tcPr>
            <w:tcW w:w="294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canfd_function_coverage.sv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功能覆盖率封装。</w:t>
            </w:r>
          </w:p>
        </w:tc>
      </w:tr>
      <w:tr>
        <w:tc>
          <w:tcPr>
            <w:tcW w:w="294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regmodel/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UVM 寄存器模型（v2.0，37 寄存器）+ APB/CANPHY 适配器 + 寄存器自测 Sequence。</w:t>
            </w:r>
          </w:p>
        </w:tc>
      </w:tr>
      <w:tr>
        <w:tc>
          <w:tcPr>
            <w:tcW w:w="294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sva/</w:t>
            </w:r>
          </w:p>
        </w:tc>
        <w:tc>
          <w:tcPr>
            <w:tcW w:w="595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顶层 Virtual Interface 与 SVA 断言。</w:t>
            </w:r>
          </w:p>
        </w:tc>
      </w:tr>
    </w:tbl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3.3 比对策略（Scoreboard）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2041"/>
        <w:gridCol w:w="6861"/>
      </w:tblGrid>
      <w:tr>
        <w:tc>
          <w:tcPr>
            <w:tcW w:w="2041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比对项</w:t>
            </w:r>
          </w:p>
        </w:tc>
        <w:tc>
          <w:tcPr>
            <w:tcW w:w="6861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策略</w:t>
            </w:r>
          </w:p>
        </w:tc>
      </w:tr>
      <w:tr>
        <w:tc>
          <w:tcPr>
            <w:tcW w:w="204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TX 帧比对</w:t>
            </w:r>
          </w:p>
        </w:tc>
        <w:tc>
          <w:tcPr>
            <w:tcW w:w="68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process_tx_frame() → ref_model.get_expected_tx_frame() 生成期望帧 → 与 DUT 实际发送帧逐字段比对（frame_type/can_id/dlc/fdf/brs/data[]）。</w:t>
            </w:r>
          </w:p>
        </w:tc>
      </w:tr>
      <w:tr>
        <w:tc>
          <w:tcPr>
            <w:tcW w:w="204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AXI 读比对</w:t>
            </w:r>
          </w:p>
        </w:tc>
        <w:tc>
          <w:tcPr>
            <w:tcW w:w="68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所有寄存器值由 ref_model 建模，任何差异都判为真实 mismatch。</w:t>
            </w:r>
          </w:p>
        </w:tc>
      </w:tr>
      <w:tr>
        <w:tc>
          <w:tcPr>
            <w:tcW w:w="204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AXI 响应检查</w:t>
            </w:r>
          </w:p>
        </w:tc>
        <w:tc>
          <w:tcPr>
            <w:tcW w:w="68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非法地址 → 期望 DECERR；合法地址 → 期望 OKAY。</w:t>
            </w:r>
          </w:p>
        </w:tc>
      </w:tr>
    </w:tbl>
    <w:p>
      <w:pPr>
        <w:spacing w:before="240" w:after="120"/>
      </w:pPr>
      <w:r>
        <w:rPr>
          <w:rFonts w:ascii="Arial" w:hAnsi="Arial" w:eastAsia="黑体"/>
          <w:b/>
          <w:bCs/>
          <w:color w:val="000000"/>
          <w:sz w:val="32"/>
          <w:szCs w:val="32"/>
        </w:rPr>
        <w:t xml:space="preserve">4. VIP（Verification IP）</w:t>
      </w:r>
    </w:p>
    <w:p>
      <w:pPr>
        <w:spacing w:before="0" w:after="60"/>
      </w:pPr>
      <w:r>
        <w:rPr>
          <w:rFonts w:ascii="Times New Roman" w:hAnsi="Times New Roman" w:eastAsia="宋体"/>
          <w:sz w:val="21"/>
          <w:szCs w:val="21"/>
        </w:rPr>
        <w:t xml:space="preserve">环境包含 3 个自研 UVC（VIP），每个遵循标准 9 文件结构：&lt;name&gt;_UvcTop.svh + agent/driver/monitor/sequencer/sequence_lib/trans/config/vif。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1474"/>
        <w:gridCol w:w="1361"/>
        <w:gridCol w:w="2608"/>
        <w:gridCol w:w="3459"/>
      </w:tblGrid>
      <w:tr>
        <w:tc>
          <w:tcPr>
            <w:tcW w:w="1474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UVC</w:t>
            </w:r>
          </w:p>
        </w:tc>
        <w:tc>
          <w:tcPr>
            <w:tcW w:w="1361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方向</w:t>
            </w:r>
          </w:p>
        </w:tc>
        <w:tc>
          <w:tcPr>
            <w:tcW w:w="2608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协议</w:t>
            </w:r>
          </w:p>
        </w:tc>
        <w:tc>
          <w:tcPr>
            <w:tcW w:w="3459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canphy</w:t>
            </w:r>
          </w:p>
        </w:tc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总线侧</w:t>
            </w:r>
          </w:p>
        </w:tc>
        <w:tc>
          <w:tcPr>
            <w:tcW w:w="260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 2.0 / CAN FD 物理层</w:t>
            </w:r>
          </w:p>
        </w:tc>
        <w:tc>
          <w:tcPr>
            <w:tcW w:w="345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 帧收发、错误注入、位时序、仲裁。</w:t>
            </w:r>
          </w:p>
        </w:tc>
      </w:tr>
      <w:tr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axi4lite</w:t>
            </w:r>
          </w:p>
        </w:tc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主机侧</w:t>
            </w:r>
          </w:p>
        </w:tc>
        <w:tc>
          <w:tcPr>
            <w:tcW w:w="260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AXI4-Lite 32-bit</w:t>
            </w:r>
          </w:p>
        </w:tc>
        <w:tc>
          <w:tcPr>
            <w:tcW w:w="345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寄存器读写（前门/后门），握手与响应检查。</w:t>
            </w:r>
          </w:p>
        </w:tc>
      </w:tr>
      <w:tr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ucspi</w:t>
            </w:r>
          </w:p>
        </w:tc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SPI 侧</w:t>
            </w:r>
          </w:p>
        </w:tc>
        <w:tc>
          <w:tcPr>
            <w:tcW w:w="260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UCSPI 串行外设</w:t>
            </w:r>
          </w:p>
        </w:tc>
        <w:tc>
          <w:tcPr>
            <w:tcW w:w="345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SPI 接口（自定义控制器的 SPI 配置口）。</w:t>
            </w:r>
          </w:p>
        </w:tc>
      </w:tr>
    </w:tbl>
    <w:p>
      <w:pPr>
        <w:spacing w:before="240" w:after="120"/>
      </w:pPr>
      <w:r>
        <w:rPr>
          <w:rFonts w:ascii="Arial" w:hAnsi="Arial" w:eastAsia="黑体"/>
          <w:b/>
          <w:bCs/>
          <w:color w:val="000000"/>
          <w:sz w:val="32"/>
          <w:szCs w:val="32"/>
        </w:rPr>
        <w:t xml:space="preserve">5. 寄存器模型</w:t>
      </w:r>
    </w:p>
    <w:p>
      <w:pPr>
        <w:spacing w:before="0" w:after="60"/>
      </w:pPr>
      <w:r>
        <w:rPr>
          <w:rFonts w:ascii="Times New Roman" w:hAnsi="Times New Roman" w:eastAsia="宋体"/>
          <w:sz w:val="21"/>
          <w:szCs w:val="21"/>
        </w:rPr>
        <w:t xml:space="preserve">UVM 寄存器模型已同步至「寄存器描述 v2.0」（实际自定义设计），共 37 个寄存器，通过 +define+REG_MODEL 启用。提供 canfd_reg_reset_check_seq / access_seq / bit_bash_seq / config_seq 四个自测 Sequence。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1361"/>
        <w:gridCol w:w="1474"/>
        <w:gridCol w:w="794"/>
        <w:gridCol w:w="5273"/>
      </w:tblGrid>
      <w:tr>
        <w:tc>
          <w:tcPr>
            <w:tcW w:w="1361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地址</w:t>
            </w:r>
          </w:p>
        </w:tc>
        <w:tc>
          <w:tcPr>
            <w:tcW w:w="1474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寄存器</w:t>
            </w:r>
          </w:p>
        </w:tc>
        <w:tc>
          <w:tcPr>
            <w:tcW w:w="794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访问</w:t>
            </w:r>
          </w:p>
        </w:tc>
        <w:tc>
          <w:tcPr>
            <w:tcW w:w="5273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0x0000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SRR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软件复位 SRST[0] / CEN[1]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0x0004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MSR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模式控制（RX_MODE[16]/ABR/SBR/DPEE/DAR/BRSD/SNOOP/LBACK/SLEEP）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0x0008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BRPR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仲裁段波特率预分频 BRP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0x000C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BTR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仲裁段位时序 SJW/TS2/TS1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0x0010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ECR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RO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错误计数器 REC[15:8]/TEC[7:0]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0x0014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ESR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W1C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错误状态（ECCERR[19:12]/F_BERR/F_STER/F_FMER/F_CRCER/ACKER…）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0x0018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SR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RO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状态（TDCV/SNOOP/ESTAT/ERRWRN/BBSY/BIDLE/NORMAL/CONFIG）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0x001C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ISR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RO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中断状态（TXOK/RXOK/TXEWMFLL/TXEOFLW/RXFOFLW/…）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0x0020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IER0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中断使能（与 ISR 位一一对应）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0x0024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IER1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附加中断使能（位域待设计确认）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0x0028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IER2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附加中断使能（位域待设计确认）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0x002C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ICR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W1C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中断清除（从 0x24 移来，解决 Q5）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0x0030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IMCR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中断输出配置（PULSE_INTERVAL/PULSE_WIDTH/POLARITY/MODE）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0x0034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TSR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RO/W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时间戳（TIMESTAMP_CNT[31:16]/DIV_CLK_RATIO[15:8]/CTS[0]）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0x0038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TS32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RO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32 位自由运行时间戳计数器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0x003C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TXTS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RO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最近发送 SOF 时间戳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0x0040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RXTS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RO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最近接收 SOF 时间戳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0x0044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ECC0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ECC 校验/解码使能与错误注入控制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0x0048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ECC1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TX RAM 数据错误注入（DATA_ERR_INJ_TXH）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0x004C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ECC2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RX RAM 数据错误注入（DATA_ERR_INJ_RXH）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0x0050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ECC3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RX RAM 数据错误注入（DATA_ERR_INJ_RXC）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0x0088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DP_BRPR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数据相位波特率预分频 + TDC/TDCOFF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0x008C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DP_BTR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数据相位位时序 DP_SJW/DP_TS2/DP_TS1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0x0090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TRR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TX 请求（RR31~RR0）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0x0094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IETRS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TX 就绪请求已服务中断使能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0x0098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TCR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TX 取消请求（CR31~CR0）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0x009C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IETCS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TX 取消请求已服务中断使能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0x00A0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TxE_FSR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RO/W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TX Event FIFO 状态（TXE_FL/TXE_IRI/TXE_RI）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0x00A4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TxE_WMR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TX Event FIFO 满水位线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0x00B0~B8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RCS0/1/2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Mailbox 模式接收控制/状态（CSB/HCB）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0x00C0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IERBF0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RX 缓冲器 0-15 满中断使能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0x00C4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IERBF1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RX 缓冲器 32-47 满中断使能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0x00E0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AFR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验收滤波器使能（UAF31~UAF0）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0x00E8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FSR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RO/W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RX FIFO 状态（FL/IRI/RI）</w:t>
            </w:r>
          </w:p>
        </w:tc>
      </w:tr>
      <w:tr>
        <w:tc>
          <w:tcPr>
            <w:tcW w:w="136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0x00EC</w:t>
            </w:r>
          </w:p>
        </w:tc>
        <w:tc>
          <w:tcPr>
            <w:tcW w:w="147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WMR</w:t>
            </w:r>
          </w:p>
        </w:tc>
        <w:tc>
          <w:tcPr>
            <w:tcW w:w="79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R/W</w:t>
            </w:r>
          </w:p>
        </w:tc>
        <w:tc>
          <w:tcPr>
            <w:tcW w:w="5273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7"/>
                <w:szCs w:val="17"/>
              </w:rPr>
              <w:t xml:space="preserve">RX FIFO 水位线 + RXFP 分区</w:t>
            </w:r>
          </w:p>
        </w:tc>
      </w:tr>
    </w:tbl>
    <w:p>
      <w:pPr>
        <w:spacing w:before="240" w:after="120"/>
      </w:pPr>
      <w:r>
        <w:rPr>
          <w:rFonts w:ascii="Arial" w:hAnsi="Arial" w:eastAsia="黑体"/>
          <w:b/>
          <w:bCs/>
          <w:color w:val="000000"/>
          <w:sz w:val="32"/>
          <w:szCs w:val="32"/>
        </w:rPr>
        <w:t xml:space="preserve">6. 测试计划与测试列表</w:t>
      </w:r>
    </w:p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6.1 验证功能点分解（VFPT 80 项）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1588"/>
        <w:gridCol w:w="2835"/>
        <w:gridCol w:w="680"/>
        <w:gridCol w:w="3799"/>
      </w:tblGrid>
      <w:tr>
        <w:tc>
          <w:tcPr>
            <w:tcW w:w="1588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分类</w:t>
            </w:r>
          </w:p>
        </w:tc>
        <w:tc>
          <w:tcPr>
            <w:tcW w:w="2835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w="68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项数</w:t>
            </w:r>
          </w:p>
        </w:tc>
        <w:tc>
          <w:tcPr>
            <w:tcW w:w="3799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15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 寄存器访问</w:t>
            </w:r>
          </w:p>
        </w:tc>
        <w:tc>
          <w:tcPr>
            <w:tcW w:w="283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T-01-01~04、T-02-01~04</w:t>
            </w:r>
          </w:p>
        </w:tc>
        <w:tc>
          <w:tcPr>
            <w:tcW w:w="68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寄存器读写/软复位/地址空间/写保护；中断触发/屏蔽/清除/电平</w:t>
            </w:r>
          </w:p>
        </w:tc>
      </w:tr>
      <w:tr>
        <w:tc>
          <w:tcPr>
            <w:tcW w:w="15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B CAN 通信</w:t>
            </w:r>
          </w:p>
        </w:tc>
        <w:tc>
          <w:tcPr>
            <w:tcW w:w="283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B-01(3)+B-02(6)+B-03(7)+B-04(6)</w:t>
            </w:r>
          </w:p>
        </w:tc>
        <w:tc>
          <w:tcPr>
            <w:tcW w:w="68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22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配置、CAN2.0 收发/远程帧/仲裁、CAN FD 收发/BRS/BRSD/ESI、取消/DAR/事件 FIFO</w:t>
            </w:r>
          </w:p>
        </w:tc>
      </w:tr>
      <w:tr>
        <w:tc>
          <w:tcPr>
            <w:tcW w:w="15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R 接收功能</w:t>
            </w:r>
          </w:p>
        </w:tc>
        <w:tc>
          <w:tcPr>
            <w:tcW w:w="283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R-01-01~09</w:t>
            </w:r>
          </w:p>
        </w:tc>
        <w:tc>
          <w:tcPr>
            <w:tcW w:w="68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FIFO 深度/溢出/水印/读释放、ID 过滤/掩码/32 组独立</w:t>
            </w:r>
          </w:p>
        </w:tc>
      </w:tr>
      <w:tr>
        <w:tc>
          <w:tcPr>
            <w:tcW w:w="15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M 工作模式</w:t>
            </w:r>
          </w:p>
        </w:tc>
        <w:tc>
          <w:tcPr>
            <w:tcW w:w="283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M-01(5)+M-02(3)</w:t>
            </w:r>
          </w:p>
        </w:tc>
        <w:tc>
          <w:tcPr>
            <w:tcW w:w="68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Normal/Loopback/Sleep/Snoop/互斥、Bus-Off 进入/自动/手动恢复</w:t>
            </w:r>
          </w:p>
        </w:tc>
      </w:tr>
      <w:tr>
        <w:tc>
          <w:tcPr>
            <w:tcW w:w="15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E 错误处理</w:t>
            </w:r>
          </w:p>
        </w:tc>
        <w:tc>
          <w:tcPr>
            <w:tcW w:w="283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E-01(7)+E-02(4)</w:t>
            </w:r>
          </w:p>
        </w:tc>
        <w:tc>
          <w:tcPr>
            <w:tcW w:w="68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位/填充/CRC/格式/ACK 错误、TEC/REC/被动/EWARN</w:t>
            </w:r>
          </w:p>
        </w:tc>
      </w:tr>
      <w:tr>
        <w:tc>
          <w:tcPr>
            <w:tcW w:w="15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I 接口时序</w:t>
            </w:r>
          </w:p>
        </w:tc>
        <w:tc>
          <w:tcPr>
            <w:tcW w:w="283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I-01(3)+I-02(4)</w:t>
            </w:r>
          </w:p>
        </w:tc>
        <w:tc>
          <w:tcPr>
            <w:tcW w:w="68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AXI4-Lite 读写/握手/错误地址、CDC/复位/16 周期/复位中通信</w:t>
            </w:r>
          </w:p>
        </w:tc>
      </w:tr>
      <w:tr>
        <w:tc>
          <w:tcPr>
            <w:tcW w:w="15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S 特殊功能</w:t>
            </w:r>
          </w:p>
        </w:tc>
        <w:tc>
          <w:tcPr>
            <w:tcW w:w="283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S-01(2)+S-03(2)</w:t>
            </w:r>
          </w:p>
        </w:tc>
        <w:tc>
          <w:tcPr>
            <w:tcW w:w="68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时间戳 TSR/溢出、TDC TDCOFF 0-3/边界</w:t>
            </w:r>
          </w:p>
        </w:tc>
      </w:tr>
      <w:tr>
        <w:tc>
          <w:tcPr>
            <w:tcW w:w="158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 压力边界</w:t>
            </w:r>
          </w:p>
        </w:tc>
        <w:tc>
          <w:tcPr>
            <w:tcW w:w="283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C-01(4)+C-02(7)</w:t>
            </w:r>
          </w:p>
        </w:tc>
        <w:tc>
          <w:tcPr>
            <w:tcW w:w="68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满载/双向/错误注入、0/64 字节、ID 边界、1M/8M</w:t>
            </w:r>
          </w:p>
        </w:tc>
      </w:tr>
    </w:tbl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6.2 测试组组织（7 组）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850"/>
        <w:gridCol w:w="2268"/>
        <w:gridCol w:w="1984"/>
        <w:gridCol w:w="3799"/>
      </w:tblGrid>
      <w:tr>
        <w:tc>
          <w:tcPr>
            <w:tcW w:w="85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组</w:t>
            </w:r>
          </w:p>
        </w:tc>
        <w:tc>
          <w:tcPr>
            <w:tcW w:w="2268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系列</w:t>
            </w:r>
          </w:p>
        </w:tc>
        <w:tc>
          <w:tcPr>
            <w:tcW w:w="3799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test.json 用例数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T1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基础功能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B/T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T2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基本通信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B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T3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FD 帧/接收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B/R/S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T4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模式/错误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M/E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T5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错误/接口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E/I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T6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压力/角落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T7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综合回归</w:t>
            </w:r>
          </w:p>
        </w:tc>
        <w:tc>
          <w:tcPr>
            <w:tcW w:w="198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混合</w:t>
            </w:r>
          </w:p>
        </w:tc>
        <w:tc>
          <w:tcPr>
            <w:tcW w:w="379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</w:t>
            </w:r>
          </w:p>
        </w:tc>
      </w:tr>
    </w:tbl>
    <w:p>
      <w:pPr>
        <w:spacing w:before="0" w:after="60"/>
      </w:pPr>
      <w:r>
        <w:rPr>
          <w:rFonts w:ascii="Times New Roman" w:hAnsi="Times New Roman" w:eastAsia="宋体"/>
          <w:sz w:val="18"/>
          <w:szCs w:val="18"/>
        </w:rPr>
        <w:t xml:space="preserve">说明：testcase/ 目录共 92 个测试用例（+1 个 base_test 基类），其中 80 个已注册进 testplan 各组的 test.json，12 个较新用例（PEE、APB、Mailbox、部分 corner）尚未纳入 test.json，后续回归时补齐。</w:t>
      </w:r>
    </w:p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6.3 完整测试列表（92 用例）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737"/>
        <w:gridCol w:w="1021"/>
        <w:gridCol w:w="3515"/>
        <w:gridCol w:w="3629"/>
      </w:tblGrid>
      <w:tr>
        <w:tc>
          <w:tcPr>
            <w:tcW w:w="737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 xml:space="preserve">系列</w:t>
            </w:r>
          </w:p>
        </w:tc>
        <w:tc>
          <w:tcPr>
            <w:tcW w:w="1021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w="3515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 xml:space="preserve">用例名</w:t>
            </w:r>
          </w:p>
        </w:tc>
        <w:tc>
          <w:tcPr>
            <w:tcW w:w="3629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6"/>
                <w:szCs w:val="16"/>
              </w:rPr>
              <w:t xml:space="preserve">测试点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canfd_B_01_01_cen_test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CEN 使能/配置模式切换流程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canfd_B_01_02_illegal_test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非法寄存器访问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canfd_B_01_03_timing_test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复位后 16 周期访问时序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canfd_B_02_01_tx_std_test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标准帧发送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canfd_B_02_02_tx_ext_test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扩展帧发送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canfd_B_02_03_tx_rtr_test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远程帧 RTR 发送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02_04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canfd_B_02_04_rx_std_test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标准帧接收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02_05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canfd_B_02_05_rx_ext_test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扩展帧接收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02_07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canfd_B_02_07_arb_test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仲裁（最低 ID 优先）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canfd_B_03_01_fd_std_test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FD 标准帧收发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canfd_B_03_02_fd_brs_test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FD BRS 位速率切换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canfd_B_03_03_fd_ext_test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FD 扩展帧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03_04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canfd_B_03_04_fd_brsd_test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FD BRSD（禁用 BRS）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03_05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canfd_B_03_05_fd_esi_test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FD ESI 错误状态指示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03_06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canfd_B_03_06_fd_rx_test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FD 帧接收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03_07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canfd_B_03_07_fd_rxbrs_test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FD 接收 BRS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04_01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canfd_B_04_01_txb_full_test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TX 缓冲器满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04_02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canfd_B_04_02_txb_cancel_test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TX 消息取消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04_03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canfd_B_04_03_txb_aret_test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TX 自动重传（DAR=0）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04_04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canfd_B_04_04_txb_sshot_test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TX 单次发送（DAR=1）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04_05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canfd_B_04_05_txb_evt_test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TX 事件 FIFO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04_06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canfd_B_04_06_txb_wm_test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TX 事件 FIFO 水位线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canfd_C_01_01_stress_tx_test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发送压力测试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canfd_C_01_02_stress_rx_test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接收压力测试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canfd_C_01_03_stress_bidir_test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双向压力测试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01_05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canfd_C_01_05_stress_err_test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错误注入压力测试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canfd_C_02_01_corner_d0_test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DLC=0 边界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canfd_C_02_03_corner_d64_test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DLC=64 边界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02_04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canfd_C_02_04_corner_id0_test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ID=0 边界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02_05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canfd_C_02_05_corner_id11_test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ID=11bit 边界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02_06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canfd_C_02_06_corner_id29_test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ID=29bit 边界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02_08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canfd_C_02_08_corner_1m_test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1 Mb/s 边界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02_09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canfd_C_02_09_corner_8m_test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8 Mb/s 边界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canfd_E_01_01_err_berr_test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位错误（标称段）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canfd_E_01_02_err_fberr_test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位错误（FD 快速段）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canfd_E_01_03_err_ster_test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填充错误（标称段）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01_04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canfd_E_01_04_err_fster_test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填充错误（FD 快速段）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01_05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canfd_E_01_05_err_crc_test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CRC 错误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01_06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canfd_E_01_06_err_fmer_test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格式错误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01_07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canfd_E_01_07_fd_crcsc_test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FD CRC 定界符错误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01_08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canfd_E_01_08_err_ack_test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ACK 错误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canfd_E_02_01_ecnt_tec_test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发送错误计数 TEC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canfd_E_02_02_ecnt_rec_test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接收错误计数 REC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canfd_E_02_03_ecnt_pass_test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错误被动状态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02_05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canfd_E_02_05_ecnt_warn_test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错误告警（≥96）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canfd_E_03_01_pee_enter_test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PEE 协议异常进入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canfd_E_03_02_pee_exit_test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PEE 协议异常退出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E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canfd_E_03_03_pee_disable_test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PEE 禁用（DPEE）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I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canfd_I_01_01_axi_rw_test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AXI4-Lite 读写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I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canfd_I_01_02_axi_hs_test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AXI4-Lite 握手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I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01_04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canfd_I_01_04_axi_err_test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AXI4-Lite 错误地址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I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canfd_I_02_01_cdc_test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CDC 跨时钟域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I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canfd_I_02_03_hw_rst_test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硬件复位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I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02_04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canfd_I_02_04_rst_dly_test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复位延迟（16 周期）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I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02_05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canfd_I_02_05_rst_comm_test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复位中通信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I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canfd_I_03_01_apb_rw_test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APB 读写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I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canfd_I_03_02_apb_hs_test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APB 握手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I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canfd_I_03_03_apb_err_test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APB 错误地址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M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canfd_M_01_01_mode_normal_test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Normal 模式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M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canfd_M_01_02_mode_lb_test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Loopback 环回模式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M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canfd_M_01_03_mode_slp_test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Sleep 睡眠/唤醒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M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01_04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canfd_M_01_04_mode_snoop_test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Snoop 监听模式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M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01_06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canfd_M_01_06_mode_mux_test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模式互斥（MUX）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M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canfd_M_02_01_boff_enter_test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Bus-Off 进入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M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canfd_M_02_02_boff_abr_test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Bus-Off 自动恢复（ABR）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M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canfd_M_02_03_boff_sbr_test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Bus-Off 手动恢复（SBR）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canfd_R_01_01_fifo_rx_test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RX FIFO 接收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canfd_R_01_02_fifo_depth_test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FIFO 深度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canfd_R_01_03_fifo_ovf_test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FIFO 溢出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01_04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canfd_R_01_04_fifo_wm_test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FIFO 水位线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01_05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canfd_R_01_05_fifo_rel_test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FIFO 读释放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01_06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canfd_R_01_06_flt_std_test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标准帧过滤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01_07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canfd_R_01_07_flt_ext_test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扩展帧过滤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01_08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canfd_R_01_08_flt_mask_test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过滤掩码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01_09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canfd_R_01_09_flt_indep_test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32 组过滤独立性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canfd_R_02_01_mbox_rx_test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Mailbox 接收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canfd_R_02_02_mbox_csb_test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Mailbox CSB 状态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canfd_R_02_03_mbox_intr_test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Mailbox 中断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02_04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canfd_R_02_04_mbox_filt_test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Mailbox 过滤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S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canfd_S_01_01_tsr_cnt_test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时间戳 TSR 计数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S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canfd_S_01_03_tsr_ovf_test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时间戳溢出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S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canfd_S_03_01_tdc_off_test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TDC TDCOFF 配置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S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canfd_S_03_02_tdc_bnd_test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TDC 边界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canfd_T_01_01_reg_rw_test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寄存器读写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canfd_T_01_02_srst_test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软复位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canfd_T_01_03_addr_test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地址空间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01_04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canfd_T_01_04_wprot_test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写保护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02_01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canfd_T_02_01_intr_trig_test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中断触发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02_02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canfd_T_02_02_intr_msk_test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中断屏蔽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canfd_T_02_03_intr_clr_test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中断清除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T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02_04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canfd_T_02_04_intr_lvl_test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中断电平敏感</w:t>
            </w:r>
          </w:p>
        </w:tc>
      </w:tr>
      <w:tr>
        <w:tc>
          <w:tcPr>
            <w:tcW w:w="73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R</w:t>
            </w:r>
          </w:p>
        </w:tc>
        <w:tc>
          <w:tcPr>
            <w:tcW w:w="102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03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canfd_R_03_randomized_test</w:t>
            </w:r>
          </w:p>
        </w:tc>
        <w:tc>
          <w:tcPr>
            <w:tcW w:w="3629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6"/>
                <w:szCs w:val="16"/>
              </w:rPr>
              <w:t xml:space="preserve">随机化综合测试</w:t>
            </w:r>
          </w:p>
        </w:tc>
      </w:tr>
    </w:tbl>
    <w:p>
      <w:pPr>
        <w:spacing w:before="240" w:after="120"/>
      </w:pPr>
      <w:r>
        <w:rPr>
          <w:rFonts w:ascii="Arial" w:hAnsi="Arial" w:eastAsia="黑体"/>
          <w:b/>
          <w:bCs/>
          <w:color w:val="000000"/>
          <w:sz w:val="32"/>
          <w:szCs w:val="32"/>
        </w:rPr>
        <w:t xml:space="preserve">7. 覆盖率与验收标准</w:t>
      </w:r>
    </w:p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7.1 代码覆盖率</w:t>
      </w:r>
    </w:p>
    <w:p>
      <w:pPr>
        <w:spacing w:before="0" w:after="60"/>
      </w:pPr>
      <w:r>
        <w:rPr>
          <w:rFonts w:ascii="Times New Roman" w:hAnsi="Times New Roman" w:eastAsia="宋体"/>
          <w:sz w:val="21"/>
          <w:szCs w:val="21"/>
        </w:rPr>
        <w:t xml:space="preserve">任务书要求代码覆盖率 100%。coverage.cfg 开启全部代码覆盖率类型：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1701"/>
        <w:gridCol w:w="2381"/>
        <w:gridCol w:w="4820"/>
      </w:tblGrid>
      <w:tr>
        <w:tc>
          <w:tcPr>
            <w:tcW w:w="1701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覆盖率类型</w:t>
            </w:r>
          </w:p>
        </w:tc>
        <w:tc>
          <w:tcPr>
            <w:tcW w:w="2381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开关</w:t>
            </w:r>
          </w:p>
        </w:tc>
        <w:tc>
          <w:tcPr>
            <w:tcW w:w="482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语句覆盖</w:t>
            </w:r>
          </w:p>
        </w:tc>
        <w:tc>
          <w:tcPr>
            <w:tcW w:w="238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-codecov all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所有可执行语句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翻转覆盖</w:t>
            </w:r>
          </w:p>
        </w:tc>
        <w:tc>
          <w:tcPr>
            <w:tcW w:w="238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-togglecov all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信号 0/1 翻转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分支覆盖</w:t>
            </w:r>
          </w:p>
        </w:tc>
        <w:tc>
          <w:tcPr>
            <w:tcW w:w="238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-branchcov all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if/case 各分支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条件覆盖</w:t>
            </w:r>
          </w:p>
        </w:tc>
        <w:tc>
          <w:tcPr>
            <w:tcW w:w="238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-conditioncov all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多条件布尔组合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状态机覆盖</w:t>
            </w:r>
          </w:p>
        </w:tc>
        <w:tc>
          <w:tcPr>
            <w:tcW w:w="238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-fsmcov all</w:t>
            </w:r>
          </w:p>
        </w:tc>
        <w:tc>
          <w:tcPr>
            <w:tcW w:w="482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FSM 状态与转移</w:t>
            </w:r>
          </w:p>
        </w:tc>
      </w:tr>
    </w:tbl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7.2 功能覆盖率</w:t>
      </w:r>
    </w:p>
    <w:p>
      <w:pPr>
        <w:spacing w:before="0" w:after="60"/>
      </w:pPr>
      <w:r>
        <w:rPr>
          <w:rFonts w:ascii="Times New Roman" w:hAnsi="Times New Roman" w:eastAsia="宋体"/>
          <w:sz w:val="21"/>
          <w:szCs w:val="21"/>
        </w:rPr>
        <w:t xml:space="preserve">4 个功能覆盖率模块，由 coverage.cfg 通过 +define+COVERAGE_xxx 条件编译控制：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3175"/>
        <w:gridCol w:w="5727"/>
      </w:tblGrid>
      <w:tr>
        <w:tc>
          <w:tcPr>
            <w:tcW w:w="3175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覆盖率模块</w:t>
            </w:r>
          </w:p>
        </w:tc>
        <w:tc>
          <w:tcPr>
            <w:tcW w:w="5727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覆盖目标</w:t>
            </w:r>
          </w:p>
        </w:tc>
      </w:tr>
      <w:tr>
        <w:tc>
          <w:tcPr>
            <w:tcW w:w="317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canfd_function_coverage</w:t>
            </w:r>
          </w:p>
        </w:tc>
        <w:tc>
          <w:tcPr>
            <w:tcW w:w="572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 FD 帧格式、DLC、BRS、ESI、FDF 交叉</w:t>
            </w:r>
          </w:p>
        </w:tc>
      </w:tr>
      <w:tr>
        <w:tc>
          <w:tcPr>
            <w:tcW w:w="317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canphy_function_coverage</w:t>
            </w:r>
          </w:p>
        </w:tc>
        <w:tc>
          <w:tcPr>
            <w:tcW w:w="572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 总线帧类型、ID、数据长度、错误类型</w:t>
            </w:r>
          </w:p>
        </w:tc>
      </w:tr>
      <w:tr>
        <w:tc>
          <w:tcPr>
            <w:tcW w:w="317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axi4lite_function_coverage</w:t>
            </w:r>
          </w:p>
        </w:tc>
        <w:tc>
          <w:tcPr>
            <w:tcW w:w="572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AXI 读写、地址空间、响应码、握手</w:t>
            </w:r>
          </w:p>
        </w:tc>
      </w:tr>
      <w:tr>
        <w:tc>
          <w:tcPr>
            <w:tcW w:w="317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ucspi_function_coverage</w:t>
            </w:r>
          </w:p>
        </w:tc>
        <w:tc>
          <w:tcPr>
            <w:tcW w:w="572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SPI 模式、CPOL/CPHA、波特率、数据位宽</w:t>
            </w:r>
          </w:p>
        </w:tc>
      </w:tr>
    </w:tbl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7.3 断言覆盖率</w:t>
      </w:r>
    </w:p>
    <w:p>
      <w:pPr>
        <w:spacing w:before="0" w:after="60"/>
      </w:pPr>
      <w:r>
        <w:rPr>
          <w:rFonts w:ascii="Times New Roman" w:hAnsi="Times New Roman" w:eastAsia="宋体"/>
          <w:sz w:val="21"/>
          <w:szCs w:val="21"/>
        </w:rPr>
        <w:t xml:space="preserve">sva/ 层对 AXI4-Lite 握手、CAN 帧时序、CDC 同步等关键接口时序做属性断言，作为接口时序正确性的形式化补充检查。</w:t>
      </w:r>
    </w:p>
    <w:p>
      <w:pPr>
        <w:spacing w:before="160" w:after="80"/>
      </w:pPr>
      <w:r>
        <w:rPr>
          <w:rFonts w:ascii="Arial" w:hAnsi="Arial" w:eastAsia="黑体"/>
          <w:b/>
          <w:bCs/>
          <w:sz w:val="26"/>
          <w:szCs w:val="26"/>
        </w:rPr>
        <w:t xml:space="preserve">7.4 验收标准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1701"/>
        <w:gridCol w:w="7201"/>
      </w:tblGrid>
      <w:tr>
        <w:tc>
          <w:tcPr>
            <w:tcW w:w="1701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w="7201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仿真结果</w:t>
            </w:r>
          </w:p>
        </w:tc>
        <w:tc>
          <w:tcPr>
            <w:tcW w:w="72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所有用例 PASS（无 UVM_ERROR / UVM_FATAL / TIMEOUT / EXCEPTION）。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代码覆盖率</w:t>
            </w:r>
          </w:p>
        </w:tc>
        <w:tc>
          <w:tcPr>
            <w:tcW w:w="72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≥ 100%（任务书要求）；无法覆盖部分需提供详细说明。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功能覆盖率</w:t>
            </w:r>
          </w:p>
        </w:tc>
        <w:tc>
          <w:tcPr>
            <w:tcW w:w="72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100% 覆盖所有定义的功能覆盖点。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断言</w:t>
            </w:r>
          </w:p>
        </w:tc>
        <w:tc>
          <w:tcPr>
            <w:tcW w:w="72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无断言失败（violation）。</w:t>
            </w:r>
          </w:p>
        </w:tc>
      </w:tr>
      <w:tr>
        <w:tc>
          <w:tcPr>
            <w:tcW w:w="17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回归</w:t>
            </w:r>
          </w:p>
        </w:tc>
        <w:tc>
          <w:tcPr>
            <w:tcW w:w="7201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Jenkins Pipeline 全组回归通过，覆盖率合并不下降。</w:t>
            </w:r>
          </w:p>
        </w:tc>
      </w:tr>
    </w:tbl>
    <w:p>
      <w:pPr>
        <w:spacing w:before="0" w:after="60"/>
      </w:pPr>
      <w:r>
        <w:rPr>
          <w:rFonts w:ascii="Times New Roman" w:hAnsi="Times New Roman" w:eastAsia="宋体"/>
          <w:sz w:val="18"/>
          <w:szCs w:val="18"/>
        </w:rPr>
        <w:t xml:space="preserve">仿真结果判定规则：UVM_FATAL → FAIL(FATAL)；UVM_ERROR → FAIL(ERROR)；UVM TIMEOUT → FAIL(TIMEOUT)；UVM TEST FAILED → FAIL(FAILED)；UVM TEST PASSED → PASS；无日志 → EXCEPTION(no log)；日志不完整 → EXCEPTION(incomplete log)。</w:t>
      </w:r>
    </w:p>
    <w:p>
      <w:pPr>
        <w:spacing w:before="240" w:after="120"/>
      </w:pPr>
      <w:r>
        <w:rPr>
          <w:rFonts w:ascii="Arial" w:hAnsi="Arial" w:eastAsia="黑体"/>
          <w:b/>
          <w:bCs/>
          <w:color w:val="000000"/>
          <w:sz w:val="32"/>
          <w:szCs w:val="32"/>
        </w:rPr>
        <w:t xml:space="preserve">8. 工具与版本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2268"/>
        <w:gridCol w:w="6634"/>
      </w:tblGrid>
      <w:tr>
        <w:tc>
          <w:tcPr>
            <w:tcW w:w="2268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工具</w:t>
            </w:r>
          </w:p>
        </w:tc>
        <w:tc>
          <w:tcPr>
            <w:tcW w:w="6634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版本/说明</w:t>
            </w:r>
          </w:p>
        </w:tc>
      </w:tr>
      <w:tr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Synopsys VCS / Verdi</w:t>
            </w:r>
          </w:p>
        </w:tc>
        <w:tc>
          <w:tcPr>
            <w:tcW w:w="663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vN-2017.12-SP2（SourceMe 中 VCS_HOME / VERDI_HOME）</w:t>
            </w:r>
          </w:p>
        </w:tc>
      </w:tr>
      <w:tr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UVM</w:t>
            </w:r>
          </w:p>
        </w:tc>
        <w:tc>
          <w:tcPr>
            <w:tcW w:w="663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UVM 1.2</w:t>
            </w:r>
          </w:p>
        </w:tc>
      </w:tr>
      <w:tr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验证框架</w:t>
            </w:r>
          </w:p>
        </w:tc>
        <w:tc>
          <w:tcPr>
            <w:tcW w:w="663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MyUvmGen v2.0（自动生成）</w:t>
            </w:r>
          </w:p>
        </w:tc>
      </w:tr>
      <w:tr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设计语言</w:t>
            </w:r>
          </w:p>
        </w:tc>
        <w:tc>
          <w:tcPr>
            <w:tcW w:w="663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SystemVerilog（+ Verilog + VHDL 可选 + C 参考模型）</w:t>
            </w:r>
          </w:p>
        </w:tc>
      </w:tr>
      <w:tr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运行脚本</w:t>
            </w:r>
          </w:p>
        </w:tc>
        <w:tc>
          <w:tcPr>
            <w:tcW w:w="663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Python（run/xrun + run/xrun_lib + regression.py + gen_dashboard.py）</w:t>
            </w:r>
          </w:p>
        </w:tc>
      </w:tr>
      <w:tr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覆盖率工具</w:t>
            </w:r>
          </w:p>
        </w:tc>
        <w:tc>
          <w:tcPr>
            <w:tcW w:w="663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VCS urg / dve（合并与查看）</w:t>
            </w:r>
          </w:p>
        </w:tc>
      </w:tr>
      <w:tr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波形查看</w:t>
            </w:r>
          </w:p>
        </w:tc>
        <w:tc>
          <w:tcPr>
            <w:tcW w:w="663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Verdi（FSDB）/ VPD</w:t>
            </w:r>
          </w:p>
        </w:tc>
      </w:tr>
      <w:tr>
        <w:tc>
          <w:tcPr>
            <w:tcW w:w="2268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CI/CD</w:t>
            </w:r>
          </w:p>
        </w:tc>
        <w:tc>
          <w:tcPr>
            <w:tcW w:w="6634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Jenkins Pipeline（agent label: vcs）</w:t>
            </w:r>
          </w:p>
        </w:tc>
      </w:tr>
    </w:tbl>
    <w:p>
      <w:pPr>
        <w:spacing w:before="240" w:after="120"/>
      </w:pPr>
      <w:r>
        <w:rPr>
          <w:rFonts w:ascii="Arial" w:hAnsi="Arial" w:eastAsia="黑体"/>
          <w:b/>
          <w:bCs/>
          <w:color w:val="000000"/>
          <w:sz w:val="32"/>
          <w:szCs w:val="32"/>
        </w:rPr>
        <w:t xml:space="preserve">9. 回归与 CI</w:t>
      </w:r>
    </w:p>
    <w:p>
      <w:pPr>
        <w:spacing w:before="0" w:after="60"/>
      </w:pPr>
      <w:r>
        <w:rPr>
          <w:rFonts w:ascii="Times New Roman" w:hAnsi="Times New Roman" w:eastAsia="宋体"/>
          <w:sz w:val="21"/>
          <w:szCs w:val="21"/>
        </w:rPr>
        <w:t xml:space="preserve">运行入口为 run/xrun（Python，封装 VCS），主要工作流：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冒烟：python3 xrun -g T1_group -c &amp;&amp; python3 xrun -g T1_group -s -n 2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全量回归：python3 xrun -g T1_group ... T7_group -c -s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并行回归：python3 xrun -g T2_group -s -p 4（最多 8 worker）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覆盖率：python3 xrun -g ... -c --cov / -s --cov -p 4 / --covmerge / --opencov verdi</w:t>
      </w:r>
    </w:p>
    <w:p>
      <w:pPr>
        <w:spacing w:before="0" w:after="30"/>
      </w:pPr>
      <w:r>
        <w:rPr>
          <w:rFonts w:ascii="Times New Roman" w:hAnsi="Times New Roman" w:eastAsia="宋体"/>
          <w:sz w:val="21"/>
          <w:szCs w:val="21"/>
        </w:rPr>
        <w:t xml:space="preserve">• </w:t>
      </w:r>
      <w:r>
        <w:rPr>
          <w:rFonts w:ascii="Times New Roman" w:hAnsi="Times New Roman" w:eastAsia="宋体"/>
          <w:sz w:val="21"/>
          <w:szCs w:val="21"/>
        </w:rPr>
        <w:t xml:space="preserve">调试单测：python3 xrun -t B_03_02 -c -s --fsdb --seed 12345</w:t>
      </w:r>
    </w:p>
    <w:p>
      <w:pPr>
        <w:spacing w:before="0" w:after="60"/>
      </w:pPr>
      <w:r>
        <w:rPr>
          <w:rFonts w:ascii="Times New Roman" w:hAnsi="Times New Roman" w:eastAsia="宋体"/>
          <w:sz w:val="21"/>
          <w:szCs w:val="21"/>
        </w:rPr>
        <w:t xml:space="preserve">Jenkins Pipeline 流程：Checkout → Compile（vcs -f rtl.f -f vip.f -f tb.f）→ Simulate（每组并行）→ Merge Cov（urg merge）→ Report（gen_dashboard + email）。参数 REGRESSION_GROUP / ENABLE_COVERAGE / ENABLE_GLS。</w:t>
      </w:r>
    </w:p>
    <w:p>
      <w:pPr>
        <w:spacing w:before="240" w:after="120"/>
      </w:pPr>
      <w:r>
        <w:rPr>
          <w:rFonts w:ascii="Arial" w:hAnsi="Arial" w:eastAsia="黑体"/>
          <w:b/>
          <w:bCs/>
          <w:color w:val="000000"/>
          <w:sz w:val="32"/>
          <w:szCs w:val="32"/>
        </w:rPr>
        <w:t xml:space="preserve">10. 验证结论与状态</w:t>
      </w:r>
    </w:p>
    <w:p>
      <w:pPr>
        <w:spacing w:before="0" w:after="60"/>
      </w:pPr>
      <w:r>
        <w:rPr>
          <w:rFonts w:ascii="Times New Roman" w:hAnsi="Times New Roman" w:eastAsia="宋体"/>
          <w:sz w:val="21"/>
          <w:szCs w:val="21"/>
        </w:rPr>
        <w:t xml:space="preserve">环境当前处于成熟阶段：完整回归 + 参考模型 + 覆盖率 + CI。寄存器模型已同步至 v2.0（37 寄存器），并修复了两处缺陷（中断等待函数 ISR 位序错误、复位检查对动态寄存器误比对）。</w:t>
      </w:r>
    </w:p>
    <w:p>
      <w:pPr>
        <w:spacing w:before="0" w:after="6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待解决/待确认事项：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0" w:type="auto"/>
        <w:tblLayout w:type="fixed"/>
      </w:tblPr>
      <w:tblGrid>
        <w:gridCol w:w="907"/>
        <w:gridCol w:w="5330"/>
        <w:gridCol w:w="2665"/>
      </w:tblGrid>
      <w:tr>
        <w:tc>
          <w:tcPr>
            <w:tcW w:w="907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w="5330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w="2665" w:type="dxa"/>
            <w:shd w:val="clear" w:color="auto" w:fill="D9E2F3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w="90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Q1</w:t>
            </w:r>
          </w:p>
        </w:tc>
        <w:tc>
          <w:tcPr>
            <w:tcW w:w="533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cdc_sync_rst.v 中 sycstates_if 为无复位寄存器，可能影响生成复位</w:t>
            </w:r>
          </w:p>
        </w:tc>
        <w:tc>
          <w:tcPr>
            <w:tcW w:w="266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待解决（P0）</w:t>
            </w:r>
          </w:p>
        </w:tc>
      </w:tr>
      <w:tr>
        <w:tc>
          <w:tcPr>
            <w:tcW w:w="90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Q3</w:t>
            </w:r>
          </w:p>
        </w:tc>
        <w:tc>
          <w:tcPr>
            <w:tcW w:w="533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canfd_top 例化 canfd 时接口 spi_crc_error 找不到（暂注释）</w:t>
            </w:r>
          </w:p>
        </w:tc>
        <w:tc>
          <w:tcPr>
            <w:tcW w:w="266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待解决（P0）</w:t>
            </w:r>
          </w:p>
        </w:tc>
      </w:tr>
      <w:tr>
        <w:tc>
          <w:tcPr>
            <w:tcW w:w="90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Q4</w:t>
            </w:r>
          </w:p>
        </w:tc>
        <w:tc>
          <w:tcPr>
            <w:tcW w:w="533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xpm_memory_sdpram_a/b 的 regceb 端口不存在（暂注释）</w:t>
            </w:r>
          </w:p>
        </w:tc>
        <w:tc>
          <w:tcPr>
            <w:tcW w:w="266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待解决（P0）</w:t>
            </w:r>
          </w:p>
        </w:tc>
      </w:tr>
      <w:tr>
        <w:tc>
          <w:tcPr>
            <w:tcW w:w="90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缺口1</w:t>
            </w:r>
          </w:p>
        </w:tc>
        <w:tc>
          <w:tcPr>
            <w:tcW w:w="533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IER1/IER2 位域未定义（疑似 ECC 等新增中断源）</w:t>
            </w:r>
          </w:p>
        </w:tc>
        <w:tc>
          <w:tcPr>
            <w:tcW w:w="266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待设计确认</w:t>
            </w:r>
          </w:p>
        </w:tc>
      </w:tr>
      <w:tr>
        <w:tc>
          <w:tcPr>
            <w:tcW w:w="90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缺口2</w:t>
            </w:r>
          </w:p>
        </w:tc>
        <w:tc>
          <w:tcPr>
            <w:tcW w:w="533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SPI 接口/外部时钟失效检测/时钟输出缺寄存器描述</w:t>
            </w:r>
          </w:p>
        </w:tc>
        <w:tc>
          <w:tcPr>
            <w:tcW w:w="266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待设计确认</w:t>
            </w:r>
          </w:p>
        </w:tc>
      </w:tr>
      <w:tr>
        <w:tc>
          <w:tcPr>
            <w:tcW w:w="907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缺口3</w:t>
            </w:r>
          </w:p>
        </w:tc>
        <w:tc>
          <w:tcPr>
            <w:tcW w:w="5330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 个新用例未纳入 test.json 回归</w:t>
            </w:r>
          </w:p>
        </w:tc>
        <w:tc>
          <w:tcPr>
            <w:tcW w:w="2665" w:type="dxa"/>
            <w:vAlign w:val="center"/>
          </w:tcPr>
          <w:p>
            <w:pPr>
              <w:spacing w:before="0" w:after="20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待补齐</w:t>
            </w:r>
          </w:p>
        </w:tc>
      </w:tr>
    </w:tbl>
    <w:p>
      <w:pPr>
        <w:spacing w:before="120" w:after="60"/>
        <w:jc w:val="center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— 报告结束 —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  <w:szCs w:val="21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