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drawing>
          <wp:inline distT="0" distB="0" distL="0" distR="0">
            <wp:extent cx="17145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888888"/>
          <w:sz w:val="16"/>
          <w:szCs w:val="16"/>
        </w:rPr>
        <w:t xml:space="preserve">SELF-SERVICE BEVERAGE SYSTEM</w:t>
      </w:r>
    </w:p>
    <w:p>
      <w:pPr>
        <w:spacing w:after="0"/>
      </w:pPr>
      <w:r>
        <w:rPr>
          <w:rFonts w:ascii="Calibri" w:cs="Calibri" w:eastAsia="Calibri" w:hAnsi="Calibri"/>
          <w:b/>
          <w:bCs/>
          <w:i w:val="false"/>
          <w:iCs w:val="false"/>
          <w:color w:val="0a0a0a"/>
          <w:sz w:val="42"/>
          <w:szCs w:val="42"/>
        </w:rPr>
        <w:t xml:space="preserve">Definición Inicial del Producto</w:t>
      </w:r>
    </w:p>
    <w:p>
      <w:pPr>
        <w:spacing w:after="200"/>
      </w:pP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42"/>
          <w:szCs w:val="42"/>
        </w:rPr>
        <w:t xml:space="preserve">y Mapa de Actores</w:t>
      </w:r>
    </w:p>
    <w:p>
      <w:pPr>
        <w:pBdr>
          <w:top w:val="single" w:color="c0392b" w:sz="6"/>
        </w:pBdr>
        <w:spacing w:after="200" w:before="100"/>
      </w:pP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22"/>
          <w:szCs w:val="22"/>
        </w:rPr>
        <w:t xml:space="preserve">Módulo de Estrategia de Producto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aaaaaa"/>
          <w:sz w:val="18"/>
          <w:szCs w:val="18"/>
        </w:rPr>
        <w:t xml:space="preserve">Julio 2026  |  Versión 1.0</w:t>
      </w:r>
    </w:p>
    <w:p>
      <w:pPr>
        <w:sectPr>
          <w:pgSz w:w="11906" w:h="16838" w:orient="portrait"/>
          <w:pgMar w:top="500" w:right="650" w:bottom="500" w:left="650" w:header="708" w:footer="708" w:gutter="0"/>
          <w:pgNumType/>
          <w:docGrid w:linePitch="360"/>
        </w:sectPr>
      </w:pPr>
    </w:p>
    <w:p>
      <w:pPr>
        <w:pStyle w:val="Heading1"/>
        <w:pBdr>
          <w:left w:val="single" w:color="c0392b" w:sz="6" w:space="8"/>
        </w:pBdr>
        <w:spacing w:after="120" w:before="280"/>
        <w:ind w:left="120"/>
      </w:pPr>
      <w:r>
        <w:t xml:space="preserve">Resumen Ejecutivo</w:t>
      </w:r>
    </w:p>
    <w:p>
      <w:pPr>
        <w:spacing w:after="120" w:before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Elevator Pitch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1"/>
          <w:szCs w:val="21"/>
        </w:rPr>
        <w:t xml:space="preserve">SERVITE es un sistema de autoservicio de bebidas que combina canillas inteligentes con una plataforma digital, permitiendo a los usuarios servirse de forma autónoma a través de una app, tarjetas NFC o pagos con código QR/tarjetas de crédito.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a0a0a"/>
          <w:sz w:val="21"/>
          <w:szCs w:val="21"/>
        </w:rPr>
        <w:t xml:space="preserve">Para el negocio: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Elimina las largas filas que limitan el consumo, reduce la pérdida de ventas en momentos de alta demanda, disminuye los altos costos operativos del personal de barra y soluciona la falta de control e información en tiempo real sobre las ventas.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a0a0a"/>
          <w:sz w:val="21"/>
          <w:szCs w:val="21"/>
        </w:rPr>
        <w:t xml:space="preserve">Para el usuario: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Elimina las esperas innecesarias, la falta de autonomía y la mala experiencia al intentar consumir con agilidad en eventos pagos.</w:t>
      </w:r>
    </w:p>
    <w:p>
      <w:pPr>
        <w:spacing w:after="120" w:before="80"/>
      </w:pPr>
      <w:r>
        <w:rPr>
          <w:rFonts w:ascii="Calibri" w:cs="Calibri" w:eastAsia="Calibri" w:hAnsi="Calibri"/>
          <w:b/>
          <w:bCs/>
          <w:i w:val="false"/>
          <w:iCs w:val="false"/>
          <w:color w:val="0a0a0a"/>
          <w:sz w:val="21"/>
          <w:szCs w:val="21"/>
        </w:rPr>
        <w:t xml:space="preserve">Valor generado: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Aumentar significativamente la velocidad de atención, multiplicar los puntos de venta sin necesidad de contratar más personal y ofrecer múltiples métodos de pago sin fricción, maximizando las ventas del organizador y mejorando radicalmente la experiencia del consumidor.</w:t>
      </w:r>
    </w:p>
    <w:p>
      <w:pPr>
        <w:pStyle w:val="Heading1"/>
        <w:pBdr>
          <w:left w:val="single" w:color="c0392b" w:sz="6" w:space="8"/>
        </w:pBdr>
        <w:spacing w:after="120" w:before="280"/>
        <w:ind w:left="120"/>
      </w:pPr>
      <w:r>
        <w:t xml:space="preserve">Clasificación del Producto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800"/>
            <w:shd w:color="f5f5f5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Tipo</w:t>
            </w:r>
          </w:p>
        </w:tc>
        <w:tc>
          <w:tcPr>
            <w:tcW w:type="dxa" w:w="5000"/>
            <w:shd w:color="f5f5f5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20"/>
                <w:szCs w:val="20"/>
              </w:rPr>
              <w:t xml:space="preserve">Plataforma B2B2C (Software as a Service + IoT/Hardware)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Componentes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20"/>
                <w:szCs w:val="20"/>
              </w:rPr>
              <w:t xml:space="preserve">Plataforma de gestión para el comercio, software de usuario final (App/Web) y equipos físicos (módulos de canillas)</w:t>
            </w:r>
          </w:p>
        </w:tc>
      </w:tr>
      <w:tr>
        <w:trPr>
          <w:tblHeader w:val="false"/>
        </w:trPr>
        <w:tc>
          <w:tcPr>
            <w:tcW w:type="dxa" w:w="1800"/>
            <w:shd w:color="f5f5f5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Usuario que paga</w:t>
            </w:r>
          </w:p>
        </w:tc>
        <w:tc>
          <w:tcPr>
            <w:tcW w:type="dxa" w:w="5000"/>
            <w:shd w:color="f5f5f5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20"/>
                <w:szCs w:val="20"/>
              </w:rPr>
              <w:t xml:space="preserve">Organizador de eventos / dueño del bar</w:t>
            </w:r>
          </w:p>
        </w:tc>
      </w:tr>
      <w:tr>
        <w:trPr>
          <w:tblHeader w:val="false"/>
        </w:trPr>
        <w:tc>
          <w:tcPr>
            <w:tcW w:type="dxa" w:w="18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Usuario que usa</w:t>
            </w:r>
          </w:p>
        </w:tc>
        <w:tc>
          <w:tcPr>
            <w:tcW w:type="dxa" w:w="5000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20"/>
                <w:szCs w:val="20"/>
              </w:rPr>
              <w:t xml:space="preserve">Asistente al evento / consumidor final</w:t>
            </w:r>
          </w:p>
        </w:tc>
      </w:tr>
      <w:tr>
        <w:trPr>
          <w:tblHeader w:val="false"/>
        </w:trPr>
        <w:tc>
          <w:tcPr>
            <w:tcW w:type="dxa" w:w="1800"/>
            <w:shd w:color="f5f5f5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66666"/>
                <w:sz w:val="19"/>
                <w:szCs w:val="19"/>
              </w:rPr>
              <w:t xml:space="preserve">Objetivo general</w:t>
            </w:r>
          </w:p>
        </w:tc>
        <w:tc>
          <w:tcPr>
            <w:tcW w:type="dxa" w:w="5000"/>
            <w:shd w:color="f5f5f5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20"/>
                <w:szCs w:val="20"/>
              </w:rPr>
              <w:t xml:space="preserve">Transformar y optimizar la operación de barras en eventos, automatizando el despacho de bebidas para aumentar la capacidad de atención, brindando control total sobre el consumo y generando métricas en tiempo real.</w:t>
            </w:r>
          </w:p>
        </w:tc>
      </w:tr>
    </w:tbl>
    <w:p>
      <w:pPr>
        <w:sectPr>
          <w:pgSz w:w="11906" w:h="16838" w:orient="portrait"/>
          <w:pgMar w:top="600" w:right="650" w:bottom="600" w:left="650" w:header="708" w:footer="708" w:gutter="0"/>
          <w:pgNumType/>
          <w:docGrid w:linePitch="360"/>
        </w:sectPr>
      </w:pPr>
    </w:p>
    <w:p>
      <w:pPr>
        <w:pStyle w:val="Heading1"/>
        <w:pBdr>
          <w:left w:val="single" w:color="c0392b" w:sz="6" w:space="8"/>
        </w:pBdr>
        <w:spacing w:after="120" w:before="280"/>
        <w:ind w:left="120"/>
      </w:pPr>
      <w:r>
        <w:t xml:space="preserve">Mapa de Stakeholders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Actores clave: influencia, interés y rol en el ecosistema SERVITE</w:t>
      </w:r>
    </w:p>
    <w:p>
      <w:pPr>
        <w:spacing w:after="12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600"/>
            <w:shd w:color="0a0a0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1600"/>
            <w:shd w:color="0a0a0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1600"/>
            <w:shd w:color="0a0a0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Influencia</w:t>
            </w:r>
          </w:p>
        </w:tc>
        <w:tc>
          <w:tcPr>
            <w:tcW w:type="dxa" w:w="2600"/>
            <w:shd w:color="0a0a0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Interés / Motivación</w:t>
            </w:r>
          </w:p>
        </w:tc>
        <w:tc>
          <w:tcPr>
            <w:tcW w:type="dxa" w:w="1600"/>
            <w:shd w:color="0a0a0a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</w:tr>
      <w:tr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Vos (Founder / PM)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Visión y producto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Estrategia, liderar desarrollo, captar clientes.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Interno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Primo (Co-founder)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Operaciones / logística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Alianzas, proveedores, logística hardware.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Interno</w:t>
            </w:r>
          </w:p>
        </w:tc>
      </w:tr>
      <w:tr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Desarrolladores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Ejecución técnica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App, backend e IoT. Calidad y velocidad.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Interno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Abogado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Asesor legal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Media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Contratos, PI, datos, regulatorio.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Asesor</w:t>
            </w:r>
          </w:p>
        </w:tc>
      </w:tr>
      <w:tr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Contador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Asesor financiero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Media</w:t>
            </w:r>
          </w:p>
        </w:tc>
        <w:tc>
          <w:tcPr>
            <w:tcW w:type="dxa" w:w="2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Societaria, impuestos, cash flow.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Asesor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Organizador / Dueño de bar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Cliente B2B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Ventas, costos, métricas tiempo real.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Usuario que paga</w:t>
            </w:r>
          </w:p>
        </w:tc>
      </w:tr>
      <w:tr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Consumidor final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Usuario sistema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Agilidad, autonomía, pagos sin fricción.</w:t>
            </w:r>
          </w:p>
        </w:tc>
        <w:tc>
          <w:tcPr>
            <w:tcW w:type="dxa" w:w="1600"/>
            <w:shd w:color="f7f7f7" w:val="clear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Usuario que usa</w:t>
            </w:r>
          </w:p>
        </w:tc>
      </w:tr>
      <w:tr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a0a0a"/>
                <w:sz w:val="18"/>
                <w:szCs w:val="18"/>
              </w:rPr>
              <w:t xml:space="preserve">Inversor / Socio estrat.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Financiador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18"/>
                <w:szCs w:val="18"/>
              </w:rPr>
              <w:t xml:space="preserve">Alta</w:t>
            </w:r>
          </w:p>
        </w:tc>
        <w:tc>
          <w:tcPr>
            <w:tcW w:type="dxa" w:w="2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ROI, escalabilidad, tracción.</w:t>
            </w:r>
          </w:p>
        </w:tc>
        <w:tc>
          <w:tcPr>
            <w:tcW w:type="dxa" w:w="1600"/>
            <w:vAlign w:val="center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8"/>
                <w:szCs w:val="18"/>
              </w:rPr>
              <w:t xml:space="preserve">Financiero</w:t>
            </w:r>
          </w:p>
        </w:tc>
      </w:tr>
    </w:tbl>
    <w:p>
      <w:pPr>
        <w:sectPr>
          <w:pgSz w:w="11906" w:h="16838" w:orient="portrait"/>
          <w:pgMar w:top="600" w:right="650" w:bottom="600" w:left="650" w:header="708" w:footer="708" w:gutter="0"/>
          <w:pgNumType/>
          <w:docGrid w:linePitch="360"/>
        </w:sectPr>
      </w:pPr>
    </w:p>
    <w:p>
      <w:pPr>
        <w:pStyle w:val="Heading1"/>
        <w:pBdr>
          <w:left w:val="single" w:color="c0392b" w:sz="6" w:space="8"/>
        </w:pBdr>
        <w:spacing w:after="120" w:before="280"/>
        <w:ind w:left="120"/>
      </w:pPr>
      <w:r>
        <w:t xml:space="preserve">Matriz Influencia — Interés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20"/>
          <w:szCs w:val="20"/>
        </w:rPr>
        <w:t xml:space="preserve">Posicionamiento estratégico según poder e interés de cada actor</w:t>
      </w:r>
    </w:p>
    <w:p>
      <w:pPr>
        <w:spacing w:after="1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250"/>
            <w:shd w:color="e8f5e9" w:val="clea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e7d32"/>
                <w:sz w:val="20"/>
                <w:szCs w:val="20"/>
              </w:rPr>
              <w:t xml:space="preserve">Mantener Informados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• Desarrolladores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• Inversor</w:t>
            </w:r>
          </w:p>
        </w:tc>
        <w:tc>
          <w:tcPr>
            <w:tcW w:type="dxa" w:w="4250"/>
            <w:shd w:color="fde8e8" w:val="clea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Gestionar de Cerca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• Vos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• Primo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• Organizador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• Consumidor</w:t>
            </w:r>
          </w:p>
        </w:tc>
      </w:tr>
      <w:tr>
        <w:tc>
          <w:tcPr>
            <w:tcW w:type="dxa" w:w="4250"/>
            <w:shd w:color="f5f5f5" w:val="clea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Monitorear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• Abogado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a0a0a"/>
                <w:sz w:val="19"/>
                <w:szCs w:val="19"/>
              </w:rPr>
              <w:t xml:space="preserve">• Contador</w:t>
            </w:r>
          </w:p>
        </w:tc>
        <w:tc>
          <w:tcPr>
            <w:tcW w:type="dxa" w:w="4250"/>
            <w:shd w:color="fff8e1" w:val="clear"/>
          </w:tcPr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8860b"/>
                <w:sz w:val="20"/>
                <w:szCs w:val="20"/>
              </w:rPr>
              <w:t xml:space="preserve">Mantener Satisfechos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bbbbbb"/>
                <w:sz w:val="19"/>
                <w:szCs w:val="19"/>
              </w:rPr>
              <w:t xml:space="preserve">— (sin actores)</w:t>
            </w:r>
          </w:p>
        </w:tc>
      </w:tr>
    </w:tbl>
    <w:p>
      <w:pPr>
        <w:spacing w:after="200"/>
      </w:pPr>
    </w:p>
    <w:p>
      <w:pPr>
        <w:pStyle w:val="Heading1"/>
        <w:pBdr>
          <w:left w:val="single" w:color="c0392b" w:sz="6" w:space="8"/>
        </w:pBdr>
        <w:spacing w:after="120" w:before="280"/>
        <w:ind w:left="120"/>
      </w:pPr>
      <w:r>
        <w:t xml:space="preserve">Análisis de Riesgos</w:t>
      </w:r>
    </w:p>
    <w:p>
      <w:pPr>
        <w:spacing w:after="12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0392b"/>
          <w:sz w:val="21"/>
          <w:szCs w:val="21"/>
        </w:rPr>
        <w:t xml:space="preserve">Desafío Principal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La barrera de adopción tecnológica y logística en el momento del evento. Si bien Servite ofrece modalidades de "Consumo Libre" con App y "Consumo Medido" con QR/NFC, lograr que un usuario en un entorno de ocio descargue una aplicación, se registre y cargue saldo rápidamente sin generar frustración inicial requerirá un excelente diseño de experiencia de usuario (UX).</w:t>
      </w:r>
    </w:p>
    <w:p>
      <w:pPr>
        <w:spacing w:after="120" w:before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1"/>
          <w:szCs w:val="21"/>
        </w:rPr>
        <w:t xml:space="preserve">Desafío Operativo</w:t>
      </w:r>
    </w:p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La logística de trasladar e instalar hardware físico (canillas) para eventos temporales representa un desafío operativo constante.</w:t>
      </w:r>
    </w:p>
    <w:p>
      <w:pPr>
        <w:spacing w:after="120" w:before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a0a0a"/>
          <w:sz w:val="22"/>
          <w:szCs w:val="22"/>
        </w:rPr>
        <w:t xml:space="preserve">Datos críticos a validar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4"/>
          <w:szCs w:val="24"/>
        </w:rPr>
        <w:t xml:space="preserve">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Tasa de conversión real: qué porcentaje de usuarios prefiere descargar la app frente a quienes prefieren el pago directo por QR o tarjeta de crédito sin fricción.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4"/>
          <w:szCs w:val="24"/>
        </w:rPr>
        <w:t xml:space="preserve">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Viabilidad del modelo de negocio compuesto: Fee de instalación + Alquiler + Tarifa base + Porcentaje sobre consumo. ¿Es viable para los primeros clientes?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c0392b"/>
          <w:sz w:val="24"/>
          <w:szCs w:val="24"/>
        </w:rPr>
        <w:t xml:space="preserve">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Tiempo promedio de registro y primera carga: si supera los 90 segundos, la tasa de abandono crece exponencialmente en entornos de alta demanda.</w:t>
      </w:r>
    </w:p>
    <w:sectPr>
      <w:pgSz w:w="11906" w:h="16838" w:orient="portrait"/>
      <w:pgMar w:top="600" w:right="650" w:bottom="60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a0a0a"/>
        <w:sz w:val="21"/>
        <w:szCs w:val="21"/>
      </w:rPr>
    </w:rPrDefault>
    <w:pPrDefault>
      <w:pPr>
        <w:spacing w:after="1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03aeffdc1d637998029518b4a8544ec0b26db00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2026-07-29T19:25:01.024Z</dcterms:created>
  <dcterms:modified xsi:type="dcterms:W3CDTF">2026-07-29T19:25:01.026Z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