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8"/>
        </w:rPr>
        <w:t>TASK 3 | CAUSALITY ASSESSMENT</w:t>
      </w:r>
    </w:p>
    <w:p>
      <w:pPr>
        <w:spacing w:after="160"/>
        <w:jc w:val="center"/>
      </w:pPr>
      <w:r>
        <w:rPr>
          <w:b/>
          <w:color w:val="00808C"/>
          <w:sz w:val="22"/>
        </w:rPr>
        <w:t>Amoxicillin-associated skin rash | Case-based assessment</w:t>
      </w: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1.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reported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45 years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Sex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Female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2. CLINICAL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Suspected drug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Amoxicillin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Adverse reaction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Skin rash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Outcome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Recovered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3. CASE NARRATIVE</w:t>
      </w:r>
    </w:p>
    <w:p>
      <w:r>
        <w:t>A 45-year-old female developed a skin rash 3 days after starting amoxicillin. Amoxicillin was discontinued, following which the patient recovered. No information was provided regarding alternative causes, previous similar reactions, rechallenge, placebo, dose-response, drug concentration, or objective confirmation.</w:t>
      </w: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4. TEMPORAL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Event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Drug started — Amoxicillin initiated.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Skin rash began (3 days after start).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Drug stopped — Amoxicillin discontinued.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After stopping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Rash resolved; patient recovered.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5. WHO–UMC CAUSALITY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Case finding / evidence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1. Plausible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Skin rash is a known reaction with amoxicillin.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2. Reasonable timing (temporal relationship)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Rash occurred 3 days after starting amoxicillin.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3. Temporal response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Drug started → rash began → drug stopped → rash resolved.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4. Alternative explanations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information available on other causes; alternatives cannot be excluded.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Cannot evaluate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5. Dechallenge (withdrawal)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Rash improved after amoxicillin was discontinued.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Positive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6. Rechallenge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Rechallenge not reported.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 done / unknown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006E4B"/>
          <w:sz w:val="24"/>
        </w:rPr>
        <w:t>FINAL ASSESSMENT (WHO–UMC): POSSIBLE</w:t>
      </w: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Conclusion (WHO–UMC)</w:t>
      </w:r>
    </w:p>
    <w:p>
      <w:r>
        <w:t>The event has a reasonable temporal relationship and improved after withdrawal. However, alternative causes cannot be excluded and rechallenge is not done. Therefore, the case is classified as POSSIBLE.</w:t>
      </w:r>
    </w:p>
    <w:p>
      <w:pPr>
        <w:spacing w:after="100"/>
      </w:pPr>
      <w:r>
        <w:rPr>
          <w:i/>
          <w:sz w:val="16"/>
        </w:rPr>
        <w:t>Source noted in image: WHO–UMC System for Standardised Case Causality Assessment.</w:t>
      </w: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6. NARANJO ALGORITHM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Question (abbreviated)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Previous conclusive reports on this reaction?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Did the adverse event appear after the suspected drug was administered?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Did the reaction improve when the drug was discontinued?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Did the reaction reappear when the drug was readministered?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Are there alternative causes that could on their own have caused the reaction?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Did the reaction reappear after a placebo was given?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Was the drug detected in blood (or other fluids) in toxic concentrations?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Was the reaction more severe when the dose was increased or less severe when decreased?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Did the patient have a similar reaction to the same or similar drugs in any previous exposure?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Was the adverse event confirmed by any objective evidence?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 not know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Total 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Naranjo causality category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POSSIBLE (score 1–4)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i/>
          <w:sz w:val="16"/>
        </w:rPr>
        <w:t>Interpretation shown in image: Score 1–4 = POSSIBLE; 5–8 = PROBABLE; 9 or more = DEFINITE.</w:t>
      </w: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KEY TAKEAWAYS</w:t>
      </w:r>
    </w:p>
    <w:p>
      <w:pPr>
        <w:pStyle w:val="ListBullet"/>
      </w:pPr>
      <w:r>
        <w:t>Onset after drug administration and improvement after withdrawal support causality.</w:t>
      </w:r>
    </w:p>
    <w:p>
      <w:pPr>
        <w:pStyle w:val="ListBullet"/>
      </w:pPr>
      <w:r>
        <w:t>No alternative causes or re-exposure information is available.</w:t>
      </w:r>
    </w:p>
    <w:p>
      <w:pPr>
        <w:pStyle w:val="ListBullet"/>
      </w:pPr>
      <w:r>
        <w:t>Both WHO–UMC and Naranjo methods classify this case as POSSIBLE.</w:t>
      </w:r>
    </w:p>
    <w:p>
      <w:pPr>
        <w:spacing w:before="120" w:after="60"/>
      </w:pPr>
      <w:r>
        <w:rPr>
          <w:rFonts w:ascii="Arial" w:hAnsi="Arial"/>
          <w:b/>
          <w:color w:val="1F4E79"/>
          <w:sz w:val="19"/>
        </w:rPr>
        <w:t>OVERALL ASSESSMENT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WHO–UMC category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POSSIBLE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Naranjo algorithm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POSSIBLE (score = 3)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i/>
        </w:rPr>
        <w:t>Causality assessment approaches support structured evaluation; they do not prove pharmacological causation.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