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Calibri" w:hAnsi="Calibri" w:eastAsia="Calibri" w:cs="Calibri"/>
          <w:color w:val="404040"/>
          <w:sz w:val="44"/>
        </w:rPr>
      </w:pPr>
      <w:r>
        <w:rPr>
          <w:rFonts w:ascii="宋体" w:hAnsi="宋体" w:eastAsia="宋体" w:cs="宋体"/>
          <w:color w:val="404040"/>
          <w:sz w:val="44"/>
        </w:rPr>
        <w:t>河南裹裹镖驹物流有限公司</w:t>
      </w:r>
    </w:p>
    <w:p>
      <w:pPr>
        <w:jc w:val="center"/>
        <w:rPr>
          <w:rFonts w:ascii="Calibri" w:hAnsi="Calibri" w:eastAsia="Calibri" w:cs="Calibri"/>
          <w:b/>
          <w:sz w:val="52"/>
        </w:rPr>
      </w:pP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微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信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公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众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平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台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设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计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方</w:t>
      </w:r>
    </w:p>
    <w:p>
      <w:pPr>
        <w:jc w:val="center"/>
        <w:rPr>
          <w:rFonts w:ascii="Calibri" w:hAnsi="Calibri" w:eastAsia="Calibri" w:cs="Calibri"/>
          <w:b/>
          <w:sz w:val="52"/>
        </w:rPr>
      </w:pPr>
      <w:r>
        <w:rPr>
          <w:rFonts w:ascii="宋体" w:hAnsi="宋体" w:eastAsia="宋体" w:cs="宋体"/>
          <w:b/>
          <w:sz w:val="52"/>
        </w:rPr>
        <w:t>案</w:t>
      </w:r>
    </w:p>
    <w:p>
      <w:pPr>
        <w:jc w:val="left"/>
        <w:rPr>
          <w:rFonts w:ascii="Calibri" w:hAnsi="Calibri" w:eastAsia="Calibri" w:cs="Calibri"/>
          <w:b/>
          <w:sz w:val="28"/>
        </w:rPr>
      </w:pPr>
    </w:p>
    <w:p>
      <w:pPr>
        <w:jc w:val="left"/>
        <w:rPr>
          <w:rFonts w:ascii="Calibri" w:hAnsi="Calibri" w:eastAsia="Calibri" w:cs="Calibri"/>
          <w:b/>
          <w:sz w:val="28"/>
        </w:rPr>
      </w:pPr>
    </w:p>
    <w:p>
      <w:pPr>
        <w:jc w:val="right"/>
        <w:rPr>
          <w:rFonts w:ascii="Calibri" w:hAnsi="Calibri" w:eastAsia="Calibri" w:cs="Calibri"/>
          <w:b/>
          <w:sz w:val="28"/>
        </w:rPr>
      </w:pPr>
      <w:r>
        <w:rPr>
          <w:rFonts w:ascii="宋体" w:hAnsi="宋体" w:eastAsia="宋体" w:cs="宋体"/>
          <w:b/>
          <w:sz w:val="28"/>
        </w:rPr>
        <w:t>拟定人：田宇</w:t>
      </w:r>
    </w:p>
    <w:p>
      <w:pPr>
        <w:jc w:val="right"/>
        <w:rPr>
          <w:rFonts w:ascii="Calibri" w:hAnsi="Calibri" w:eastAsia="Calibri" w:cs="Calibri"/>
          <w:b/>
          <w:sz w:val="28"/>
        </w:rPr>
      </w:pPr>
      <w:r>
        <w:rPr>
          <w:rFonts w:ascii="Calibri" w:hAnsi="Calibri" w:eastAsia="Calibri" w:cs="Calibri"/>
          <w:b/>
          <w:sz w:val="28"/>
        </w:rPr>
        <w:t>2016</w:t>
      </w:r>
      <w:r>
        <w:rPr>
          <w:rFonts w:ascii="宋体" w:hAnsi="宋体" w:eastAsia="宋体" w:cs="宋体"/>
          <w:b/>
          <w:sz w:val="28"/>
        </w:rPr>
        <w:t>年</w:t>
      </w:r>
      <w:r>
        <w:rPr>
          <w:rFonts w:ascii="Calibri" w:hAnsi="Calibri" w:eastAsia="Calibri" w:cs="Calibri"/>
          <w:b/>
          <w:sz w:val="28"/>
        </w:rPr>
        <w:t>12</w:t>
      </w:r>
      <w:r>
        <w:rPr>
          <w:rFonts w:ascii="宋体" w:hAnsi="宋体" w:eastAsia="宋体" w:cs="宋体"/>
          <w:b/>
          <w:sz w:val="28"/>
        </w:rPr>
        <w:t>月</w:t>
      </w:r>
      <w:r>
        <w:rPr>
          <w:rFonts w:ascii="Calibri" w:hAnsi="Calibri" w:eastAsia="Calibri" w:cs="Calibri"/>
          <w:b/>
          <w:sz w:val="28"/>
        </w:rPr>
        <w:t>19</w:t>
      </w:r>
      <w:r>
        <w:rPr>
          <w:rFonts w:ascii="宋体" w:hAnsi="宋体" w:eastAsia="宋体" w:cs="宋体"/>
          <w:b/>
          <w:sz w:val="28"/>
        </w:rPr>
        <w:t>日</w:t>
      </w:r>
    </w:p>
    <w:p>
      <w:pPr>
        <w:jc w:val="left"/>
        <w:rPr>
          <w:rFonts w:ascii="Calibri" w:hAnsi="Calibri" w:eastAsia="Calibri" w:cs="Calibri"/>
          <w:b/>
          <w:sz w:val="28"/>
        </w:rPr>
      </w:pPr>
    </w:p>
    <w:p>
      <w:pPr>
        <w:numPr>
          <w:ilvl w:val="0"/>
          <w:numId w:val="1"/>
        </w:numPr>
        <w:ind w:left="720" w:hanging="720"/>
        <w:jc w:val="left"/>
        <w:rPr>
          <w:rFonts w:ascii="Calibri" w:hAnsi="Calibri" w:eastAsia="Calibri" w:cs="Calibri"/>
          <w:b/>
          <w:sz w:val="28"/>
        </w:rPr>
      </w:pPr>
      <w:bookmarkStart w:id="1" w:name="_GoBack"/>
      <w:bookmarkEnd w:id="1"/>
      <w:r>
        <w:rPr>
          <w:rFonts w:ascii="宋体" w:hAnsi="宋体" w:eastAsia="宋体" w:cs="宋体"/>
          <w:b/>
          <w:sz w:val="28"/>
        </w:rPr>
        <w:t>项目背景</w:t>
      </w:r>
    </w:p>
    <w:p>
      <w:pPr>
        <w:ind w:left="720"/>
        <w:jc w:val="left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1.1</w:t>
      </w:r>
      <w:r>
        <w:rPr>
          <w:rFonts w:ascii="宋体" w:hAnsi="宋体" w:eastAsia="宋体" w:cs="宋体"/>
          <w:b/>
          <w:sz w:val="24"/>
        </w:rPr>
        <w:t>搭建微信公众平台目的</w:t>
      </w:r>
    </w:p>
    <w:p>
      <w:pPr>
        <w:ind w:left="720"/>
        <w:jc w:val="left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①为了提升校园末端快递服务的质量，将物流与移动互联网进行完美结合，通过对校内外的资源整合，形成校园</w:t>
      </w:r>
      <w:r>
        <w:rPr>
          <w:rFonts w:ascii="Calibri" w:hAnsi="Calibri" w:eastAsia="Calibri" w:cs="Calibri"/>
          <w:sz w:val="24"/>
        </w:rPr>
        <w:t>O2O</w:t>
      </w:r>
      <w:r>
        <w:rPr>
          <w:rFonts w:ascii="宋体" w:hAnsi="宋体" w:eastAsia="宋体" w:cs="宋体"/>
          <w:sz w:val="24"/>
        </w:rPr>
        <w:t>产业链，成为优质的校园渠道服务商，为用户提供综合性服务（根本目的）。</w:t>
      </w:r>
    </w:p>
    <w:p>
      <w:pPr>
        <w:ind w:left="720"/>
        <w:jc w:val="left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②为了把快递末端的人流量引至线上，方便进一步的数据转化（引流）。</w:t>
      </w:r>
    </w:p>
    <w:p>
      <w:pPr>
        <w:ind w:left="720"/>
        <w:jc w:val="left"/>
        <w:rPr>
          <w:rFonts w:ascii="Calibri" w:hAnsi="Calibri" w:eastAsia="Calibri" w:cs="Calibri"/>
          <w:sz w:val="24"/>
        </w:rPr>
      </w:pPr>
      <w:r>
        <w:rPr>
          <w:rFonts w:ascii="宋体" w:hAnsi="宋体" w:eastAsia="宋体" w:cs="宋体"/>
          <w:sz w:val="24"/>
        </w:rPr>
        <w:t>③通过运营微信公众平台，营销策划活动（拉新、留存、促活）实现数据的转化（转化）。</w:t>
      </w:r>
    </w:p>
    <w:p>
      <w:pPr>
        <w:ind w:left="720"/>
        <w:jc w:val="left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1.2</w:t>
      </w:r>
      <w:r>
        <w:rPr>
          <w:rFonts w:ascii="宋体" w:hAnsi="宋体" w:eastAsia="宋体" w:cs="宋体"/>
          <w:b/>
          <w:sz w:val="24"/>
        </w:rPr>
        <w:t>公司获得价值及可行性分析</w:t>
      </w:r>
    </w:p>
    <w:p>
      <w:pPr>
        <w:ind w:left="720" w:firstLine="480"/>
        <w:jc w:val="left"/>
        <w:rPr>
          <w:rFonts w:ascii="Calibri" w:hAnsi="Calibri" w:eastAsia="Calibri" w:cs="Calibri"/>
        </w:rPr>
      </w:pPr>
      <w:r>
        <w:rPr>
          <w:rFonts w:ascii="宋体" w:hAnsi="宋体" w:eastAsia="宋体" w:cs="宋体"/>
          <w:sz w:val="24"/>
        </w:rPr>
        <w:t>通过此方案的设计与执行，可以将快递门店的线下人流逐步导入线上，又通过线上拉动线下，在为用户提供优质、便捷、完善的物流服务的同时完成在校园的渠道搭建，进一步为用户提供包裹代收、代寄，购物，兼职，休闲娱乐等综合性服务。</w:t>
      </w:r>
    </w:p>
    <w:p>
      <w:pPr>
        <w:jc w:val="left"/>
        <w:rPr>
          <w:rFonts w:ascii="Calibri" w:hAnsi="Calibri" w:eastAsia="Calibri" w:cs="Calibri"/>
          <w:b/>
          <w:sz w:val="28"/>
        </w:rPr>
      </w:pPr>
    </w:p>
    <w:p>
      <w:pPr>
        <w:numPr>
          <w:ilvl w:val="0"/>
          <w:numId w:val="2"/>
        </w:numPr>
        <w:ind w:left="720" w:hanging="720"/>
        <w:jc w:val="left"/>
        <w:rPr>
          <w:rFonts w:ascii="Calibri" w:hAnsi="Calibri" w:eastAsia="Calibri" w:cs="Calibri"/>
          <w:b/>
          <w:sz w:val="28"/>
        </w:rPr>
      </w:pPr>
      <w:r>
        <w:rPr>
          <w:rFonts w:ascii="宋体" w:hAnsi="宋体" w:eastAsia="宋体" w:cs="宋体"/>
          <w:b/>
          <w:sz w:val="28"/>
        </w:rPr>
        <w:t>项目方案设计（解决需求）</w:t>
      </w:r>
    </w:p>
    <w:p>
      <w:pPr>
        <w:ind w:left="720"/>
        <w:jc w:val="left"/>
        <w:rPr>
          <w:rFonts w:ascii="Calibri" w:hAnsi="Calibri" w:eastAsia="Calibri" w:cs="Calibri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2.1</w:t>
      </w:r>
      <w:r>
        <w:rPr>
          <w:rFonts w:ascii="宋体" w:hAnsi="宋体" w:eastAsia="宋体" w:cs="宋体"/>
          <w:b/>
          <w:sz w:val="24"/>
        </w:rPr>
        <w:t>微信公众平台阶段性开发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鉴于公司前期对于线上板块的资金以及运营经验不足，故采取阶段性开发的方式。一方面可以节约资金，减少公司运营开支，同时又能够积累线上运营经验，不断完善平台内容，进行产品的更新迭代。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根据各店面运营情况得出的反馈，目前需要优先解决的问题为收派两端的便捷服务也可称作跑腿业务。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根据上述需求现做出如下开发。</w:t>
      </w:r>
    </w:p>
    <w:p>
      <w:pPr>
        <w:ind w:left="720"/>
        <w:jc w:val="left"/>
        <w:rPr>
          <w:rFonts w:ascii="宋体" w:hAnsi="宋体" w:eastAsia="宋体" w:cs="宋体"/>
          <w:b/>
          <w:sz w:val="24"/>
        </w:rPr>
      </w:pPr>
      <w:r>
        <w:rPr>
          <w:rFonts w:ascii="Calibri" w:hAnsi="Calibri" w:eastAsia="Calibri" w:cs="Calibri"/>
          <w:b/>
          <w:sz w:val="24"/>
        </w:rPr>
        <w:t>2.2</w:t>
      </w:r>
      <w:bookmarkStart w:id="0" w:name="OLE_LINK1"/>
      <w:r>
        <w:rPr>
          <w:rFonts w:ascii="宋体" w:hAnsi="宋体" w:eastAsia="宋体" w:cs="宋体"/>
          <w:b/>
          <w:sz w:val="24"/>
        </w:rPr>
        <w:t>裹裹镖驹</w:t>
      </w:r>
      <w:bookmarkEnd w:id="0"/>
      <w:r>
        <w:rPr>
          <w:rFonts w:ascii="宋体" w:hAnsi="宋体" w:eastAsia="宋体" w:cs="宋体"/>
          <w:b/>
          <w:sz w:val="24"/>
        </w:rPr>
        <w:t>v1.0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裹裹镖驹v1.0首要解决的问题就是末端配送以及收件问题。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①平台整体框架策划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平台包含内容：用户注册（手机号，密码），实名认证（姓名，手机号，学号等学生信息，学生证照片），申请楼长，线上支付，物流查询，上门收件（楼长），运费查询，代取快递，其他跑腿业务，个人中心，接单数量，客户评价，账户金额，提现到账，优秀楼长奖励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②平台具体内容（参考导图）</w:t>
      </w:r>
    </w:p>
    <w:p>
      <w:pPr>
        <w:ind w:left="720"/>
        <w:jc w:val="left"/>
        <w:rPr>
          <w:rFonts w:ascii="Lantinghei SC Extralight" w:hAnsi="Lantinghei SC Extralight" w:eastAsia="Lantinghei SC Extralight" w:cs="Lantinghei SC Extralight"/>
          <w:color w:val="000000"/>
          <w:sz w:val="28"/>
        </w:rPr>
      </w:pPr>
    </w:p>
    <w:tbl>
      <w:tblPr>
        <w:tblStyle w:val="5"/>
        <w:tblW w:w="7763" w:type="dxa"/>
        <w:jc w:val="center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830"/>
        <w:gridCol w:w="4933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2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</w:tcPr>
          <w:p>
            <w:pPr>
              <w:spacing w:before="100" w:after="100"/>
              <w:jc w:val="center"/>
            </w:pPr>
            <w:r>
              <w:rPr>
                <w:rFonts w:ascii="Lantinghei SC Extralight" w:hAnsi="Lantinghei SC Extralight" w:eastAsia="Lantinghei SC Extralight" w:cs="Lantinghei SC Extralight"/>
                <w:b/>
                <w:color w:val="000000"/>
                <w:sz w:val="24"/>
              </w:rPr>
              <w:t>一级导航</w:t>
            </w:r>
          </w:p>
        </w:tc>
        <w:tc>
          <w:tcPr>
            <w:tcW w:w="4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</w:tcPr>
          <w:p>
            <w:pPr>
              <w:spacing w:before="100" w:after="100"/>
              <w:jc w:val="center"/>
            </w:pPr>
            <w:r>
              <w:rPr>
                <w:rFonts w:ascii="Lantinghei SC Extralight" w:hAnsi="Lantinghei SC Extralight" w:eastAsia="Lantinghei SC Extralight" w:cs="Lantinghei SC Extralight"/>
                <w:b/>
                <w:color w:val="000000"/>
                <w:sz w:val="24"/>
              </w:rPr>
              <w:t>功能详述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210" w:hRule="atLeast"/>
          <w:jc w:val="center"/>
        </w:trPr>
        <w:tc>
          <w:tcPr>
            <w:tcW w:w="2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jc w:val="center"/>
            </w:pPr>
            <w:r>
              <w:rPr>
                <w:rFonts w:ascii="Lantinghei SC Extralight" w:hAnsi="Lantinghei SC Extralight" w:eastAsia="Lantinghei SC Extralight" w:cs="Lantinghei SC Extralight"/>
                <w:b/>
                <w:color w:val="000000"/>
                <w:sz w:val="24"/>
              </w:rPr>
              <w:t>申请楼长</w:t>
            </w:r>
          </w:p>
        </w:tc>
        <w:tc>
          <w:tcPr>
            <w:tcW w:w="4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ascii="宋体" w:hAnsi="宋体" w:eastAsia="宋体" w:cs="宋体"/>
                <w:sz w:val="22"/>
              </w:rPr>
              <w:t>①可以点击申请成为所在学校寝室楼的楼长，负责本栋楼的收件业务，客户通过公众号下单，楼长需要负责上门称重，核算金额然后收取快件，每日下午3点前需将收件送至门店。（楼长每单可赚取服务费，门店未有快递需额外收取服务费）</w:t>
            </w:r>
          </w:p>
          <w:p>
            <w:pPr>
              <w:spacing w:before="100" w:after="100"/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ascii="宋体" w:hAnsi="宋体" w:eastAsia="宋体" w:cs="宋体"/>
                <w:sz w:val="22"/>
              </w:rPr>
              <w:t>②也可以申请成为跑腿者，帮客户代取快递，可获得客户所支付的赏金。</w:t>
            </w:r>
          </w:p>
          <w:p>
            <w:pPr>
              <w:spacing w:before="100" w:after="100"/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ascii="宋体" w:hAnsi="宋体" w:eastAsia="宋体" w:cs="宋体"/>
                <w:sz w:val="22"/>
              </w:rPr>
              <w:t>③需要注册用户并进行实名认证。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10" w:hRule="atLeast"/>
          <w:jc w:val="center"/>
        </w:trPr>
        <w:tc>
          <w:tcPr>
            <w:tcW w:w="2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jc w:val="center"/>
            </w:pPr>
            <w:r>
              <w:rPr>
                <w:rFonts w:ascii="Lantinghei SC Extralight" w:hAnsi="Lantinghei SC Extralight" w:eastAsia="Lantinghei SC Extralight" w:cs="Lantinghei SC Extralight"/>
                <w:b/>
                <w:color w:val="000000"/>
                <w:sz w:val="24"/>
              </w:rPr>
              <w:t>裹裹跑腿</w:t>
            </w:r>
          </w:p>
        </w:tc>
        <w:tc>
          <w:tcPr>
            <w:tcW w:w="4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jc w:val="left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sz w:val="22"/>
              </w:rPr>
              <w:t>发布收件，取件以及其他跑腿业务的订单信息，个人接单，查看订单状态等。</w:t>
            </w:r>
          </w:p>
          <w:p>
            <w:pPr>
              <w:spacing w:before="100" w:after="100"/>
              <w:jc w:val="left"/>
              <w:rPr>
                <w:rFonts w:ascii="宋体" w:hAnsi="宋体" w:eastAsia="宋体" w:cs="宋体"/>
                <w:sz w:val="22"/>
              </w:rPr>
            </w:pPr>
            <w:r>
              <w:rPr>
                <w:rFonts w:ascii="宋体" w:hAnsi="宋体" w:eastAsia="宋体" w:cs="宋体"/>
                <w:color w:val="000000"/>
                <w:sz w:val="22"/>
              </w:rPr>
              <w:t>备注：若30分钟内无人接单则赏金自动退回。若跑腿者接单后30分钟内还未领取快递或1个小时内还未完成订单，则重新发布订单并取消跑腿者的资格24小时。出现以上情况3次，则注销其跑腿资格。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210" w:hRule="atLeast"/>
          <w:jc w:val="center"/>
        </w:trPr>
        <w:tc>
          <w:tcPr>
            <w:tcW w:w="2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jc w:val="center"/>
            </w:pPr>
            <w:r>
              <w:rPr>
                <w:rFonts w:ascii="Lantinghei SC Extralight" w:hAnsi="Lantinghei SC Extralight" w:eastAsia="Lantinghei SC Extralight" w:cs="Lantinghei SC Extralight"/>
                <w:b/>
                <w:color w:val="000000"/>
                <w:sz w:val="24"/>
              </w:rPr>
              <w:t>更多</w:t>
            </w:r>
          </w:p>
        </w:tc>
        <w:tc>
          <w:tcPr>
            <w:tcW w:w="49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80" w:type="dxa"/>
              <w:right w:w="80" w:type="dxa"/>
            </w:tcMar>
            <w:vAlign w:val="center"/>
          </w:tcPr>
          <w:p>
            <w:pPr>
              <w:spacing w:before="100" w:after="100"/>
              <w:rPr>
                <w:rFonts w:ascii="宋体" w:hAnsi="宋体" w:eastAsia="宋体" w:cs="宋体"/>
                <w:sz w:val="22"/>
              </w:rPr>
            </w:pPr>
            <w:r>
              <w:rPr>
                <w:rFonts w:ascii="宋体" w:hAnsi="宋体" w:eastAsia="宋体" w:cs="宋体"/>
                <w:sz w:val="22"/>
              </w:rPr>
              <w:t>使用指南，客服专区（投诉建议），优惠活动，查询物流，个人中心可以申请成为楼长或者跑腿者，查看个人资料，接单数量，好评率，账户余额，提现等功能。</w:t>
            </w:r>
          </w:p>
        </w:tc>
      </w:tr>
    </w:tbl>
    <w:p>
      <w:pPr>
        <w:ind w:left="720"/>
        <w:jc w:val="center"/>
        <w:rPr>
          <w:rFonts w:ascii="宋体" w:hAnsi="宋体" w:eastAsia="宋体" w:cs="宋体"/>
          <w:b/>
          <w:sz w:val="24"/>
        </w:rPr>
      </w:pPr>
      <w:r>
        <w:rPr>
          <w:rFonts w:ascii="宋体" w:hAnsi="宋体" w:eastAsia="宋体" w:cs="宋体"/>
          <w:b/>
          <w:sz w:val="24"/>
        </w:rPr>
        <w:t>详细内容请参考导图</w:t>
      </w:r>
    </w:p>
    <w:p>
      <w:pPr>
        <w:ind w:left="720"/>
        <w:jc w:val="left"/>
        <w:rPr>
          <w:rFonts w:ascii="宋体" w:hAnsi="宋体" w:eastAsia="宋体" w:cs="宋体"/>
          <w:b/>
          <w:sz w:val="24"/>
        </w:rPr>
      </w:pPr>
    </w:p>
    <w:p>
      <w:pPr>
        <w:ind w:left="720"/>
        <w:jc w:val="left"/>
        <w:rPr>
          <w:rFonts w:ascii="宋体" w:hAnsi="宋体" w:eastAsia="宋体" w:cs="宋体"/>
          <w:b/>
          <w:sz w:val="24"/>
        </w:rPr>
      </w:pPr>
    </w:p>
    <w:p>
      <w:pPr>
        <w:ind w:left="720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③参考案例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</w:p>
    <w:p>
      <w:pPr>
        <w:ind w:left="720"/>
        <w:jc w:val="center"/>
        <w:rPr>
          <w:rFonts w:ascii="宋体" w:hAnsi="宋体" w:eastAsia="宋体" w:cs="宋体"/>
          <w:b/>
          <w:sz w:val="24"/>
        </w:rPr>
      </w:pPr>
      <w:r>
        <w:rPr>
          <w:rFonts w:ascii="宋体" w:hAnsi="宋体" w:eastAsia="宋体" w:cs="宋体"/>
          <w:b/>
          <w:sz w:val="24"/>
        </w:rPr>
        <w:t>乐收</w:t>
      </w:r>
    </w:p>
    <w:p>
      <w:pPr>
        <w:ind w:left="720"/>
        <w:jc w:val="left"/>
        <w:rPr>
          <w:rFonts w:ascii="宋体" w:hAnsi="宋体" w:eastAsia="宋体" w:cs="宋体"/>
          <w:sz w:val="24"/>
        </w:rPr>
      </w:pPr>
    </w:p>
    <w:p>
      <w:pPr>
        <w:ind w:left="720"/>
        <w:jc w:val="left"/>
        <w:rPr>
          <w:rFonts w:ascii="宋体" w:hAnsi="宋体" w:eastAsia="宋体" w:cs="宋体"/>
          <w:sz w:val="22"/>
        </w:rPr>
      </w:pPr>
      <w:r>
        <w:object>
          <v:shape id="_x0000_i1025" o:spt="75" type="#_x0000_t75" style="height:267.75pt;width:173.2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object>
          <v:shape id="_x0000_i1027" o:spt="75" type="#_x0000_t75" style="height:270.75pt;width:170.2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6">
            <o:LockedField>false</o:LockedField>
          </o:OLEObject>
        </w:object>
      </w:r>
      <w:r>
        <w:object>
          <v:shape id="_x0000_i1028" o:spt="75" type="#_x0000_t75" style="height:274.5pt;width:169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28" DrawAspect="Content" ObjectID="_1468075727" r:id="rId8">
            <o:LockedField>false</o:LockedField>
          </o:OLEObject>
        </w:object>
      </w:r>
      <w:r>
        <w:object>
          <v:shape id="_x0000_i1029" o:spt="75" type="#_x0000_t75" style="height:273.75pt;width:174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0">
            <o:LockedField>false</o:LockedField>
          </o:OLEObject>
        </w:object>
      </w:r>
      <w:r>
        <w:object>
          <v:shape id="_x0000_i1030" o:spt="75" type="#_x0000_t75" style="height:220.5pt;width:169.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StaticMetafile" ShapeID="_x0000_i1030" DrawAspect="Content" ObjectID="_1468075729" r:id="rId12">
            <o:LockedField>false</o:LockedField>
          </o:OLEObject>
        </w:object>
      </w:r>
      <w:r>
        <w:object>
          <v:shape id="_x0000_i1031" o:spt="75" type="#_x0000_t75" style="height:223.5pt;width:167.2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StaticMetafile" ShapeID="_x0000_i1031" DrawAspect="Content" ObjectID="_1468075730" r:id="rId14">
            <o:LockedField>false</o:LockedField>
          </o:OLEObject>
        </w:object>
      </w:r>
      <w:r>
        <w:rPr>
          <w:rFonts w:ascii="宋体" w:hAnsi="宋体" w:eastAsia="宋体" w:cs="宋体"/>
          <w:sz w:val="22"/>
        </w:rPr>
        <w:t>￼￼￼￼￼￼</w:t>
      </w:r>
    </w:p>
    <w:p>
      <w:pPr>
        <w:ind w:left="720"/>
        <w:jc w:val="center"/>
        <w:rPr>
          <w:rFonts w:ascii="宋体" w:hAnsi="宋体" w:eastAsia="宋体" w:cs="宋体"/>
          <w:b/>
          <w:sz w:val="24"/>
        </w:rPr>
      </w:pPr>
    </w:p>
    <w:p>
      <w:pPr>
        <w:ind w:left="720"/>
        <w:jc w:val="center"/>
        <w:rPr>
          <w:rFonts w:ascii="宋体" w:hAnsi="宋体" w:eastAsia="宋体" w:cs="宋体"/>
          <w:b/>
          <w:sz w:val="24"/>
        </w:rPr>
      </w:pPr>
    </w:p>
    <w:p>
      <w:pPr>
        <w:ind w:left="720"/>
        <w:jc w:val="center"/>
        <w:rPr>
          <w:rFonts w:ascii="宋体" w:hAnsi="宋体" w:eastAsia="宋体" w:cs="宋体"/>
          <w:b/>
          <w:sz w:val="24"/>
        </w:rPr>
      </w:pPr>
      <w:r>
        <w:rPr>
          <w:rFonts w:ascii="宋体" w:hAnsi="宋体" w:eastAsia="宋体" w:cs="宋体"/>
          <w:b/>
          <w:sz w:val="24"/>
        </w:rPr>
        <w:t>近邻宝</w:t>
      </w:r>
    </w:p>
    <w:p>
      <w:pPr>
        <w:ind w:left="721"/>
        <w:jc w:val="left"/>
        <w:rPr>
          <w:rFonts w:ascii="宋体" w:hAnsi="宋体" w:eastAsia="宋体" w:cs="宋体"/>
          <w:sz w:val="24"/>
        </w:rPr>
      </w:pPr>
    </w:p>
    <w:p>
      <w:pPr>
        <w:ind w:left="720"/>
        <w:jc w:val="left"/>
        <w:rPr>
          <w:rFonts w:ascii="宋体" w:hAnsi="宋体" w:eastAsia="宋体" w:cs="宋体"/>
          <w:sz w:val="22"/>
        </w:rPr>
      </w:pPr>
      <w:r>
        <w:object>
          <v:shape id="_x0000_i1032" o:spt="75" type="#_x0000_t75" style="height:321pt;width:183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StaticMetafile" ShapeID="_x0000_i1032" DrawAspect="Content" ObjectID="_1468075731" r:id="rId16">
            <o:LockedField>false</o:LockedField>
          </o:OLEObject>
        </w:object>
      </w:r>
      <w:r>
        <w:object>
          <v:shape id="_x0000_i1033" o:spt="75" type="#_x0000_t75" style="height:321.75pt;width:180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StaticMetafile" ShapeID="_x0000_i1033" DrawAspect="Content" ObjectID="_1468075732" r:id="rId18">
            <o:LockedField>false</o:LockedField>
          </o:OLEObject>
        </w:object>
      </w:r>
    </w:p>
    <w:p>
      <w:pPr>
        <w:ind w:left="720"/>
        <w:jc w:val="center"/>
        <w:rPr>
          <w:rFonts w:ascii="宋体" w:hAnsi="宋体" w:eastAsia="宋体" w:cs="宋体"/>
          <w:sz w:val="22"/>
        </w:rPr>
      </w:pPr>
    </w:p>
    <w:p>
      <w:pPr>
        <w:ind w:left="720"/>
        <w:jc w:val="center"/>
        <w:rPr>
          <w:rFonts w:ascii="宋体" w:hAnsi="宋体" w:eastAsia="宋体" w:cs="宋体"/>
          <w:sz w:val="24"/>
        </w:rPr>
      </w:pPr>
    </w:p>
    <w:p>
      <w:pPr>
        <w:ind w:left="720"/>
        <w:jc w:val="center"/>
        <w:rPr>
          <w:rFonts w:ascii="宋体" w:hAnsi="宋体" w:eastAsia="宋体" w:cs="宋体"/>
          <w:b/>
          <w:sz w:val="22"/>
        </w:rPr>
      </w:pPr>
      <w:r>
        <w:rPr>
          <w:rFonts w:ascii="宋体" w:hAnsi="宋体" w:eastAsia="宋体" w:cs="宋体"/>
          <w:b/>
          <w:sz w:val="24"/>
        </w:rPr>
        <w:t>小麦公社</w:t>
      </w:r>
    </w:p>
    <w:p>
      <w:pPr>
        <w:ind w:left="720"/>
        <w:jc w:val="center"/>
        <w:rPr>
          <w:rFonts w:ascii="宋体" w:hAnsi="宋体" w:eastAsia="宋体" w:cs="宋体"/>
          <w:b/>
          <w:sz w:val="22"/>
        </w:rPr>
      </w:pPr>
    </w:p>
    <w:p>
      <w:pPr>
        <w:ind w:left="720"/>
        <w:jc w:val="center"/>
        <w:rPr>
          <w:rFonts w:ascii="宋体" w:hAnsi="宋体" w:eastAsia="宋体" w:cs="宋体"/>
          <w:sz w:val="22"/>
        </w:rPr>
      </w:pPr>
      <w:r>
        <w:object>
          <v:shape id="_x0000_i1034" o:spt="75" type="#_x0000_t75" style="height:309.75pt;width:19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StaticMetafile" ShapeID="_x0000_i1034" DrawAspect="Content" ObjectID="_1468075733" r:id="rId20">
            <o:LockedField>false</o:LockedField>
          </o:OLEObject>
        </w:object>
      </w:r>
    </w:p>
    <w:p>
      <w:pPr>
        <w:ind w:left="720"/>
        <w:jc w:val="center"/>
        <w:rPr>
          <w:rFonts w:ascii="宋体" w:hAnsi="宋体" w:eastAsia="宋体" w:cs="宋体"/>
          <w:sz w:val="22"/>
        </w:rPr>
      </w:pPr>
    </w:p>
    <w:p>
      <w:pPr>
        <w:ind w:left="720"/>
        <w:jc w:val="center"/>
        <w:rPr>
          <w:rFonts w:ascii="宋体" w:hAnsi="宋体" w:eastAsia="宋体" w:cs="宋体"/>
          <w:sz w:val="22"/>
        </w:rPr>
      </w:pPr>
    </w:p>
    <w:p>
      <w:pPr>
        <w:ind w:left="720"/>
        <w:jc w:val="center"/>
        <w:rPr>
          <w:rFonts w:ascii="宋体" w:hAnsi="宋体" w:eastAsia="宋体" w:cs="宋体"/>
          <w:sz w:val="22"/>
        </w:rPr>
      </w:pPr>
      <w:r>
        <w:rPr>
          <w:rFonts w:ascii="宋体" w:hAnsi="宋体" w:eastAsia="宋体" w:cs="宋体"/>
          <w:b/>
          <w:sz w:val="24"/>
        </w:rPr>
        <w:t>速运邦邦</w:t>
      </w:r>
    </w:p>
    <w:p>
      <w:pPr>
        <w:ind w:left="720"/>
        <w:jc w:val="center"/>
        <w:rPr>
          <w:rFonts w:ascii="宋体" w:hAnsi="宋体" w:eastAsia="宋体" w:cs="宋体"/>
          <w:sz w:val="22"/>
        </w:rPr>
      </w:pPr>
    </w:p>
    <w:p>
      <w:pPr>
        <w:ind w:left="720"/>
        <w:jc w:val="left"/>
        <w:rPr>
          <w:rFonts w:ascii="宋体" w:hAnsi="宋体" w:eastAsia="宋体" w:cs="宋体"/>
          <w:sz w:val="22"/>
        </w:rPr>
      </w:pPr>
      <w:r>
        <w:object>
          <v:shape id="_x0000_i1035" o:spt="75" type="#_x0000_t75" style="height:270.75pt;width:157.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StaticMetafile" ShapeID="_x0000_i1035" DrawAspect="Content" ObjectID="_1468075734" r:id="rId22">
            <o:LockedField>false</o:LockedField>
          </o:OLEObject>
        </w:object>
      </w:r>
      <w:r>
        <w:object>
          <v:shape id="_x0000_i1036" o:spt="75" type="#_x0000_t75" style="height:272.2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StaticMetafile" ShapeID="_x0000_i1036" DrawAspect="Content" ObjectID="_1468075735" r:id="rId24">
            <o:LockedField>false</o:LockedField>
          </o:OLEObject>
        </w:object>
      </w:r>
      <w:r>
        <w:object>
          <v:shape id="_x0000_i1037" o:spt="75" type="#_x0000_t75" style="height:275.25pt;width:155.2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StaticMetafile" ShapeID="_x0000_i1037" DrawAspect="Content" ObjectID="_1468075736" r:id="rId26">
            <o:LockedField>false</o:LockedField>
          </o:OLEObject>
        </w:object>
      </w:r>
      <w:r>
        <w:object>
          <v:shape id="_x0000_i1038" o:spt="75" type="#_x0000_t75" style="height:270.75pt;width:154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StaticMetafile" ShapeID="_x0000_i1038" DrawAspect="Content" ObjectID="_1468075737" r:id="rId28">
            <o:LockedField>false</o:LockedField>
          </o:OLEObject>
        </w:object>
      </w:r>
    </w:p>
    <w:p>
      <w:pPr>
        <w:ind w:left="720"/>
        <w:jc w:val="center"/>
        <w:rPr>
          <w:rFonts w:ascii="宋体" w:hAnsi="宋体" w:eastAsia="宋体" w:cs="宋体"/>
          <w:sz w:val="22"/>
        </w:rPr>
      </w:pPr>
    </w:p>
    <w:p>
      <w:pPr>
        <w:ind w:left="720"/>
        <w:rPr>
          <w:rFonts w:ascii="宋体" w:hAnsi="宋体" w:eastAsia="宋体" w:cs="宋体"/>
          <w:sz w:val="22"/>
        </w:rPr>
      </w:pPr>
    </w:p>
    <w:p>
      <w:pPr>
        <w:ind w:left="720"/>
        <w:jc w:val="center"/>
        <w:rPr>
          <w:rFonts w:ascii="宋体" w:hAnsi="宋体" w:eastAsia="宋体" w:cs="宋体"/>
          <w:b/>
          <w:sz w:val="22"/>
        </w:rPr>
      </w:pPr>
    </w:p>
    <w:p>
      <w:pPr>
        <w:ind w:left="720"/>
        <w:jc w:val="left"/>
        <w:rPr>
          <w:rFonts w:ascii="宋体" w:hAnsi="宋体" w:eastAsia="宋体" w:cs="宋体"/>
          <w:b/>
          <w:sz w:val="22"/>
        </w:rPr>
      </w:pPr>
    </w:p>
    <w:p>
      <w:pPr>
        <w:ind w:left="720"/>
        <w:jc w:val="left"/>
        <w:rPr>
          <w:rFonts w:ascii="宋体" w:hAnsi="宋体" w:eastAsia="宋体" w:cs="宋体"/>
          <w:b/>
          <w:sz w:val="22"/>
        </w:rPr>
      </w:pPr>
    </w:p>
    <w:p>
      <w:pPr>
        <w:ind w:left="720"/>
        <w:jc w:val="left"/>
        <w:rPr>
          <w:rFonts w:ascii="Calibri" w:hAnsi="Calibri" w:eastAsia="Calibri" w:cs="Calibri"/>
          <w:sz w:val="24"/>
        </w:rPr>
      </w:pPr>
    </w:p>
    <w:p>
      <w:pPr>
        <w:ind w:left="720"/>
        <w:jc w:val="left"/>
        <w:rPr>
          <w:rFonts w:ascii="宋体" w:hAnsi="宋体" w:eastAsia="宋体" w:cs="宋体"/>
          <w:sz w:val="24"/>
        </w:rPr>
      </w:pPr>
    </w:p>
    <w:p>
      <w:pPr>
        <w:ind w:left="720"/>
        <w:jc w:val="left"/>
        <w:rPr>
          <w:rFonts w:ascii="Calibri" w:hAnsi="Calibri" w:eastAsia="Calibri" w:cs="Calibri"/>
          <w:sz w:val="24"/>
        </w:rPr>
      </w:pPr>
    </w:p>
    <w:p>
      <w:pPr>
        <w:ind w:left="720" w:firstLine="480"/>
        <w:jc w:val="left"/>
        <w:rPr>
          <w:rFonts w:ascii="Calibri" w:hAnsi="Calibri" w:eastAsia="Calibri" w:cs="Calibri"/>
        </w:rPr>
      </w:pPr>
    </w:p>
    <w:p>
      <w:pPr>
        <w:spacing w:after="200" w:line="276" w:lineRule="auto"/>
        <w:jc w:val="center"/>
        <w:rPr>
          <w:rFonts w:ascii="宋体" w:hAnsi="宋体" w:eastAsia="宋体" w:cs="宋体"/>
          <w:sz w:val="52"/>
        </w:rPr>
      </w:pPr>
    </w:p>
    <w:p>
      <w:pPr>
        <w:spacing w:after="200" w:line="276" w:lineRule="auto"/>
        <w:jc w:val="center"/>
        <w:rPr>
          <w:rFonts w:ascii="宋体" w:hAnsi="宋体" w:eastAsia="宋体" w:cs="宋体"/>
          <w:sz w:val="52"/>
        </w:rPr>
      </w:pPr>
    </w:p>
    <w:p>
      <w:pPr>
        <w:spacing w:after="200" w:line="276" w:lineRule="auto"/>
        <w:jc w:val="left"/>
        <w:rPr>
          <w:rFonts w:ascii="宋体" w:hAnsi="宋体" w:eastAsia="宋体" w:cs="宋体"/>
          <w:sz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antinghei SC Extra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15B9A"/>
    <w:multiLevelType w:val="multilevel"/>
    <w:tmpl w:val="0C915B9A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728B019D"/>
    <w:multiLevelType w:val="multilevel"/>
    <w:tmpl w:val="728B019D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495439"/>
    <w:rsid w:val="000A0CBA"/>
    <w:rsid w:val="0036278F"/>
    <w:rsid w:val="00495439"/>
    <w:rsid w:val="00951224"/>
    <w:rsid w:val="00B1001C"/>
    <w:rsid w:val="00EF42C4"/>
    <w:rsid w:val="092014B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7">
    <w:name w:val="页脚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oleObject" Target="embeddings/oleObject13.bin"/><Relationship Id="rId27" Type="http://schemas.openxmlformats.org/officeDocument/2006/relationships/image" Target="media/image12.png"/><Relationship Id="rId26" Type="http://schemas.openxmlformats.org/officeDocument/2006/relationships/oleObject" Target="embeddings/oleObject12.bin"/><Relationship Id="rId25" Type="http://schemas.openxmlformats.org/officeDocument/2006/relationships/image" Target="media/image11.png"/><Relationship Id="rId24" Type="http://schemas.openxmlformats.org/officeDocument/2006/relationships/oleObject" Target="embeddings/oleObject11.bin"/><Relationship Id="rId23" Type="http://schemas.openxmlformats.org/officeDocument/2006/relationships/image" Target="media/image10.png"/><Relationship Id="rId22" Type="http://schemas.openxmlformats.org/officeDocument/2006/relationships/oleObject" Target="embeddings/oleObject10.bin"/><Relationship Id="rId21" Type="http://schemas.openxmlformats.org/officeDocument/2006/relationships/image" Target="media/image9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230</Words>
  <Characters>1311</Characters>
  <Lines>10</Lines>
  <Paragraphs>3</Paragraphs>
  <ScaleCrop>false</ScaleCrop>
  <LinksUpToDate>false</LinksUpToDate>
  <CharactersWithSpaces>1538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2017-01-05T02:27:00Z</dcterms:created>
  <dc:creator>电峰</dc:creator>
  <cp:lastModifiedBy>电峰</cp:lastModifiedBy>
  <dcterms:modified xsi:type="dcterms:W3CDTF">2017-01-17T06:21:40Z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