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cq62shny5o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Josefin Sans" w:cs="Josefin Sans" w:eastAsia="Josefin Sans" w:hAnsi="Josefi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These questions are intended to guide the conversation and highlight your expertise during the </w:t>
      </w: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highlight w:val="white"/>
          <w:rtl w:val="0"/>
        </w:rPr>
        <w:t xml:space="preserve">Veterinary Culture &amp; Leadership Panel: </w:t>
      </w: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highlight w:val="white"/>
          <w:rtl w:val="0"/>
        </w:rPr>
        <w:t xml:space="preserve">From Stuck to Thriving: Redefining Leadership, Communication, and Culture in Modern Veterinary Practice.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What practical steps can a manager take to transition from a task-focused mindset to a leadership-focused one?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How can veterinary leaders create safe spaces for honest conversations about challenges and expectations?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What role does recognition and positive feedback play in creating a thriving culture?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What systems or rituals can help reinforce values consistently across departments?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In moments of conflict or stress, how can empathy be used as a leadership strength rather than a weakness?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