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No bhāsamānaṃ jānanti, missaṃ bālehi paṇḍitaṃ;</w:t>
      </w:r>
    </w:p>
    <w:p>
      <w:r>
        <w:rPr>
          <w:rFonts w:ascii="Georgia" w:hAnsi="Georgia"/>
          <w:b w:val="0"/>
          <w:i/>
          <w:color w:val="000000"/>
          <w:sz w:val="28"/>
        </w:rPr>
        <w:t>Bhāsamānañca jānanti, desentaṃ amataṃ padaṃ.</w:t>
      </w:r>
    </w:p>
    <w:p>
      <w:r>
        <w:rPr>
          <w:rFonts w:ascii="Georgia" w:hAnsi="Georgia"/>
          <w:b w:val="0"/>
          <w:i/>
          <w:color w:val="000000"/>
          <w:sz w:val="28"/>
        </w:rPr>
        <w:t>Bhāsaye jotaye dhammaṃ, paggaṇhe isinaṃ dhajaṃ;</w:t>
      </w:r>
    </w:p>
    <w:p>
      <w:r>
        <w:rPr>
          <w:rFonts w:ascii="Georgia" w:hAnsi="Georgia"/>
          <w:b w:val="0"/>
          <w:i/>
          <w:color w:val="000000"/>
          <w:sz w:val="28"/>
        </w:rPr>
        <w:t>Subhāsitadhajā isayo, dhammo hi isinaṃ dhajo ti.</w:t>
      </w:r>
    </w:p>
    <w:p>
      <w:r>
        <w:rPr>
          <w:rFonts w:ascii="Georgia" w:hAnsi="Georgia"/>
          <w:b/>
          <w:i w:val="0"/>
          <w:sz w:val="22"/>
        </w:rPr>
        <w:t>From:</w:t>
      </w:r>
    </w:p>
    <w:p>
      <w:r>
        <w:rPr>
          <w:rFonts w:ascii="Georgia" w:hAnsi="Georgia"/>
          <w:b w:val="0"/>
          <w:i w:val="0"/>
          <w:color w:val="000000"/>
          <w:sz w:val="28"/>
        </w:rPr>
        <w:t>Itivuttaka (It 105)</w:t>
      </w:r>
    </w:p>
    <w:p>
      <w:r>
        <w:rPr>
          <w:rFonts w:ascii="Georgia" w:hAnsi="Georgia"/>
          <w:b w:val="0"/>
          <w:i w:val="0"/>
          <w:sz w:val="24"/>
        </w:rPr>
        <w:t>Dear Listeners,</w:t>
      </w:r>
    </w:p>
    <w:p>
      <w:r>
        <w:rPr>
          <w:rFonts w:ascii="Georgia" w:hAnsi="Georgia"/>
          <w:b w:val="0"/>
          <w:i w:val="0"/>
          <w:sz w:val="24"/>
        </w:rPr>
        <w:t>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oneself (*samādāna*) generosity and virtue (*dāna*, *sīla*) means making oneself accept them. *Samuttejeti* (encouraging) means inspiring effort. *Sampahaṁseti* (gladdening) means making them happy.</w:t>
      </w:r>
    </w:p>
    <w:p>
      <w:r>
        <w:rPr>
          <w:rFonts w:ascii="Georgia" w:hAnsi="Georgia"/>
          <w:b w:val="0"/>
          <w:i w:val="0"/>
          <w:sz w:val="24"/>
        </w:rPr>
        <w:t>Thus, the characteristics of a good Dhamma sermon involve demonstrating those points through similes and illustrations, thoroughly convincing the listeners of those points, inspiring effort, and bringing joy. Those words are employed there. Furthermore, several 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r>
        <w:rPr>
          <w:rFonts w:ascii="Georgia" w:hAnsi="Georgia"/>
          <w:b w:val="0"/>
          <w:i w:val="0"/>
          <w:sz w:val="24"/>
        </w:rP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r>
        <w:rPr>
          <w:rFonts w:ascii="Georgia" w:hAnsi="Georgia"/>
          <w:b w:val="0"/>
          <w:i w:val="0"/>
          <w:sz w:val="24"/>
        </w:rPr>
        <w:t>*“No bhāsamānaṁ jānanti, missaṁ bālehi paṇḍitaṁ.”* As long as the wise man mixed among fools does not speak, others do not recognize him. *“Bhāsamānaṁ ca jānanti, desentaṁ amataṁ padaṁ.”* When he speaks, when he teaches the deathless state (*amataṁ padaṁ*) which is Nibbāna,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have well-spoken words as their banner. *“Dhammo hi isinaṁ dhajo”*, indeed, the Dhamma itself is the banner of the seers. If we attempt to present that challenging character through a translation, we can say:</w:t>
      </w:r>
    </w:p>
    <w:p>
      <w:r>
        <w:rPr>
          <w:rFonts w:ascii="Georgia" w:hAnsi="Georgia"/>
          <w:b w:val="0"/>
          <w:i w:val="0"/>
          <w:sz w:val="24"/>
        </w:rPr>
        <w:t>&gt; *Preach, illuminate the True Dhamma;*</w:t>
      </w:r>
    </w:p>
    <w:p>
      <w:r>
        <w:rPr>
          <w:rFonts w:ascii="Georgia" w:hAnsi="Georgia"/>
          <w:b w:val="0"/>
          <w:i w:val="0"/>
          <w:sz w:val="24"/>
        </w:rPr>
        <w:t>&gt; *take up and raise the banner of the seers!*</w:t>
      </w:r>
    </w:p>
    <w:p>
      <w:r>
        <w:rPr>
          <w:rFonts w:ascii="Georgia" w:hAnsi="Georgia"/>
          <w:b w:val="0"/>
          <w:i w:val="0"/>
          <w:sz w:val="24"/>
        </w:rPr>
        <w:t>&gt; *Seers have well-spoken words as their banner;*</w:t>
      </w:r>
    </w:p>
    <w:p>
      <w:r>
        <w:rPr>
          <w:rFonts w:ascii="Georgia" w:hAnsi="Georgia"/>
          <w:b w:val="0"/>
          <w:i w:val="0"/>
          <w:sz w:val="24"/>
        </w:rPr>
        <w:t>&gt; *the Dhamma itself is the banner of the seers.*</w:t>
      </w:r>
    </w:p>
    <w:p>
      <w:r>
        <w:rPr>
          <w:rFonts w:ascii="Georgia" w:hAnsi="Georgia"/>
          <w:b w:val="0"/>
          <w:i w:val="0"/>
          <w:sz w:val="24"/>
        </w:rPr>
        <w:t>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the Buddha visited that area, he listened to the Dhamma, gained confidence, ordained, went to Sāvatthī, and became an Arahant endowed with higher spiritual powers (*abhiññā*). Subsequently, he returned to his native village and preached the Dhamma to the local people. On that occasion, those people asked what characteristics a true expounder of the Dhamma (Dhamma preacher) should possess. The answer he gave is recorded in his *Theragāthā*. That verse is as follows:</w:t>
      </w:r>
    </w:p>
    <w:p>
      <w:r>
        <w:rPr>
          <w:rFonts w:ascii="Georgia" w:hAnsi="Georgia"/>
          <w:b w:val="0"/>
          <w:i w:val="0"/>
          <w:sz w:val="24"/>
        </w:rPr>
        <w:t>&gt; *“Na ukkhipe no pi pare na okkhipe,*</w:t>
      </w:r>
    </w:p>
    <w:p>
      <w:r>
        <w:rPr>
          <w:rFonts w:ascii="Georgia" w:hAnsi="Georgia"/>
          <w:b w:val="0"/>
          <w:i w:val="0"/>
          <w:sz w:val="24"/>
        </w:rPr>
        <w:t>&gt; *pāragataṁ na eraye;*</w:t>
      </w:r>
    </w:p>
    <w:p>
      <w:r>
        <w:rPr>
          <w:rFonts w:ascii="Georgia" w:hAnsi="Georgia"/>
          <w:b w:val="0"/>
          <w:i w:val="0"/>
          <w:sz w:val="24"/>
        </w:rPr>
        <w:t>&gt; *na cattavaṇṇaṁ parisāsu byāhare,*</w:t>
      </w:r>
    </w:p>
    <w:p>
      <w:r>
        <w:rPr>
          <w:rFonts w:ascii="Georgia" w:hAnsi="Georgia"/>
          <w:b w:val="0"/>
          <w:i w:val="0"/>
          <w:sz w:val="24"/>
        </w:rPr>
        <w:t>&gt; *anuddhato sammitabhāṇi subbato.”*</w:t>
      </w:r>
    </w:p>
    <w:p>
      <w:r>
        <w:rPr>
          <w:rFonts w:ascii="Georgia" w:hAnsi="Georgia"/>
          <w:b w:val="0"/>
          <w:i w:val="0"/>
          <w:sz w:val="24"/>
        </w:rP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r>
        <w:rPr>
          <w:rFonts w:ascii="Georgia" w:hAnsi="Georgia"/>
          <w:b w:val="0"/>
          <w:i w:val="0"/>
          <w:sz w:val="24"/>
        </w:rPr>
        <w:t>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[characterized by suffering / unsatisfactoriness / stress (*dukkha*)].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r>
        <w:rPr>
          <w:rFonts w:ascii="Georgia" w:hAnsi="Georgia"/>
          <w:b w:val="0"/>
          <w:i w:val="0"/>
          <w:sz w:val="24"/>
        </w:rPr>
        <w:t>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accordance with this that, as you lay devotees have often seen, even if a seven-year-old novice monk (*sāmaṇera*) is preaching the Dhamma, a high seat is offered, in order to express respect for that Dhamma.</w:t>
      </w:r>
    </w:p>
    <w:p>
      <w:r>
        <w:rPr>
          <w:rFonts w:ascii="Georgia" w:hAnsi="Georgia"/>
          <w:b w:val="0"/>
          <w:i w:val="0"/>
          <w:sz w:val="24"/>
        </w:rP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r>
        <w:rPr>
          <w:rFonts w:ascii="Georgia" w:hAnsi="Georgia"/>
          <w:b w:val="0"/>
          <w:i w:val="0"/>
          <w:sz w:val="24"/>
        </w:rPr>
        <w:t>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Nibbāna, and do not strive for Nibbāna, then the subsequent generation, namely their group of disciples, will also conform to that way. This, too, is declared in that discourse as a cause for the disappearance of the True Dhamma.</w:t>
      </w:r>
    </w:p>
    <w:p>
      <w:r>
        <w:rPr>
          <w:rFonts w:ascii="Georgia" w:hAnsi="Georgia"/>
          <w:b w:val="0"/>
          <w:i w:val="0"/>
          <w:sz w:val="24"/>
        </w:rPr>
        <w:t>Even better, in another valuable discourse, the Buddha demonstrates how the True Dhamma gradually declines, presenting it as a future danger (*anāgata-bhaya*) and a prophecy. You lay devotees yourselves must see to what extent this has come true. 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r>
        <w:rPr>
          <w:rFonts w:ascii="Georgia" w:hAnsi="Georgia"/>
          <w:b w:val="0"/>
          <w:i w:val="0"/>
          <w:sz w:val="24"/>
        </w:rP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r>
        <w:rPr>
          <w:rFonts w:ascii="Georgia" w:hAnsi="Georgia"/>
          <w:b w:val="0"/>
          <w:i w:val="0"/>
          <w:sz w:val="24"/>
        </w:rP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r>
        <w:rPr>
          <w:rFonts w:ascii="Georgia" w:hAnsi="Georgia"/>
          <w:b w:val="0"/>
          <w:i w:val="0"/>
          <w:sz w:val="24"/>
        </w:rPr>
        <w:t>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r>
        <w:rPr>
          <w:rFonts w:ascii="Georgia" w:hAnsi="Georgia"/>
          <w:b w:val="0"/>
          <w:i w:val="0"/>
          <w:sz w:val="24"/>
        </w:rPr>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self-praise and the like. “Harming others” refers to criticizing others and thus denigrating their virtues. Avoiding that as well, one must preach this Dhamma. In this way, five factors are pointed out there.</w:t>
      </w:r>
    </w:p>
    <w:p>
      <w:r>
        <w:rPr>
          <w:rFonts w:ascii="Georgia" w:hAnsi="Georgia"/>
          <w:b w:val="0"/>
          <w:i w:val="0"/>
          <w:sz w:val="24"/>
        </w:rPr>
        <w:t>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Nibbāna.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r>
        <w:rPr>
          <w:rFonts w:ascii="Georgia" w:hAnsi="Georgia"/>
          <w:b w:val="0"/>
          <w:i w:val="0"/>
          <w:sz w:val="24"/>
        </w:rPr>
        <w:t>By that stage, if the minds of any among the listening crowd have become prepared and suited for ordination, the Buddha had the ability to know that. The state of the 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dhammadesanā*), which they revealed and raised up for the world: the Four Noble Truths—*Dukkha* (Suffering), its arising (*samudaya*), its cessation (*nirodha*), and the path (*magga*). This is what is generally referred to as the gradual discourse.</w:t>
      </w:r>
    </w:p>
    <w:p>
      <w:r>
        <w:rPr>
          <w:rFonts w:ascii="Georgia" w:hAnsi="Georgia"/>
          <w:b w:val="0"/>
          <w:i w:val="0"/>
          <w:sz w:val="24"/>
        </w:rPr>
        <w:t>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r>
        <w:rPr>
          <w:rFonts w:ascii="Georgia" w:hAnsi="Georgia"/>
          <w:b w:val="0"/>
          <w:i w:val="0"/>
          <w:sz w:val="24"/>
        </w:rP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r>
        <w:rPr>
          <w:rFonts w:ascii="Georgia" w:hAnsi="Georgia"/>
          <w:b w:val="0"/>
          <w:i w:val="0"/>
          <w:sz w:val="24"/>
        </w:rPr>
        <w:t>Next, the Buddha explains this through the application of the simile: “Monks, the lion is a designation for the Tathāgata, the Arahant, the Fully Self-Awakened One. The lion’s roar is a designation for the preaching of the Dhamma.” Then he declares: “Whether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r>
        <w:rPr>
          <w:rFonts w:ascii="Georgia" w:hAnsi="Georgia"/>
          <w:b w:val="0"/>
          <w:i w:val="0"/>
          <w:sz w:val="24"/>
        </w:rPr>
        <w:t>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r>
        <w:rPr>
          <w:rFonts w:ascii="Georgia" w:hAnsi="Georgia"/>
          <w:b w:val="0"/>
          <w:i w:val="0"/>
          <w:sz w:val="24"/>
        </w:rP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r>
        <w:rPr>
          <w:rFonts w:ascii="Georgia" w:hAnsi="Georgia"/>
          <w:b w:val="0"/>
          <w:i w:val="0"/>
          <w:sz w:val="24"/>
        </w:rP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r>
        <w:rPr>
          <w:rFonts w:ascii="Georgia" w:hAnsi="Georgia"/>
          <w:b w:val="0"/>
          <w:i w:val="0"/>
          <w:sz w:val="24"/>
        </w:rPr>
        <w:t>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r>
        <w:rPr>
          <w:rFonts w:ascii="Georgia" w:hAnsi="Georgia"/>
          <w:b w:val="0"/>
          <w:i w:val="0"/>
          <w:sz w:val="24"/>
        </w:rP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r>
        <w:rPr>
          <w:rFonts w:ascii="Georgia" w:hAnsi="Georgia"/>
          <w:b w:val="0"/>
          <w:i w:val="0"/>
          <w:sz w:val="24"/>
        </w:rPr>
        <w:t>See how beautiful and fitting the simile given for this is. Asibandhakaputta Gāmaṇi had criticized the Buddha, claiming he made distinctions when preaching the Dhamma. The 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r>
        <w:rPr>
          <w:rFonts w:ascii="Georgia" w:hAnsi="Georgia"/>
          <w:b w:val="0"/>
          <w:i w:val="0"/>
          <w:sz w:val="24"/>
        </w:rPr>
        <w:t>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single sentence be a supportive condition and of help to them.’” That is the answer the Buddha gave on that occasion.</w:t>
      </w:r>
    </w:p>
    <w:p>
      <w:r>
        <w:rPr>
          <w:rFonts w:ascii="Georgia" w:hAnsi="Georgia"/>
          <w:b w:val="0"/>
          <w:i w:val="0"/>
          <w:sz w:val="24"/>
        </w:rPr>
        <w:t>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r>
        <w:rPr>
          <w:rFonts w:ascii="Georgia" w:hAnsi="Georgia"/>
          <w:b w:val="0"/>
          <w:i w:val="0"/>
          <w:sz w:val="24"/>
        </w:rPr>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r>
        <w:rPr>
          <w:rFonts w:ascii="Georgia" w:hAnsi="Georgia"/>
          <w:b w:val="0"/>
          <w:i w:val="0"/>
          <w:sz w:val="24"/>
        </w:rPr>
        <w:t>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this story of Visākha Pañcālaputta, he asked the Sangha as if he himself did not know.</w:t>
      </w:r>
    </w:p>
    <w:p>
      <w:r>
        <w:rPr>
          <w:rFonts w:ascii="Georgia" w:hAnsi="Georgia"/>
          <w:b w:val="0"/>
          <w:i w:val="0"/>
          <w:sz w:val="24"/>
        </w:rP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r>
        <w:rPr>
          <w:rFonts w:ascii="Georgia" w:hAnsi="Georgia"/>
          <w:b w:val="0"/>
          <w:i w:val="0"/>
          <w:sz w:val="24"/>
        </w:rPr>
        <w:t>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r>
        <w:rPr>
          <w:rFonts w:ascii="Georgia" w:hAnsi="Georgia"/>
          <w:b w:val="0"/>
          <w:i w:val="0"/>
          <w:sz w:val="24"/>
        </w:rPr>
        <w:t>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wondering, “Alas, how can we understand in detail what the Blessed One has stated in brief?” Thereupon, they would talk among themselves, realizing, “Now we cannot go back to find the Blessed One again.”</w:t>
      </w:r>
    </w:p>
    <w:p>
      <w:r>
        <w:rPr>
          <w:rFonts w:ascii="Georgia" w:hAnsi="Georgia"/>
          <w:b w:val="0"/>
          <w:i w:val="0"/>
          <w:sz w:val="24"/>
        </w:rPr>
        <w:t>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r>
        <w:rPr>
          <w:rFonts w:ascii="Georgia" w:hAnsi="Georgia"/>
          <w:b w:val="0"/>
          <w:i w:val="0"/>
          <w:sz w:val="24"/>
        </w:rPr>
        <w:t>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r>
        <w:rPr>
          <w:rFonts w:ascii="Georgia" w:hAnsi="Georgia"/>
          <w:b w:val="0"/>
          <w:i w:val="0"/>
          <w:sz w:val="24"/>
        </w:rPr>
        <w:t>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r>
        <w:rPr>
          <w:rFonts w:ascii="Georgia" w:hAnsi="Georgia"/>
          <w:b w:val="0"/>
          <w:i w:val="0"/>
          <w:sz w:val="24"/>
        </w:rP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(*amata*) is Nibbāna.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r>
        <w:rPr>
          <w:rFonts w:ascii="Georgia" w:hAnsi="Georgia"/>
          <w:b w:val="0"/>
          <w:i w:val="0"/>
          <w:sz w:val="24"/>
        </w:rPr>
        <w:t>The true sound of the Deathless drum is the sound of Nibbāna. Instead of that, a hollow sound can arise. In that manner, by putting new and beautiful splints on each decaying 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r>
        <w:rPr>
          <w:rFonts w:ascii="Georgia" w:hAnsi="Georgia"/>
          <w:b w:val="0"/>
          <w:i w:val="0"/>
          <w:sz w:val="24"/>
        </w:rPr>
        <w:t>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r>
        <w:rPr>
          <w:rFonts w:ascii="Georgia" w:hAnsi="Georgia"/>
          <w:b w:val="0"/>
          <w:i w:val="0"/>
          <w:sz w:val="24"/>
        </w:rPr>
        <w:t>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[grasping / holding / fuel]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flower. I do not know where it comes from. In the same way, I do not regard any single aggregate as self. Yet, the subtle conceit ‘I am’ (*asmi-māna*) still remains within me.”</w:t>
      </w:r>
    </w:p>
    <w:p>
      <w:r>
        <w:rPr>
          <w:rFonts w:ascii="Georgia" w:hAnsi="Georgia"/>
          <w:b w:val="0"/>
          <w:i w:val="0"/>
          <w:sz w:val="24"/>
        </w:rPr>
        <w:t>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this, those listening monks attained Arahantship, and the preaching monk himself advanced from the stage of a non-returner (*anāgāmī*) to the fruit of Arahantship (*arahatta-phala*), realizing Nibbāna. That is what we must understand: both the listener of the Dhamma and the preacher of the Dhamma must strive to listen as *“atthappaṭisaṁvedī”* and *“dhammappaṭisaṁvedī”*, in the manner described.</w:t>
      </w:r>
    </w:p>
    <w:p>
      <w:r>
        <w:rPr>
          <w:rFonts w:ascii="Georgia" w:hAnsi="Georgia"/>
          <w:b w:val="0"/>
          <w:i w:val="0"/>
          <w:sz w:val="24"/>
        </w:rPr>
        <w:t>True, according to the needs of this era, these machines placed in front of us are operating on our behalf. But one day, we might have to say that if anyone is to 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r>
        <w:rPr>
          <w:rFonts w:ascii="Georgia" w:hAnsi="Georgia"/>
          <w:b w:val="0"/>
          <w:i w:val="0"/>
          <w:sz w:val="24"/>
        </w:rP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r>
        <w:rPr>
          <w:rFonts w:ascii="Georgia" w:hAnsi="Georgia"/>
          <w:b w:val="0"/>
          <w:i w:val="0"/>
          <w:sz w:val="24"/>
        </w:rPr>
        <w:t>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r>
        <w:rPr>
          <w:rFonts w:ascii="Georgia" w:hAnsi="Georgia"/>
          <w:b w:val="0"/>
          <w:i w:val="0"/>
          <w:sz w:val="24"/>
        </w:rPr>
        <w:t>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r>
        <w:rPr>
          <w:rFonts w:ascii="Georgia" w:hAnsi="Georgia"/>
          <w:b w:val="0"/>
          <w:i w:val="0"/>
          <w:sz w:val="24"/>
        </w:rP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r>
        <w:rPr>
          <w:rFonts w:ascii="Georgia" w:hAnsi="Georgia"/>
          <w:b w:val="0"/>
          <w:i w:val="0"/>
          <w:sz w:val="24"/>
        </w:rPr>
        <w:t>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Nibbāna through their aspired Bodhi! With this aspiration, recite this verse:</w:t>
      </w:r>
    </w:p>
    <w:p>
      <w:r>
        <w:rPr>
          <w:rFonts w:ascii="Georgia" w:hAnsi="Georgia"/>
          <w:b w:val="0"/>
          <w:i w:val="0"/>
          <w:sz w:val="24"/>
        </w:rPr>
        <w:t>&gt;*“Puññen'ānena pappanā,*</w:t>
      </w:r>
    </w:p>
    <w:p>
      <w:r>
        <w:rPr>
          <w:rFonts w:ascii="Georgia" w:hAnsi="Georgia"/>
          <w:b w:val="0"/>
          <w:i w:val="0"/>
          <w:sz w:val="24"/>
        </w:rPr>
        <w:t>&gt; *maṁ sadevaka-mānuse;*</w:t>
      </w:r>
    </w:p>
    <w:p>
      <w:r>
        <w:rPr>
          <w:rFonts w:ascii="Georgia" w:hAnsi="Georgia"/>
          <w:b w:val="0"/>
          <w:i w:val="0"/>
          <w:sz w:val="24"/>
        </w:rPr>
        <w:t>&gt; *sabba-dukkha-pamuccatu”ti.*</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