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595959"/>
          <w:sz w:val="28"/>
          <w:szCs w:val="28"/>
        </w:rPr>
        <w:t xml:space="preserve">SmartCost POS</w:t>
      </w:r>
    </w:p>
    <w:p>
      <w:pPr>
        <w:spacing w:after="120" w:before="200"/>
        <w:jc w:val="center"/>
      </w:pPr>
      <w:r>
        <w:rPr>
          <w:b/>
          <w:bCs/>
          <w:color w:val="1F4E79"/>
          <w:sz w:val="40"/>
          <w:szCs w:val="40"/>
        </w:rPr>
        <w:t xml:space="preserve">Novelty 1</w:t>
      </w:r>
    </w:p>
    <w:p>
      <w:pPr>
        <w:jc w:val="center"/>
      </w:pPr>
      <w:r>
        <w:rPr>
          <w:b/>
          <w:bCs/>
          <w:color w:val="1F4E79"/>
          <w:sz w:val="52"/>
          <w:szCs w:val="52"/>
        </w:rPr>
        <w:t xml:space="preserve">Sales and Cost Forecasting</w:t>
      </w:r>
    </w:p>
    <w:p>
      <w:pPr>
        <w:pBdr>
          <w:bottom w:val="single" w:color="1F4E79" w:sz="12" w:space="12"/>
        </w:pBdr>
        <w:spacing w:after="1600" w:before="240"/>
        <w:jc w:val="center"/>
      </w:pPr>
      <w:r>
        <w:rPr>
          <w:i/>
          <w:iCs/>
          <w:color w:val="404040"/>
          <w:sz w:val="24"/>
          <w:szCs w:val="24"/>
        </w:rPr>
        <w:t xml:space="preserve">Adaptive Holt-Winters forecasting of branch revenue, expenses and profit</w:t>
      </w:r>
    </w:p>
    <w:p>
      <w:pPr>
        <w:jc w:val="center"/>
      </w:pPr>
      <w:r>
        <w:rPr>
          <w:sz w:val="24"/>
          <w:szCs w:val="24"/>
        </w:rPr>
        <w:t xml:space="preserve">Research Project R26-IT-026</w:t>
      </w:r>
    </w:p>
    <w:p>
      <w:pPr>
        <w:jc w:val="center"/>
      </w:pPr>
      <w:r>
        <w:rPr>
          <w:sz w:val="24"/>
          <w:szCs w:val="24"/>
        </w:rPr>
        <w:t xml:space="preserve">Technical Documentation</w:t>
      </w:r>
    </w:p>
    <w:p>
      <w:pPr>
        <w:spacing w:before="120"/>
        <w:jc w:val="center"/>
      </w:pPr>
      <w:r>
        <w:rPr>
          <w:color w:val="595959"/>
          <w:sz w:val="24"/>
          <w:szCs w:val="24"/>
        </w:rPr>
        <w:t xml:space="preserve">October 2026</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If the contents list is empty, right-click it in Word and choose Update Field.</w:t>
      </w:r>
    </w:p>
    <w:p>
      <w:pPr>
        <w:pStyle w:val="Heading1"/>
        <w:pageBreakBefore/>
      </w:pPr>
      <w:r>
        <w:t xml:space="preserve">1. Introduction</w:t>
      </w:r>
    </w:p>
    <w:p>
      <w:pPr>
        <w:pStyle w:val="Heading2"/>
      </w:pPr>
      <w:r>
        <w:t xml:space="preserve">1.1 Background</w:t>
      </w:r>
    </w:p>
    <w:p>
      <w:pPr>
        <w:spacing w:after="120" w:line="276"/>
        <w:jc w:val="both"/>
      </w:pPr>
      <w:r>
        <w:t xml:space="preserve">SmartCost POS is a multi-tenant point-of-sale platform for shops and restaurants in Sri Lanka. Every sale is stored as an order in the </w:t>
      </w:r>
      <w:r>
        <w:rPr>
          <w:rFonts w:ascii="Consolas" w:cs="Consolas" w:eastAsia="Consolas" w:hAnsi="Consolas"/>
          <w:color w:val="7A2E0E"/>
          <w:sz w:val="19"/>
          <w:szCs w:val="19"/>
        </w:rPr>
        <w:t xml:space="preserve">History</w:t>
      </w:r>
      <w:r>
        <w:t xml:space="preserve"> collection, and every business expense is stored in the </w:t>
      </w:r>
      <w:r>
        <w:rPr>
          <w:rFonts w:ascii="Consolas" w:cs="Consolas" w:eastAsia="Consolas" w:hAnsi="Consolas"/>
          <w:color w:val="7A2E0E"/>
          <w:sz w:val="19"/>
          <w:szCs w:val="19"/>
        </w:rPr>
        <w:t xml:space="preserve">CostExpense</w:t>
      </w:r>
      <w:r>
        <w:t xml:space="preserve"> collection. This data already describes how the business performed in the past. Conventional POS reports stop there: they say what happened, but not what is likely to happen next.</w:t>
      </w:r>
    </w:p>
    <w:p>
      <w:pPr>
        <w:spacing w:after="120" w:line="276"/>
        <w:jc w:val="both"/>
      </w:pPr>
      <w:r>
        <w:t xml:space="preserve">Small and medium restaurant owners usually plan stock purchases, staffing and cash flow by intuition. A sudden seasonal peak such as the Sinhala and Tamil New Year in April or the December holiday season can therefore lead to stock-outs, while slow months can lead to over-spending.</w:t>
      </w:r>
    </w:p>
    <w:p>
      <w:pPr>
        <w:pStyle w:val="Heading2"/>
      </w:pPr>
      <w:r>
        <w:t xml:space="preserve">1.2 Objective</w:t>
      </w:r>
    </w:p>
    <w:p>
      <w:pPr>
        <w:spacing w:after="120" w:line="276"/>
        <w:jc w:val="both"/>
      </w:pPr>
      <w:r>
        <w:t xml:space="preserve">Novelty 1 turns the stored transaction history into a </w:t>
      </w:r>
      <w:r>
        <w:rPr>
          <w:b/>
          <w:bCs/>
        </w:rPr>
        <w:t xml:space="preserve">forward-looking forecast</w:t>
      </w:r>
      <w:r>
        <w:t xml:space="preserve"> for each branch. Specifically, it:</w:t>
      </w:r>
    </w:p>
    <w:p>
      <w:pPr>
        <w:pStyle w:val="ListParagraph"/>
        <w:numPr>
          <w:ilvl w:val="0"/>
          <w:numId w:val="2"/>
        </w:numPr>
        <w:spacing w:after="60"/>
      </w:pPr>
      <w:r>
        <w:t xml:space="preserve">Predicts </w:t>
      </w:r>
      <w:r>
        <w:rPr>
          <w:b/>
          <w:bCs/>
        </w:rPr>
        <w:t xml:space="preserve">sales</w:t>
      </w:r>
      <w:r>
        <w:t xml:space="preserve">, </w:t>
      </w:r>
      <w:r>
        <w:rPr>
          <w:b/>
          <w:bCs/>
        </w:rPr>
        <w:t xml:space="preserve">costs</w:t>
      </w:r>
      <w:r>
        <w:t xml:space="preserve"> and </w:t>
      </w:r>
      <w:r>
        <w:rPr>
          <w:b/>
          <w:bCs/>
        </w:rPr>
        <w:t xml:space="preserve">profit</w:t>
      </w:r>
      <w:r>
        <w:t xml:space="preserve"> for the next 1, 3, 6 and 12 months.</w:t>
      </w:r>
    </w:p>
    <w:p>
      <w:pPr>
        <w:pStyle w:val="ListParagraph"/>
        <w:numPr>
          <w:ilvl w:val="0"/>
          <w:numId w:val="2"/>
        </w:numPr>
        <w:spacing w:after="60"/>
      </w:pPr>
      <w:r>
        <w:t xml:space="preserve">Gives every prediction a </w:t>
      </w:r>
      <w:r>
        <w:rPr>
          <w:b/>
          <w:bCs/>
        </w:rPr>
        <w:t xml:space="preserve">95% confidence range</w:t>
      </w:r>
      <w:r>
        <w:t xml:space="preserve">, not just a single number.</w:t>
      </w:r>
    </w:p>
    <w:p>
      <w:pPr>
        <w:pStyle w:val="ListParagraph"/>
        <w:numPr>
          <w:ilvl w:val="0"/>
          <w:numId w:val="2"/>
        </w:numPr>
        <w:spacing w:after="60"/>
      </w:pPr>
      <w:r>
        <w:t xml:space="preserve">Projects the </w:t>
      </w:r>
      <w:r>
        <w:rPr>
          <w:b/>
          <w:bCs/>
        </w:rPr>
        <w:t xml:space="preserve">month-end total for the month currently in progress</w:t>
      </w:r>
      <w:r>
        <w:t xml:space="preserve">.</w:t>
      </w:r>
    </w:p>
    <w:p>
      <w:pPr>
        <w:pStyle w:val="ListParagraph"/>
        <w:numPr>
          <w:ilvl w:val="0"/>
          <w:numId w:val="2"/>
        </w:numPr>
        <w:spacing w:after="60"/>
      </w:pPr>
      <w:r>
        <w:rPr>
          <w:b/>
          <w:bCs/>
        </w:rPr>
        <w:t xml:space="preserve">Selects the forecasting model automatically</w:t>
      </w:r>
      <w:r>
        <w:t xml:space="preserve"> based on how much history the branch has.</w:t>
      </w:r>
    </w:p>
    <w:p>
      <w:pPr>
        <w:pStyle w:val="ListParagraph"/>
        <w:numPr>
          <w:ilvl w:val="0"/>
          <w:numId w:val="2"/>
        </w:numPr>
        <w:spacing w:after="60"/>
      </w:pPr>
      <w:r>
        <w:t xml:space="preserve">Reports the model's </w:t>
      </w:r>
      <w:r>
        <w:rPr>
          <w:b/>
          <w:bCs/>
        </w:rPr>
        <w:t xml:space="preserve">measured accuracy</w:t>
      </w:r>
      <w:r>
        <w:t xml:space="preserve"> and a plain-language </w:t>
      </w:r>
      <w:r>
        <w:rPr>
          <w:b/>
          <w:bCs/>
        </w:rPr>
        <w:t xml:space="preserve">data-quality message</w:t>
      </w:r>
      <w:r>
        <w:t xml:space="preserve">, so a non-technical owner knows how much to trust the result.</w:t>
      </w:r>
    </w:p>
    <w:p>
      <w:pPr>
        <w:pStyle w:val="Heading2"/>
      </w:pPr>
      <w:r>
        <w:t xml:space="preserve">1.3 Scope</w:t>
      </w:r>
    </w:p>
    <w:p>
      <w:pPr>
        <w:spacing w:after="120" w:line="276"/>
        <w:jc w:val="both"/>
      </w:pPr>
      <w:r>
        <w:t xml:space="preserve">The forecast works on </w:t>
      </w:r>
      <w:r>
        <w:rPr>
          <w:b/>
          <w:bCs/>
        </w:rPr>
        <w:t xml:space="preserve">monthly</w:t>
      </w:r>
      <w:r>
        <w:t xml:space="preserve"> totals and is scoped to a single shop branch (</w:t>
      </w:r>
      <w:r>
        <w:rPr>
          <w:rFonts w:ascii="Consolas" w:cs="Consolas" w:eastAsia="Consolas" w:hAnsi="Consolas"/>
          <w:color w:val="7A2E0E"/>
          <w:sz w:val="19"/>
          <w:szCs w:val="19"/>
        </w:rPr>
        <w:t xml:space="preserve">shopId</w:t>
      </w:r>
      <w:r>
        <w:t xml:space="preserve"> + </w:t>
      </w:r>
      <w:r>
        <w:rPr>
          <w:rFonts w:ascii="Consolas" w:cs="Consolas" w:eastAsia="Consolas" w:hAnsi="Consolas"/>
          <w:color w:val="7A2E0E"/>
          <w:sz w:val="19"/>
          <w:szCs w:val="19"/>
        </w:rPr>
        <w:t xml:space="preserve">branchId</w:t>
      </w:r>
      <w:r>
        <w:t xml:space="preserve">), taken from the authenticated user's session. Sales and costs are forecast as two separate time series, and profit is derived from them.</w:t>
      </w:r>
    </w:p>
    <w:p>
      <w:pPr>
        <w:pStyle w:val="Heading1"/>
        <w:pageBreakBefore/>
      </w:pPr>
      <w:r>
        <w:t xml:space="preserve">2. System Architecture</w:t>
      </w:r>
    </w:p>
    <w:p>
      <w:pPr>
        <w:spacing w:after="120" w:line="276"/>
        <w:jc w:val="both"/>
      </w:pPr>
      <w:r>
        <w:t xml:space="preserve">The feature spans three applications in the monorepo. Business data and authentication stay in the Node.js backend, while the statistical modelling runs in a dedicated Python analysis service. This keeps the statistics in the language with the strongest time-series libraries, and the same split is reused by Novelties 2 to 4.</w:t>
      </w:r>
    </w:p>
    <w:p>
      <w:pPr>
        <w:pStyle w:val="Heading2"/>
      </w:pPr>
      <w:r>
        <w:t xml:space="preserve">2.1 Request Flow</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Expo / React Native mobile app</w:t>
            </w:r>
          </w:p>
          <w:p>
            <w:pPr>
              <w:jc w:val="center"/>
            </w:pPr>
            <w:r>
              <w:rPr>
                <w:sz w:val="18"/>
                <w:szCs w:val="18"/>
              </w:rPr>
              <w:t xml:space="preserve">AnalyticsScreen → ForecastSection</w:t>
            </w:r>
          </w:p>
          <w:p>
            <w:pPr>
              <w:jc w:val="center"/>
            </w:pPr>
            <w:r>
              <w:rPr>
                <w:rFonts w:ascii="Consolas" w:cs="Consolas" w:eastAsia="Consolas" w:hAnsi="Consolas"/>
                <w:color w:val="7A2E0E"/>
                <w:sz w:val="18"/>
                <w:szCs w:val="18"/>
              </w:rPr>
              <w:t xml:space="preserve">fetchSalesCostForecast()</w:t>
            </w:r>
          </w:p>
        </w:tc>
      </w:tr>
    </w:tbl>
    <w:p>
      <w:pPr>
        <w:spacing w:after="40" w:before="40"/>
        <w:jc w:val="center"/>
      </w:pPr>
      <w:r>
        <w:rPr>
          <w:b/>
          <w:bCs/>
          <w:color w:val="1F4E79"/>
        </w:rPr>
        <w:t xml:space="preserve">▼  </w:t>
      </w:r>
      <w:r>
        <w:rPr>
          <w:i/>
          <w:iCs/>
          <w:color w:val="595959"/>
          <w:sz w:val="18"/>
          <w:szCs w:val="18"/>
        </w:rPr>
        <w:t xml:space="preserve">GET /api/forecast/sales-cost   (JWT-protected)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Node.js / Express backend</w:t>
            </w:r>
          </w:p>
          <w:p>
            <w:pPr>
              <w:jc w:val="center"/>
            </w:pPr>
            <w:r>
              <w:rPr>
                <w:sz w:val="18"/>
                <w:szCs w:val="18"/>
              </w:rPr>
              <w:t xml:space="preserve">forecastDataService: builds monthly series from MongoDB</w:t>
            </w:r>
          </w:p>
          <w:p>
            <w:pPr>
              <w:jc w:val="center"/>
            </w:pPr>
            <w:r>
              <w:rPr>
                <w:sz w:val="18"/>
                <w:szCs w:val="18"/>
              </w:rPr>
              <w:t xml:space="preserve">forecastController: horizons, current month, data quality</w:t>
            </w:r>
          </w:p>
          <w:p>
            <w:pPr>
              <w:jc w:val="center"/>
            </w:pPr>
            <w:r>
              <w:rPr>
                <w:sz w:val="18"/>
                <w:szCs w:val="18"/>
              </w:rPr>
              <w:t xml:space="preserve">forecastSeriesViaMl: forwards each series to Python</w:t>
            </w:r>
          </w:p>
        </w:tc>
      </w:tr>
    </w:tbl>
    <w:p>
      <w:pPr>
        <w:spacing w:after="40" w:before="40"/>
        <w:jc w:val="center"/>
      </w:pPr>
      <w:r>
        <w:rPr>
          <w:b/>
          <w:bCs/>
          <w:color w:val="1F4E79"/>
        </w:rPr>
        <w:t xml:space="preserve">▼  </w:t>
      </w:r>
      <w:r>
        <w:rPr>
          <w:i/>
          <w:iCs/>
          <w:color w:val="595959"/>
          <w:sz w:val="18"/>
          <w:szCs w:val="18"/>
        </w:rPr>
        <w:t xml:space="preserve">POST /forecast   { series, horizon: 13, seasonLength: 12 }</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8"/>
              <w:left w:val="single" w:color="1F4E79" w:sz="8"/>
              <w:bottom w:val="single" w:color="1F4E79" w:sz="8"/>
              <w:right w:val="single" w:color="1F4E79" w:sz="8"/>
            </w:tcBorders>
            <w:shd w:fill="DEEAF6" w:color="auto" w:val="clear"/>
            <w:tcMar>
              <w:top w:type="dxa" w:w="80"/>
              <w:left w:type="dxa" w:w="140"/>
              <w:bottom w:type="dxa" w:w="80"/>
              <w:right w:type="dxa" w:w="140"/>
            </w:tcMar>
          </w:tcPr>
          <w:p>
            <w:pPr>
              <w:jc w:val="center"/>
            </w:pPr>
            <w:r>
              <w:rPr>
                <w:b/>
                <w:bCs/>
                <w:color w:val="1F4E79"/>
              </w:rPr>
              <w:t xml:space="preserve">Python FastAPI analysis-backend (port 8000)</w:t>
            </w:r>
          </w:p>
          <w:p>
            <w:pPr>
              <w:jc w:val="center"/>
            </w:pPr>
            <w:r>
              <w:rPr>
                <w:sz w:val="18"/>
                <w:szCs w:val="18"/>
              </w:rPr>
              <w:t xml:space="preserve">forecasting.py: model selection, statsmodels fitting,</w:t>
            </w:r>
          </w:p>
          <w:p>
            <w:pPr>
              <w:jc w:val="center"/>
            </w:pPr>
            <w:r>
              <w:rPr>
                <w:sz w:val="18"/>
                <w:szCs w:val="18"/>
              </w:rPr>
              <w:t xml:space="preserve">confidence intervals, accuracy and backtest</w:t>
            </w:r>
          </w:p>
        </w:tc>
      </w:tr>
    </w:tbl>
    <w:p>
      <w:pPr>
        <w:spacing w:after="200"/>
      </w:pPr>
    </w:p>
    <w:p>
      <w:pPr>
        <w:pStyle w:val="Heading2"/>
      </w:pPr>
      <w:r>
        <w:t xml:space="preserve">2.2 Components</w:t>
      </w:r>
    </w:p>
    <w:p>
      <w:pPr>
        <w:keepNext/>
        <w:spacing w:after="60" w:before="120"/>
      </w:pPr>
      <w:r>
        <w:rPr>
          <w:b/>
          <w:bCs/>
          <w:color w:val="1F4E79"/>
          <w:sz w:val="20"/>
          <w:szCs w:val="20"/>
        </w:rPr>
        <w:t xml:space="preserve">Table 2.1  Components of Novelty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Layer</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File</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Responsibility</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backend/src/novelty/novelty01Forecasting/forecastRoutes.js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Registers </w:t>
            </w:r>
            <w:r>
              <w:rPr>
                <w:rFonts w:ascii="Consolas" w:cs="Consolas" w:eastAsia="Consolas" w:hAnsi="Consolas"/>
                <w:color w:val="7A2E0E"/>
                <w:sz w:val="20"/>
                <w:szCs w:val="20"/>
              </w:rPr>
              <w:t xml:space="preserve">GET /sales-cost</w:t>
            </w:r>
            <w:r>
              <w:rPr>
                <w:sz w:val="20"/>
                <w:szCs w:val="20"/>
              </w:rPr>
              <w:t xml:space="preserve"> behind the </w:t>
            </w:r>
            <w:r>
              <w:rPr>
                <w:rFonts w:ascii="Consolas" w:cs="Consolas" w:eastAsia="Consolas" w:hAnsi="Consolas"/>
                <w:color w:val="7A2E0E"/>
                <w:sz w:val="20"/>
                <w:szCs w:val="20"/>
              </w:rPr>
              <w:t xml:space="preserve">protect</w:t>
            </w:r>
            <w:r>
              <w:rPr>
                <w:sz w:val="20"/>
                <w:szCs w:val="20"/>
              </w:rPr>
              <w:t xml:space="preserve"> auth middleware; mounted at </w:t>
            </w:r>
            <w:r>
              <w:rPr>
                <w:rFonts w:ascii="Consolas" w:cs="Consolas" w:eastAsia="Consolas" w:hAnsi="Consolas"/>
                <w:color w:val="7A2E0E"/>
                <w:sz w:val="20"/>
                <w:szCs w:val="20"/>
              </w:rPr>
              <w:t xml:space="preserve">/api/forecast</w:t>
            </w:r>
            <w:r>
              <w:rPr>
                <w:sz w:val="20"/>
                <w:szCs w:val="20"/>
              </w:rPr>
              <w:t xml:space="preserve"> in </w:t>
            </w:r>
            <w:r>
              <w:rPr>
                <w:rFonts w:ascii="Consolas" w:cs="Consolas" w:eastAsia="Consolas" w:hAnsi="Consolas"/>
                <w:color w:val="7A2E0E"/>
                <w:sz w:val="20"/>
                <w:szCs w:val="20"/>
              </w:rPr>
              <w:t xml:space="preserve">app.js</w:t>
            </w:r>
            <w:r>
              <w:rPr>
                <w:sz w:val="20"/>
                <w:szCs w:val="20"/>
              </w:rPr>
              <w:t xml:space="preser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 preparation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forecastDataService.js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MongoDB aggregation into an evenly spaced monthly series of sales, costs and profit.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Orchestration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forecastController.js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Validates shop/branch, calls the ML service for sales and costs, builds horizon summaries and the current-month projection, assesses data quality.</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bridge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forecastSeriesViaMl.js</w:t>
            </w:r>
            <w:r>
              <w:rPr>
                <w:sz w:val="20"/>
                <w:szCs w:val="20"/>
              </w:rPr>
              <w:t xml:space="preserve">, </w:t>
            </w:r>
            <w:r>
              <w:rPr>
                <w:rFonts w:ascii="Consolas" w:cs="Consolas" w:eastAsia="Consolas" w:hAnsi="Consolas"/>
                <w:color w:val="7A2E0E"/>
                <w:sz w:val="20"/>
                <w:szCs w:val="20"/>
              </w:rPr>
              <w:t xml:space="preserve">services/analysisServiceClient.js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HTTP client (axios) to the Python service; URL from </w:t>
            </w:r>
            <w:r>
              <w:rPr>
                <w:rFonts w:ascii="Consolas" w:cs="Consolas" w:eastAsia="Consolas" w:hAnsi="Consolas"/>
                <w:color w:val="7A2E0E"/>
                <w:sz w:val="20"/>
                <w:szCs w:val="20"/>
              </w:rPr>
              <w:t xml:space="preserve">ANALYSIS_SERVICE_URL</w:t>
            </w:r>
            <w:r>
              <w:rPr>
                <w:sz w:val="20"/>
                <w:szCs w:val="20"/>
              </w:rPr>
              <w:t xml:space="preserve">, timeout 25 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engine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analysis-backend/app/novelty01Forecasting/forecasting.py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selection, Holt-Winters fitting with statsmodels, prediction intervals, accuracy metrics, backtesting.</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ML API</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router.py</w:t>
            </w:r>
            <w:r>
              <w:rPr>
                <w:sz w:val="20"/>
                <w:szCs w:val="20"/>
              </w:rPr>
              <w:t xml:space="preserve">, </w:t>
            </w:r>
            <w:r>
              <w:rPr>
                <w:rFonts w:ascii="Consolas" w:cs="Consolas" w:eastAsia="Consolas" w:hAnsi="Consolas"/>
                <w:color w:val="7A2E0E"/>
                <w:sz w:val="20"/>
                <w:szCs w:val="20"/>
              </w:rPr>
              <w:t xml:space="preserve">schemas.py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FastAPI </w:t>
            </w:r>
            <w:r>
              <w:rPr>
                <w:rFonts w:ascii="Consolas" w:cs="Consolas" w:eastAsia="Consolas" w:hAnsi="Consolas"/>
                <w:color w:val="7A2E0E"/>
                <w:sz w:val="20"/>
                <w:szCs w:val="20"/>
              </w:rPr>
              <w:t xml:space="preserve">POST /forecast</w:t>
            </w:r>
            <w:r>
              <w:rPr>
                <w:sz w:val="20"/>
                <w:szCs w:val="20"/>
              </w:rPr>
              <w:t xml:space="preserve"> endpoint with Pydantic request/response validation.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Mobile UI</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fontend/src/screens/analytics/novelty01Forecasting/ForecastSection.tsx</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Horizon selector, prediction cards, chart, monthly breakdown, accuracy panel.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seed/seedForecastData.js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Generates 24 months of realistic restaurant data (</w:t>
            </w:r>
            <w:r>
              <w:rPr>
                <w:rFonts w:ascii="Consolas" w:cs="Consolas" w:eastAsia="Consolas" w:hAnsi="Consolas"/>
                <w:color w:val="7A2E0E"/>
                <w:sz w:val="20"/>
                <w:szCs w:val="20"/>
              </w:rPr>
              <w:t xml:space="preserve">npm run seed:forecast</w:t>
            </w:r>
            <w:r>
              <w:rPr>
                <w:sz w:val="20"/>
                <w:szCs w:val="20"/>
              </w:rPr>
              <w:t xml:space="preserve">).</w:t>
            </w:r>
          </w:p>
        </w:tc>
      </w:tr>
    </w:tbl>
    <w:p>
      <w:pPr>
        <w:spacing w:after="120"/>
      </w:pPr>
    </w:p>
    <w:p>
      <w:pPr>
        <w:pStyle w:val="Heading2"/>
      </w:pPr>
      <w:r>
        <w:t xml:space="preserve">2.3 Technology Stack</w:t>
      </w:r>
    </w:p>
    <w:p>
      <w:pPr>
        <w:pStyle w:val="ListParagraph"/>
        <w:numPr>
          <w:ilvl w:val="0"/>
          <w:numId w:val="2"/>
        </w:numPr>
        <w:spacing w:after="60"/>
      </w:pPr>
      <w:r>
        <w:rPr>
          <w:b/>
          <w:bCs/>
        </w:rPr>
        <w:t xml:space="preserve">Backend:</w:t>
      </w:r>
      <w:r>
        <w:t xml:space="preserve"> Node.js, Express, Mongoose (MongoDB aggregation pipelines), axios.</w:t>
      </w:r>
    </w:p>
    <w:p>
      <w:pPr>
        <w:pStyle w:val="ListParagraph"/>
        <w:numPr>
          <w:ilvl w:val="0"/>
          <w:numId w:val="2"/>
        </w:numPr>
        <w:spacing w:after="60"/>
      </w:pPr>
      <w:r>
        <w:rPr>
          <w:b/>
          <w:bCs/>
        </w:rPr>
        <w:t xml:space="preserve">Analysis service:</w:t>
      </w:r>
      <w:r>
        <w:t xml:space="preserve"> Python, FastAPI, Pydantic, NumPy, statsmodels (</w:t>
      </w:r>
      <w:r>
        <w:rPr>
          <w:rFonts w:ascii="Consolas" w:cs="Consolas" w:eastAsia="Consolas" w:hAnsi="Consolas"/>
          <w:color w:val="7A2E0E"/>
          <w:sz w:val="19"/>
          <w:szCs w:val="19"/>
        </w:rPr>
        <w:t xml:space="preserve">ExponentialSmoothing</w:t>
      </w:r>
      <w:r>
        <w:t xml:space="preserve">).</w:t>
      </w:r>
    </w:p>
    <w:p>
      <w:pPr>
        <w:pStyle w:val="ListParagraph"/>
        <w:numPr>
          <w:ilvl w:val="0"/>
          <w:numId w:val="2"/>
        </w:numPr>
        <w:spacing w:after="60"/>
      </w:pPr>
      <w:r>
        <w:rPr>
          <w:b/>
          <w:bCs/>
        </w:rPr>
        <w:t xml:space="preserve">Mobile app:</w:t>
      </w:r>
      <w:r>
        <w:t xml:space="preserve"> Expo / React Native, React Native Paper, react-native-chart-kit.</w:t>
      </w:r>
    </w:p>
    <w:p>
      <w:pPr>
        <w:pStyle w:val="Heading1"/>
        <w:pageBreakBefore/>
      </w:pPr>
      <w:r>
        <w:t xml:space="preserve">3. Data Preparation</w:t>
      </w:r>
    </w:p>
    <w:p>
      <w:pPr>
        <w:spacing w:after="120" w:line="276"/>
        <w:jc w:val="both"/>
      </w:pPr>
      <w:r>
        <w:t xml:space="preserve">A forecasting model needs a clean, evenly spaced series of numbers. </w:t>
      </w:r>
      <w:r>
        <w:rPr>
          <w:rFonts w:ascii="Consolas" w:cs="Consolas" w:eastAsia="Consolas" w:hAnsi="Consolas"/>
          <w:color w:val="7A2E0E"/>
          <w:sz w:val="19"/>
          <w:szCs w:val="19"/>
        </w:rPr>
        <w:t xml:space="preserve">getMonthlySeries()</w:t>
      </w:r>
      <w:r>
        <w:t xml:space="preserve"> in </w:t>
      </w:r>
      <w:r>
        <w:rPr>
          <w:rFonts w:ascii="Consolas" w:cs="Consolas" w:eastAsia="Consolas" w:hAnsi="Consolas"/>
          <w:color w:val="7A2E0E"/>
          <w:sz w:val="19"/>
          <w:szCs w:val="19"/>
        </w:rPr>
        <w:t xml:space="preserve">forecastDataService.js</w:t>
      </w:r>
      <w:r>
        <w:t xml:space="preserve"> builds that series from raw transactions in five steps.</w:t>
      </w:r>
    </w:p>
    <w:p>
      <w:pPr>
        <w:pStyle w:val="Heading2"/>
      </w:pPr>
      <w:r>
        <w:t xml:space="preserve">3.1 Aggregation</w:t>
      </w:r>
    </w:p>
    <w:p>
      <w:pPr>
        <w:keepNext/>
        <w:spacing w:after="60" w:before="120"/>
      </w:pPr>
      <w:r>
        <w:rPr>
          <w:b/>
          <w:bCs/>
          <w:color w:val="1F4E79"/>
          <w:sz w:val="20"/>
          <w:szCs w:val="20"/>
        </w:rPr>
        <w:t xml:space="preserve">Table 3.1  Source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1700"/>
        <w:gridCol w:w="19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Series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Source collection</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Filter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Date field</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 summed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Sales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History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status = "submited"</w:t>
            </w:r>
            <w:r>
              <w:rPr>
                <w:sz w:val="20"/>
                <w:szCs w:val="20"/>
              </w:rPr>
              <w:t xml:space="preserve">, shop and branch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checkOutTime</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totalAmount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Costs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CostExpense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shop and branch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purchaseDate</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amount</w:t>
            </w:r>
          </w:p>
        </w:tc>
      </w:tr>
    </w:tbl>
    <w:p>
      <w:pPr>
        <w:spacing w:after="120"/>
      </w:pPr>
    </w:p>
    <w:p>
      <w:pPr>
        <w:spacing w:after="120" w:line="276"/>
        <w:jc w:val="both"/>
      </w:pPr>
      <w:r>
        <w:t xml:space="preserve">Both aggregations run in parallel (</w:t>
      </w:r>
      <w:r>
        <w:rPr>
          <w:rFonts w:ascii="Consolas" w:cs="Consolas" w:eastAsia="Consolas" w:hAnsi="Consolas"/>
          <w:color w:val="7A2E0E"/>
          <w:sz w:val="19"/>
          <w:szCs w:val="19"/>
        </w:rPr>
        <w:t xml:space="preserve">Promise.all</w:t>
      </w:r>
      <w:r>
        <w:t xml:space="preserve">) and group records by calendar year and month.</w:t>
      </w:r>
    </w:p>
    <w:p>
      <w:pPr>
        <w:pStyle w:val="Heading2"/>
      </w:pPr>
      <w:r>
        <w:t xml:space="preserve">3.2 Processing Steps</w:t>
      </w:r>
    </w:p>
    <w:p>
      <w:pPr>
        <w:pStyle w:val="ListParagraph"/>
        <w:numPr>
          <w:ilvl w:val="0"/>
          <w:numId w:val="3"/>
        </w:numPr>
        <w:spacing w:after="60"/>
      </w:pPr>
      <w:r>
        <w:rPr>
          <w:b/>
          <w:bCs/>
        </w:rPr>
        <w:t xml:space="preserve">Timezone-correct bucketing.</w:t>
      </w:r>
      <w:r>
        <w:t xml:space="preserve"> Months are computed in the </w:t>
      </w:r>
      <w:r>
        <w:rPr>
          <w:rFonts w:ascii="Consolas" w:cs="Consolas" w:eastAsia="Consolas" w:hAnsi="Consolas"/>
          <w:color w:val="7A2E0E"/>
          <w:sz w:val="19"/>
          <w:szCs w:val="19"/>
        </w:rPr>
        <w:t xml:space="preserve">Asia/Colombo</w:t>
      </w:r>
      <w:r>
        <w:t xml:space="preserve"> timezone (configurable through </w:t>
      </w:r>
      <w:r>
        <w:rPr>
          <w:rFonts w:ascii="Consolas" w:cs="Consolas" w:eastAsia="Consolas" w:hAnsi="Consolas"/>
          <w:color w:val="7A2E0E"/>
          <w:sz w:val="19"/>
          <w:szCs w:val="19"/>
        </w:rPr>
        <w:t xml:space="preserve">FORECAST_TIMEZONE</w:t>
      </w:r>
      <w:r>
        <w:t xml:space="preserve">). Without this, an order placed at 11 pm on the last day of a month could be counted in the following month, because MongoDB stores dates in UTC.</w:t>
      </w:r>
    </w:p>
    <w:p>
      <w:pPr>
        <w:pStyle w:val="ListParagraph"/>
        <w:numPr>
          <w:ilvl w:val="0"/>
          <w:numId w:val="3"/>
        </w:numPr>
        <w:spacing w:after="60"/>
      </w:pPr>
      <w:r>
        <w:rPr>
          <w:b/>
          <w:bCs/>
        </w:rPr>
        <w:t xml:space="preserve">Lookback window.</w:t>
      </w:r>
      <w:r>
        <w:t xml:space="preserve"> The last 36 months are considered.</w:t>
      </w:r>
    </w:p>
    <w:p>
      <w:pPr>
        <w:pStyle w:val="ListParagraph"/>
        <w:numPr>
          <w:ilvl w:val="0"/>
          <w:numId w:val="3"/>
        </w:numPr>
        <w:spacing w:after="60"/>
      </w:pPr>
      <w:r>
        <w:rPr>
          <w:b/>
          <w:bCs/>
        </w:rPr>
        <w:t xml:space="preserve">Gap filling.</w:t>
      </w:r>
      <w:r>
        <w:t xml:space="preserve"> Months with no orders or expenses are inserted as zero, so the series is evenly spaced, which time-series models require.</w:t>
      </w:r>
    </w:p>
    <w:p>
      <w:pPr>
        <w:pStyle w:val="ListParagraph"/>
        <w:numPr>
          <w:ilvl w:val="0"/>
          <w:numId w:val="3"/>
        </w:numPr>
        <w:spacing w:after="60"/>
      </w:pPr>
      <w:r>
        <w:rPr>
          <w:b/>
          <w:bCs/>
        </w:rPr>
        <w:t xml:space="preserve">Leading trim.</w:t>
      </w:r>
      <w:r>
        <w:t xml:space="preserve"> Empty months before the branch's first recorded activity are removed, so a new branch is not treated as having years of zero sales.</w:t>
      </w:r>
    </w:p>
    <w:p>
      <w:pPr>
        <w:pStyle w:val="ListParagraph"/>
        <w:numPr>
          <w:ilvl w:val="0"/>
          <w:numId w:val="3"/>
        </w:numPr>
        <w:spacing w:after="60"/>
      </w:pPr>
      <w:r>
        <w:rPr>
          <w:b/>
          <w:bCs/>
        </w:rPr>
        <w:t xml:space="preserve">Partial-month exclusion.</w:t>
      </w:r>
      <w:r>
        <w:t xml:space="preserve"> The current calendar month is flagged </w:t>
      </w:r>
      <w:r>
        <w:rPr>
          <w:rFonts w:ascii="Consolas" w:cs="Consolas" w:eastAsia="Consolas" w:hAnsi="Consolas"/>
          <w:color w:val="7A2E0E"/>
          <w:sz w:val="19"/>
          <w:szCs w:val="19"/>
        </w:rPr>
        <w:t xml:space="preserve">partial: true</w:t>
      </w:r>
      <w:r>
        <w:t xml:space="preserve">. It is returned for display but excluded from model training. A half-finished month would otherwise look like a sudden collapse in demand and drag the forecast down.</w:t>
      </w:r>
    </w:p>
    <w:p>
      <w:pPr>
        <w:pStyle w:val="Heading2"/>
      </w:pPr>
      <w:r>
        <w:t xml:space="preserve">3.3 Output Record</w:t>
      </w:r>
    </w:p>
    <w:p>
      <w:pPr>
        <w:spacing w:after="120" w:line="276"/>
        <w:jc w:val="both"/>
      </w:pPr>
      <w:r>
        <w:t xml:space="preserve">Each month in the series has the following shape:</w:t>
      </w:r>
    </w:p>
    <w:p>
      <w:pPr>
        <w:pBdr>
          <w:top w:val="single" w:color="CCCCCC" w:sz="4" w:space="4"/>
        </w:pBdr>
        <w:shd w:fill="F3F3F3" w:color="auto" w:val="clear"/>
        <w:spacing w:after="0" w:before="120" w:line="240"/>
        <w:ind w:left="200" w:right="200"/>
      </w:pPr>
      <w:r>
        <w:rPr>
          <w:rFonts w:ascii="Consolas" w:cs="Consolas" w:eastAsia="Consolas" w:hAnsi="Consolas"/>
          <w:sz w:val="17"/>
          <w:szCs w:val="17"/>
        </w:rPr>
        <w:t xml:space="preserve">{</w:t>
      </w:r>
    </w:p>
    <w:p>
      <w:pPr>
        <w:shd w:fill="F3F3F3" w:color="auto" w:val="clear"/>
        <w:spacing w:after="0" w:before="0" w:line="240"/>
        <w:ind w:left="200" w:right="200"/>
      </w:pPr>
      <w:r>
        <w:rPr>
          <w:rFonts w:ascii="Consolas" w:cs="Consolas" w:eastAsia="Consolas" w:hAnsi="Consolas"/>
          <w:sz w:val="17"/>
          <w:szCs w:val="17"/>
        </w:rPr>
        <w:t xml:space="preserve">  "month": "2026-08",        "label": "Aug 2026",</w:t>
      </w:r>
    </w:p>
    <w:p>
      <w:pPr>
        <w:shd w:fill="F3F3F3" w:color="auto" w:val="clear"/>
        <w:spacing w:after="0" w:before="0" w:line="240"/>
        <w:ind w:left="200" w:right="200"/>
      </w:pPr>
      <w:r>
        <w:rPr>
          <w:rFonts w:ascii="Consolas" w:cs="Consolas" w:eastAsia="Consolas" w:hAnsi="Consolas"/>
          <w:sz w:val="17"/>
          <w:szCs w:val="17"/>
        </w:rPr>
        <w:t xml:space="preserve">  "sales": 1254300.00,       "costs": 812450.00,</w:t>
      </w:r>
    </w:p>
    <w:p>
      <w:pPr>
        <w:shd w:fill="F3F3F3" w:color="auto" w:val="clear"/>
        <w:spacing w:after="0" w:before="0" w:line="240"/>
        <w:ind w:left="200" w:right="200"/>
      </w:pPr>
      <w:r>
        <w:rPr>
          <w:rFonts w:ascii="Consolas" w:cs="Consolas" w:eastAsia="Consolas" w:hAnsi="Consolas"/>
          <w:sz w:val="17"/>
          <w:szCs w:val="17"/>
        </w:rPr>
        <w:t xml:space="preserve">  "profit": 441850.00,</w:t>
      </w:r>
    </w:p>
    <w:p>
      <w:pPr>
        <w:shd w:fill="F3F3F3" w:color="auto" w:val="clear"/>
        <w:spacing w:after="0" w:before="0" w:line="240"/>
        <w:ind w:left="200" w:right="200"/>
      </w:pPr>
      <w:r>
        <w:rPr>
          <w:rFonts w:ascii="Consolas" w:cs="Consolas" w:eastAsia="Consolas" w:hAnsi="Consolas"/>
          <w:sz w:val="17"/>
          <w:szCs w:val="17"/>
        </w:rPr>
        <w:t xml:space="preserve">  "orderCount": 612,         "expenseCount": 48,</w:t>
      </w:r>
    </w:p>
    <w:p>
      <w:pPr>
        <w:shd w:fill="F3F3F3" w:color="auto" w:val="clear"/>
        <w:spacing w:after="0" w:before="0" w:line="240"/>
        <w:ind w:left="200" w:right="200"/>
      </w:pPr>
      <w:r>
        <w:rPr>
          <w:rFonts w:ascii="Consolas" w:cs="Consolas" w:eastAsia="Consolas" w:hAnsi="Consolas"/>
          <w:sz w:val="17"/>
          <w:szCs w:val="17"/>
        </w:rPr>
        <w:t xml:space="preserve">  "partial": false</w:t>
      </w:r>
    </w:p>
    <w:p>
      <w:pPr>
        <w:pBdr>
          <w:bottom w:val="single" w:color="CCCCCC" w:sz="4" w:space="4"/>
        </w:pBdr>
        <w:shd w:fill="F3F3F3" w:color="auto" w:val="clear"/>
        <w:spacing w:after="0" w:before="0" w:line="240"/>
        <w:ind w:left="200" w:right="200"/>
      </w:pPr>
      <w:r>
        <w:rPr>
          <w:rFonts w:ascii="Consolas" w:cs="Consolas" w:eastAsia="Consolas" w:hAnsi="Consolas"/>
          <w:sz w:val="17"/>
          <w:szCs w:val="17"/>
        </w:rPr>
        <w:t xml:space="preserve">}</w:t>
      </w:r>
    </w:p>
    <w:p>
      <w:pPr>
        <w:spacing w:after="120"/>
      </w:pPr>
    </w:p>
    <w:p>
      <w:pPr>
        <w:pStyle w:val="Heading1"/>
        <w:pageBreakBefore/>
      </w:pPr>
      <w:r>
        <w:t xml:space="preserve">4. Forecasting Models</w:t>
      </w:r>
    </w:p>
    <w:p>
      <w:pPr>
        <w:pStyle w:val="Heading2"/>
      </w:pPr>
      <w:r>
        <w:t xml:space="preserve">4.1 Adaptive Model Selection</w:t>
      </w:r>
    </w:p>
    <w:p>
      <w:pPr>
        <w:spacing w:after="120" w:line="276"/>
        <w:jc w:val="both"/>
      </w:pPr>
      <w:r>
        <w:t xml:space="preserve">Instead of forcing one model onto every branch, the engine (</w:t>
      </w:r>
      <w:r>
        <w:rPr>
          <w:rFonts w:ascii="Consolas" w:cs="Consolas" w:eastAsia="Consolas" w:hAnsi="Consolas"/>
          <w:color w:val="7A2E0E"/>
          <w:sz w:val="19"/>
          <w:szCs w:val="19"/>
        </w:rPr>
        <w:t xml:space="preserve">_select_model</w:t>
      </w:r>
      <w:r>
        <w:t xml:space="preserve"> in </w:t>
      </w:r>
      <w:r>
        <w:rPr>
          <w:rFonts w:ascii="Consolas" w:cs="Consolas" w:eastAsia="Consolas" w:hAnsi="Consolas"/>
          <w:color w:val="7A2E0E"/>
          <w:sz w:val="19"/>
          <w:szCs w:val="19"/>
        </w:rPr>
        <w:t xml:space="preserve">forecasting.py</w:t>
      </w:r>
      <w:r>
        <w:t xml:space="preserve">) picks the most capable model that the amount of history can reliably support. A new branch gets a simple, stable model, and the forecast upgrades itself automatically as data accumulates.</w:t>
      </w:r>
    </w:p>
    <w:p>
      <w:pPr>
        <w:keepNext/>
        <w:spacing w:after="60" w:before="120"/>
      </w:pPr>
      <w:r>
        <w:rPr>
          <w:b/>
          <w:bCs/>
          <w:color w:val="1F4E79"/>
          <w:sz w:val="20"/>
          <w:szCs w:val="20"/>
        </w:rPr>
        <w:t xml:space="preserve">Table 4.1  Model selection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300"/>
        <w:gridCol w:w="25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Complete months (n)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Model</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Method identifier</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Rationale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 &lt; 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insufficient_data</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Too little data for an honest forecast.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 = 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Moving average (last 3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moving_average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the level of the series can be estimated.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 ≤ n &lt; 24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Holt linear trend, damped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holt_linear_damped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Enough data to estimate a trend, but not a full yearly cycle.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 ≥ 24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Holt-Winters additive, damped, 12-month season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holt_winters_additive_damped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Two full seasonal cycles are needed to separate seasonality from trend.</w:t>
            </w:r>
          </w:p>
        </w:tc>
      </w:tr>
    </w:tbl>
    <w:p>
      <w:pPr>
        <w:spacing w:after="120"/>
      </w:pPr>
    </w:p>
    <w:p>
      <w:pPr>
        <w:spacing w:after="120" w:line="276"/>
        <w:jc w:val="both"/>
      </w:pPr>
      <w:r>
        <w:rPr>
          <w:b/>
          <w:bCs/>
        </w:rPr>
        <w:t xml:space="preserve">Fallback chain.</w:t>
      </w:r>
      <w:r>
        <w:t xml:space="preserve"> If a model fails to fit (for example, the optimiser does not converge), the engine falls back to the next simpler model: Holt-Winters, then Holt linear, then ordinary least-squares linear regression. A forecast is always produced once at least three months exist.</w:t>
      </w:r>
    </w:p>
    <w:p>
      <w:pPr>
        <w:pStyle w:val="Heading2"/>
      </w:pPr>
      <w:r>
        <w:t xml:space="preserve">4.2 Holt-Winters Exponential Smoothing</w:t>
      </w:r>
    </w:p>
    <w:p>
      <w:pPr>
        <w:spacing w:after="120" w:line="276"/>
        <w:jc w:val="both"/>
      </w:pPr>
      <w:r>
        <w:t xml:space="preserve">Holt-Winters models a time series as three components that are updated every month. Each update is a weighted average between the newest observation and the previous estimate:</w:t>
      </w:r>
    </w:p>
    <w:p>
      <w:pPr>
        <w:pStyle w:val="ListParagraph"/>
        <w:numPr>
          <w:ilvl w:val="0"/>
          <w:numId w:val="2"/>
        </w:numPr>
        <w:spacing w:after="60"/>
      </w:pPr>
      <w:r>
        <w:rPr>
          <w:b/>
          <w:bCs/>
        </w:rPr>
        <w:t xml:space="preserve">Level (ℓ):</w:t>
      </w:r>
      <w:r>
        <w:t xml:space="preserve"> the baseline value of the series, smoothed by α.</w:t>
      </w:r>
    </w:p>
    <w:p>
      <w:pPr>
        <w:pStyle w:val="ListParagraph"/>
        <w:numPr>
          <w:ilvl w:val="0"/>
          <w:numId w:val="2"/>
        </w:numPr>
        <w:spacing w:after="60"/>
      </w:pPr>
      <w:r>
        <w:rPr>
          <w:b/>
          <w:bCs/>
        </w:rPr>
        <w:t xml:space="preserve">Trend (b):</w:t>
      </w:r>
      <w:r>
        <w:t xml:space="preserve"> the month-to-month growth or decline, smoothed by β.</w:t>
      </w:r>
    </w:p>
    <w:p>
      <w:pPr>
        <w:pStyle w:val="ListParagraph"/>
        <w:numPr>
          <w:ilvl w:val="0"/>
          <w:numId w:val="2"/>
        </w:numPr>
        <w:spacing w:after="60"/>
      </w:pPr>
      <w:r>
        <w:rPr>
          <w:b/>
          <w:bCs/>
        </w:rPr>
        <w:t xml:space="preserve">Season (s):</w:t>
      </w:r>
      <w:r>
        <w:t xml:space="preserve"> the repeating yearly pattern, e.g. the April New Year and December peaks, smoothed by γ. The season length is m = 12.</w:t>
      </w:r>
    </w:p>
    <w:p>
      <w:pPr>
        <w:spacing w:after="120" w:line="276"/>
        <w:jc w:val="both"/>
      </w:pPr>
      <w:r>
        <w:t xml:space="preserve">The additive damped-trend form used by the system is:</w:t>
      </w:r>
    </w:p>
    <w:p>
      <w:pPr>
        <w:tabs>
          <w:tab w:val="right" w:pos="9026"/>
        </w:tabs>
        <w:spacing w:after="60" w:before="60"/>
        <w:ind w:left="720"/>
      </w:pPr>
      <w:r>
        <w:rPr>
          <w:rFonts w:ascii="Cambria Math" w:cs="Cambria Math" w:eastAsia="Cambria Math" w:hAnsi="Cambria Math"/>
          <w:i/>
          <w:iCs/>
          <w:sz w:val="22"/>
          <w:szCs w:val="22"/>
        </w:rPr>
        <w:t xml:space="preserve">ℓ</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α (y</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t−m</w:t>
      </w:r>
      <w:r>
        <w:rPr>
          <w:rFonts w:ascii="Cambria Math" w:cs="Cambria Math" w:eastAsia="Cambria Math" w:hAnsi="Cambria Math"/>
          <w:i/>
          <w:iCs/>
          <w:sz w:val="22"/>
          <w:szCs w:val="22"/>
        </w:rPr>
        <w:t xml:space="preserve">) + (1 − α)(ℓ</w:t>
      </w:r>
      <w:r>
        <w:rPr>
          <w:rFonts w:ascii="Cambria Math" w:cs="Cambria Math" w:eastAsia="Cambria Math" w:hAnsi="Cambria Math"/>
          <w:i/>
          <w:iCs/>
          <w:sz w:val="22"/>
          <w:szCs w:val="22"/>
          <w:vertAlign w:val="subscript"/>
        </w:rPr>
        <w:t xml:space="preserve">t−1</w:t>
      </w:r>
      <w:r>
        <w:rPr>
          <w:rFonts w:ascii="Cambria Math" w:cs="Cambria Math" w:eastAsia="Cambria Math" w:hAnsi="Cambria Math"/>
          <w:i/>
          <w:iCs/>
          <w:sz w:val="22"/>
          <w:szCs w:val="22"/>
        </w:rPr>
        <w:t xml:space="preserve"> + φ b</w:t>
      </w:r>
      <w:r>
        <w:rPr>
          <w:rFonts w:ascii="Cambria Math" w:cs="Cambria Math" w:eastAsia="Cambria Math" w:hAnsi="Cambria Math"/>
          <w:i/>
          <w:iCs/>
          <w:sz w:val="22"/>
          <w:szCs w:val="22"/>
          <w:vertAlign w:val="subscript"/>
        </w:rPr>
        <w:t xml:space="preserve">t−1</w:t>
      </w:r>
      <w:r>
        <w:rPr>
          <w:rFonts w:ascii="Cambria Math" w:cs="Cambria Math" w:eastAsia="Cambria Math" w:hAnsi="Cambria Math"/>
          <w:i/>
          <w:iCs/>
          <w:sz w:val="22"/>
          <w:szCs w:val="22"/>
        </w:rPr>
        <w:t xml:space="preserve">)</w:t>
      </w:r>
      <w:r>
        <w:rPr>
          <w:rFonts w:ascii="Calibri" w:cs="Calibri" w:eastAsia="Calibri" w:hAnsi="Calibri"/>
          <w:sz w:val="20"/>
          <w:szCs w:val="20"/>
        </w:rPr>
        <w:t xml:space="preserve">	(4.1)</w:t>
      </w:r>
    </w:p>
    <w:p>
      <w:pPr>
        <w:tabs>
          <w:tab w:val="right" w:pos="9026"/>
        </w:tabs>
        <w:spacing w:after="60" w:before="60"/>
        <w:ind w:left="720"/>
      </w:pPr>
      <w:r>
        <w:rPr>
          <w:rFonts w:ascii="Cambria Math" w:cs="Cambria Math" w:eastAsia="Cambria Math" w:hAnsi="Cambria Math"/>
          <w:i/>
          <w:iCs/>
          <w:sz w:val="22"/>
          <w:szCs w:val="22"/>
        </w:rPr>
        <w:t xml:space="preserve">b</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β (ℓ</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ℓ</w:t>
      </w:r>
      <w:r>
        <w:rPr>
          <w:rFonts w:ascii="Cambria Math" w:cs="Cambria Math" w:eastAsia="Cambria Math" w:hAnsi="Cambria Math"/>
          <w:i/>
          <w:iCs/>
          <w:sz w:val="22"/>
          <w:szCs w:val="22"/>
          <w:vertAlign w:val="subscript"/>
        </w:rPr>
        <w:t xml:space="preserve">t−1</w:t>
      </w:r>
      <w:r>
        <w:rPr>
          <w:rFonts w:ascii="Cambria Math" w:cs="Cambria Math" w:eastAsia="Cambria Math" w:hAnsi="Cambria Math"/>
          <w:i/>
          <w:iCs/>
          <w:sz w:val="22"/>
          <w:szCs w:val="22"/>
        </w:rPr>
        <w:t xml:space="preserve">) + (1 − β) φ b</w:t>
      </w:r>
      <w:r>
        <w:rPr>
          <w:rFonts w:ascii="Cambria Math" w:cs="Cambria Math" w:eastAsia="Cambria Math" w:hAnsi="Cambria Math"/>
          <w:i/>
          <w:iCs/>
          <w:sz w:val="22"/>
          <w:szCs w:val="22"/>
          <w:vertAlign w:val="subscript"/>
        </w:rPr>
        <w:t xml:space="preserve">t−1</w:t>
      </w:r>
      <w:r>
        <w:rPr>
          <w:rFonts w:ascii="Calibri" w:cs="Calibri" w:eastAsia="Calibri" w:hAnsi="Calibri"/>
          <w:sz w:val="20"/>
          <w:szCs w:val="20"/>
        </w:rPr>
        <w:t xml:space="preserve">	(4.2)</w:t>
      </w:r>
    </w:p>
    <w:p>
      <w:pPr>
        <w:tabs>
          <w:tab w:val="right" w:pos="9026"/>
        </w:tabs>
        <w:spacing w:after="60" w:before="60"/>
        <w:ind w:left="720"/>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γ (y</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ℓ</w:t>
      </w:r>
      <w:r>
        <w:rPr>
          <w:rFonts w:ascii="Cambria Math" w:cs="Cambria Math" w:eastAsia="Cambria Math" w:hAnsi="Cambria Math"/>
          <w:i/>
          <w:iCs/>
          <w:sz w:val="22"/>
          <w:szCs w:val="22"/>
          <w:vertAlign w:val="subscript"/>
        </w:rPr>
        <w:t xml:space="preserve">t−1</w:t>
      </w:r>
      <w:r>
        <w:rPr>
          <w:rFonts w:ascii="Cambria Math" w:cs="Cambria Math" w:eastAsia="Cambria Math" w:hAnsi="Cambria Math"/>
          <w:i/>
          <w:iCs/>
          <w:sz w:val="22"/>
          <w:szCs w:val="22"/>
        </w:rPr>
        <w:t xml:space="preserve"> − φ b</w:t>
      </w:r>
      <w:r>
        <w:rPr>
          <w:rFonts w:ascii="Cambria Math" w:cs="Cambria Math" w:eastAsia="Cambria Math" w:hAnsi="Cambria Math"/>
          <w:i/>
          <w:iCs/>
          <w:sz w:val="22"/>
          <w:szCs w:val="22"/>
          <w:vertAlign w:val="subscript"/>
        </w:rPr>
        <w:t xml:space="preserve">t−1</w:t>
      </w:r>
      <w:r>
        <w:rPr>
          <w:rFonts w:ascii="Cambria Math" w:cs="Cambria Math" w:eastAsia="Cambria Math" w:hAnsi="Cambria Math"/>
          <w:i/>
          <w:iCs/>
          <w:sz w:val="22"/>
          <w:szCs w:val="22"/>
        </w:rPr>
        <w:t xml:space="preserve">) + (1 − γ) s</w:t>
      </w:r>
      <w:r>
        <w:rPr>
          <w:rFonts w:ascii="Cambria Math" w:cs="Cambria Math" w:eastAsia="Cambria Math" w:hAnsi="Cambria Math"/>
          <w:i/>
          <w:iCs/>
          <w:sz w:val="22"/>
          <w:szCs w:val="22"/>
          <w:vertAlign w:val="subscript"/>
        </w:rPr>
        <w:t xml:space="preserve">t−m</w:t>
      </w:r>
      <w:r>
        <w:rPr>
          <w:rFonts w:ascii="Calibri" w:cs="Calibri" w:eastAsia="Calibri" w:hAnsi="Calibri"/>
          <w:sz w:val="20"/>
          <w:szCs w:val="20"/>
        </w:rPr>
        <w:t xml:space="preserve">	(4.3)</w:t>
      </w:r>
    </w:p>
    <w:p>
      <w:pPr>
        <w:tabs>
          <w:tab w:val="right" w:pos="9026"/>
        </w:tabs>
        <w:spacing w:after="60" w:before="60"/>
        <w:ind w:left="720"/>
      </w:pPr>
      <w:r>
        <w:rPr>
          <w:rFonts w:ascii="Cambria Math" w:cs="Cambria Math" w:eastAsia="Cambria Math" w:hAnsi="Cambria Math"/>
          <w:i/>
          <w:iCs/>
          <w:sz w:val="22"/>
          <w:szCs w:val="22"/>
        </w:rPr>
        <w:t xml:space="preserve">ŷ</w:t>
      </w:r>
      <w:r>
        <w:rPr>
          <w:rFonts w:ascii="Cambria Math" w:cs="Cambria Math" w:eastAsia="Cambria Math" w:hAnsi="Cambria Math"/>
          <w:i/>
          <w:iCs/>
          <w:sz w:val="22"/>
          <w:szCs w:val="22"/>
          <w:vertAlign w:val="subscript"/>
        </w:rPr>
        <w:t xml:space="preserve">t+h</w:t>
      </w:r>
      <w:r>
        <w:rPr>
          <w:rFonts w:ascii="Cambria Math" w:cs="Cambria Math" w:eastAsia="Cambria Math" w:hAnsi="Cambria Math"/>
          <w:i/>
          <w:iCs/>
          <w:sz w:val="22"/>
          <w:szCs w:val="22"/>
        </w:rPr>
        <w:t xml:space="preserve"> = ℓ</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(φ + φ</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 … + φ</w:t>
      </w:r>
      <w:r>
        <w:rPr>
          <w:rFonts w:ascii="Cambria Math" w:cs="Cambria Math" w:eastAsia="Cambria Math" w:hAnsi="Cambria Math"/>
          <w:i/>
          <w:iCs/>
          <w:sz w:val="22"/>
          <w:szCs w:val="22"/>
          <w:vertAlign w:val="superscript"/>
        </w:rPr>
        <w:t xml:space="preserve">h</w:t>
      </w:r>
      <w:r>
        <w:rPr>
          <w:rFonts w:ascii="Cambria Math" w:cs="Cambria Math" w:eastAsia="Cambria Math" w:hAnsi="Cambria Math"/>
          <w:i/>
          <w:iCs/>
          <w:sz w:val="22"/>
          <w:szCs w:val="22"/>
        </w:rPr>
        <w:t xml:space="preserve">) b</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t+h−m</w:t>
      </w:r>
      <w:r>
        <w:rPr>
          <w:rFonts w:ascii="Calibri" w:cs="Calibri" w:eastAsia="Calibri" w:hAnsi="Calibri"/>
          <w:sz w:val="20"/>
          <w:szCs w:val="20"/>
        </w:rPr>
        <w:t xml:space="preserve">	(4.4)</w:t>
      </w:r>
    </w:p>
    <w:p>
      <w:pPr>
        <w:spacing w:after="120" w:line="276"/>
        <w:jc w:val="both"/>
      </w:pPr>
      <w:r>
        <w:t xml:space="preserve">Here y_t is the observed monthly total, h is the number of months ahead, and 0 &lt; α, β, γ, φ ≤ 1. The Holt linear model is the same set of equations without the seasonal term s.</w:t>
      </w:r>
    </w:p>
    <w:p>
      <w:pPr>
        <w:pStyle w:val="Heading2"/>
      </w:pPr>
      <w:r>
        <w:t xml:space="preserve">4.3 Damped Trend</w:t>
      </w:r>
    </w:p>
    <w:p>
      <w:pPr>
        <w:spacing w:after="120" w:line="276"/>
        <w:jc w:val="both"/>
      </w:pPr>
      <w:r>
        <w:t xml:space="preserve">The damping parameter φ multiplies the trend by a factor below one at every step, so the projected growth flattens out over time. Without damping, a temporary upswing would be extended in a straight line for all 12 months, giving unrealistically high long-range forecasts. Damping is a well-established way to make medium-range forecasts more robust.</w:t>
      </w:r>
    </w:p>
    <w:p>
      <w:pPr>
        <w:pStyle w:val="Heading2"/>
      </w:pPr>
      <w:r>
        <w:t xml:space="preserve">4.4 Parameter Estimation</w:t>
      </w:r>
    </w:p>
    <w:p>
      <w:pPr>
        <w:spacing w:after="120" w:line="276"/>
        <w:jc w:val="both"/>
      </w:pPr>
      <w:r>
        <w:t xml:space="preserve">The smoothing parameters α, β, γ and φ are not set by hand. They are estimated per series by </w:t>
      </w:r>
      <w:r>
        <w:rPr>
          <w:b/>
          <w:bCs/>
        </w:rPr>
        <w:t xml:space="preserve">maximum likelihood</w:t>
      </w:r>
      <w:r>
        <w:t xml:space="preserve"> using </w:t>
      </w:r>
      <w:r>
        <w:rPr>
          <w:rFonts w:ascii="Consolas" w:cs="Consolas" w:eastAsia="Consolas" w:hAnsi="Consolas"/>
          <w:color w:val="7A2E0E"/>
          <w:sz w:val="19"/>
          <w:szCs w:val="19"/>
        </w:rPr>
        <w:t xml:space="preserve">statsmodels.tsa.holtwinters.ExponentialSmoothing(...).fit(optimized=True)</w:t>
      </w:r>
      <w:r>
        <w:t xml:space="preserve">. Sales and costs are fitted as two independent models, so each gets parameters suited to its own behaviour. The fitted parameters are returned in the API response (</w:t>
      </w:r>
      <w:r>
        <w:rPr>
          <w:rFonts w:ascii="Consolas" w:cs="Consolas" w:eastAsia="Consolas" w:hAnsi="Consolas"/>
          <w:color w:val="7A2E0E"/>
          <w:sz w:val="19"/>
          <w:szCs w:val="19"/>
        </w:rPr>
        <w:t xml:space="preserve">models.sales.params</w:t>
      </w:r>
      <w:r>
        <w:t xml:space="preserve">) for transparency.</w:t>
      </w:r>
    </w:p>
    <w:p>
      <w:pPr>
        <w:pStyle w:val="Heading1"/>
        <w:pageBreakBefore/>
      </w:pPr>
      <w:r>
        <w:t xml:space="preserve">5. Forecast Output</w:t>
      </w:r>
    </w:p>
    <w:p>
      <w:pPr>
        <w:pStyle w:val="Heading2"/>
      </w:pPr>
      <w:r>
        <w:t xml:space="preserve">5.1 Forecast Horizon</w:t>
      </w:r>
    </w:p>
    <w:p>
      <w:pPr>
        <w:spacing w:after="120" w:line="276"/>
        <w:jc w:val="both"/>
      </w:pPr>
      <w:r>
        <w:t xml:space="preserve">The controller requests </w:t>
      </w:r>
      <w:r>
        <w:rPr>
          <w:b/>
          <w:bCs/>
        </w:rPr>
        <w:t xml:space="preserve">13 points</w:t>
      </w:r>
      <w:r>
        <w:t xml:space="preserve"> from the model. Because the last complete month is the previous month, the first point is the projected total of the </w:t>
      </w:r>
      <w:r>
        <w:rPr>
          <w:b/>
          <w:bCs/>
        </w:rPr>
        <w:t xml:space="preserve">current month</w:t>
      </w:r>
      <w:r>
        <w:t xml:space="preserve">, and the remaining 12 points are the future forecast months.</w:t>
      </w:r>
    </w:p>
    <w:p>
      <w:pPr>
        <w:pStyle w:val="Heading2"/>
      </w:pPr>
      <w:r>
        <w:t xml:space="preserve">5.2 Confidence Intervals</w:t>
      </w:r>
    </w:p>
    <w:p>
      <w:pPr>
        <w:spacing w:after="120" w:line="276"/>
        <w:jc w:val="both"/>
      </w:pPr>
      <w:r>
        <w:t xml:space="preserve">For each forecast point h (h = 1, 2, …), the upper and lower bounds are:</w:t>
      </w:r>
    </w:p>
    <w:p>
      <w:pPr>
        <w:tabs>
          <w:tab w:val="right" w:pos="9026"/>
        </w:tabs>
        <w:spacing w:after="60" w:before="60"/>
        <w:ind w:left="720"/>
      </w:pPr>
      <w:r>
        <w:rPr>
          <w:rFonts w:ascii="Cambria Math" w:cs="Cambria Math" w:eastAsia="Cambria Math" w:hAnsi="Cambria Math"/>
          <w:i/>
          <w:iCs/>
          <w:sz w:val="22"/>
          <w:szCs w:val="22"/>
        </w:rPr>
        <w:t xml:space="preserve">bounds</w:t>
      </w:r>
      <w:r>
        <w:rPr>
          <w:rFonts w:ascii="Cambria Math" w:cs="Cambria Math" w:eastAsia="Cambria Math" w:hAnsi="Cambria Math"/>
          <w:i/>
          <w:iCs/>
          <w:sz w:val="22"/>
          <w:szCs w:val="22"/>
          <w:vertAlign w:val="subscript"/>
        </w:rPr>
        <w:t xml:space="preserve">h</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h</w:t>
      </w:r>
      <w:r>
        <w:rPr>
          <w:rFonts w:ascii="Cambria Math" w:cs="Cambria Math" w:eastAsia="Cambria Math" w:hAnsi="Cambria Math"/>
          <w:i/>
          <w:iCs/>
          <w:sz w:val="22"/>
          <w:szCs w:val="22"/>
        </w:rPr>
        <w:t xml:space="preserve"> ± 1.96 · σ</w:t>
      </w:r>
      <w:r>
        <w:rPr>
          <w:rFonts w:ascii="Cambria Math" w:cs="Cambria Math" w:eastAsia="Cambria Math" w:hAnsi="Cambria Math"/>
          <w:i/>
          <w:iCs/>
          <w:sz w:val="22"/>
          <w:szCs w:val="22"/>
          <w:vertAlign w:val="subscript"/>
        </w:rPr>
        <w:t xml:space="preserve">res</w:t>
      </w:r>
      <w:r>
        <w:rPr>
          <w:rFonts w:ascii="Cambria Math" w:cs="Cambria Math" w:eastAsia="Cambria Math" w:hAnsi="Cambria Math"/>
          <w:i/>
          <w:iCs/>
          <w:sz w:val="22"/>
          <w:szCs w:val="22"/>
        </w:rPr>
        <w:t xml:space="preserve"> · √h</w:t>
      </w:r>
      <w:r>
        <w:rPr>
          <w:rFonts w:ascii="Calibri" w:cs="Calibri" w:eastAsia="Calibri" w:hAnsi="Calibri"/>
          <w:sz w:val="20"/>
          <w:szCs w:val="20"/>
        </w:rPr>
        <w:t xml:space="preserve">	(5.1)</w:t>
      </w:r>
    </w:p>
    <w:p>
      <w:pPr>
        <w:pStyle w:val="ListParagraph"/>
        <w:numPr>
          <w:ilvl w:val="0"/>
          <w:numId w:val="2"/>
        </w:numPr>
        <w:spacing w:after="60"/>
      </w:pPr>
      <w:r>
        <w:t xml:space="preserve">σ_res is the sample standard deviation of the in-sample residuals (observed minus fitted).</w:t>
      </w:r>
    </w:p>
    <w:p>
      <w:pPr>
        <w:pStyle w:val="ListParagraph"/>
        <w:numPr>
          <w:ilvl w:val="0"/>
          <w:numId w:val="2"/>
        </w:numPr>
        <w:spacing w:after="60"/>
      </w:pPr>
      <w:r>
        <w:t xml:space="preserve">The factor 1.96 corresponds to an approximately </w:t>
      </w:r>
      <w:r>
        <w:rPr>
          <w:b/>
          <w:bCs/>
        </w:rPr>
        <w:t xml:space="preserve">95% interval</w:t>
      </w:r>
      <w:r>
        <w:t xml:space="preserve"> under a normal error assumption.</w:t>
      </w:r>
    </w:p>
    <w:p>
      <w:pPr>
        <w:pStyle w:val="ListParagraph"/>
        <w:numPr>
          <w:ilvl w:val="0"/>
          <w:numId w:val="2"/>
        </w:numPr>
        <w:spacing w:after="60"/>
      </w:pPr>
      <w:r>
        <w:t xml:space="preserve">The √h term makes the band </w:t>
      </w:r>
      <w:r>
        <w:rPr>
          <w:b/>
          <w:bCs/>
        </w:rPr>
        <w:t xml:space="preserve">wider further into the future</w:t>
      </w:r>
      <w:r>
        <w:t xml:space="preserve">, reflecting that next month is more certain than a month a year away.</w:t>
      </w:r>
    </w:p>
    <w:p>
      <w:pPr>
        <w:pStyle w:val="ListParagraph"/>
        <w:numPr>
          <w:ilvl w:val="0"/>
          <w:numId w:val="2"/>
        </w:numPr>
        <w:spacing w:after="60"/>
      </w:pPr>
      <w:r>
        <w:t xml:space="preserve">Predictions and lower bounds are clipped at zero, because sales and costs cannot be negative.</w:t>
      </w:r>
    </w:p>
    <w:p>
      <w:pPr>
        <w:pStyle w:val="Heading2"/>
      </w:pPr>
      <w:r>
        <w:t xml:space="preserve">5.3 Horizon Summaries</w:t>
      </w:r>
    </w:p>
    <w:p>
      <w:pPr>
        <w:spacing w:after="120" w:line="276"/>
        <w:jc w:val="both"/>
      </w:pPr>
      <w:r>
        <w:t xml:space="preserve">For each horizon (1, 3, 6 and 12 months) the controller sums the monthly predictions and reports:</w:t>
      </w:r>
    </w:p>
    <w:p>
      <w:pPr>
        <w:pStyle w:val="ListParagraph"/>
        <w:numPr>
          <w:ilvl w:val="0"/>
          <w:numId w:val="2"/>
        </w:numPr>
        <w:spacing w:after="60"/>
      </w:pPr>
      <w:r>
        <w:t xml:space="preserve">Total predicted sales and costs, each with a lower and upper bound.</w:t>
      </w:r>
    </w:p>
    <w:p>
      <w:pPr>
        <w:pStyle w:val="ListParagraph"/>
        <w:numPr>
          <w:ilvl w:val="0"/>
          <w:numId w:val="2"/>
        </w:numPr>
        <w:spacing w:after="60"/>
      </w:pPr>
      <w:r>
        <w:t xml:space="preserve">Predicted profit = sales − costs, and profit margin = profit ÷ sales × 100.</w:t>
      </w:r>
    </w:p>
    <w:p>
      <w:pPr>
        <w:pStyle w:val="ListParagraph"/>
        <w:numPr>
          <w:ilvl w:val="0"/>
          <w:numId w:val="2"/>
        </w:numPr>
        <w:spacing w:after="60"/>
      </w:pPr>
      <w:r>
        <w:t xml:space="preserve">Monthly averages of sales, costs and profit.</w:t>
      </w:r>
    </w:p>
    <w:p>
      <w:pPr>
        <w:spacing w:after="120" w:line="276"/>
        <w:jc w:val="both"/>
      </w:pPr>
      <w:r>
        <w:t xml:space="preserve">Interval bounds are summed directly across months. This is a deliberately </w:t>
      </w:r>
      <w:r>
        <w:rPr>
          <w:b/>
          <w:bCs/>
        </w:rPr>
        <w:t xml:space="preserve">conservative</w:t>
      </w:r>
      <w:r>
        <w:t xml:space="preserve"> choice: it assumes errors in consecutive months may line up rather than cancel out, so the reported range is wider than an independence assumption would give.</w:t>
      </w:r>
    </w:p>
    <w:p>
      <w:pPr>
        <w:pStyle w:val="Heading2"/>
      </w:pPr>
      <w:r>
        <w:t xml:space="preserve">5.4 Current-Month Projection</w:t>
      </w:r>
    </w:p>
    <w:p>
      <w:pPr>
        <w:spacing w:after="120" w:line="276"/>
        <w:jc w:val="both"/>
      </w:pPr>
      <w:r>
        <w:t xml:space="preserve">When a partial month exists, the response includes </w:t>
      </w:r>
      <w:r>
        <w:rPr>
          <w:rFonts w:ascii="Consolas" w:cs="Consolas" w:eastAsia="Consolas" w:hAnsi="Consolas"/>
          <w:color w:val="7A2E0E"/>
          <w:sz w:val="19"/>
          <w:szCs w:val="19"/>
        </w:rPr>
        <w:t xml:space="preserve">currentMonth</w:t>
      </w:r>
      <w:r>
        <w:t xml:space="preserve">, which contains the actual sales, costs and profit recorded so far alongside the model's projected month-end totals. The owner can see mid-month whether the business is on track.</w:t>
      </w:r>
    </w:p>
    <w:p>
      <w:pPr>
        <w:pStyle w:val="Heading1"/>
        <w:pageBreakBefore/>
      </w:pPr>
      <w:r>
        <w:t xml:space="preserve">6. Model Evaluation</w:t>
      </w:r>
    </w:p>
    <w:p>
      <w:pPr>
        <w:pStyle w:val="Heading2"/>
      </w:pPr>
      <w:r>
        <w:t xml:space="preserve">6.1 Error Metrics</w:t>
      </w:r>
    </w:p>
    <w:p>
      <w:pPr>
        <w:spacing w:after="120" w:line="276"/>
        <w:jc w:val="both"/>
      </w:pPr>
      <w:r>
        <w:t xml:space="preserve">Three standard error metrics are calculated, where y_i is the actual value, ŷ_i the predicted value and n the number of points:</w:t>
      </w:r>
    </w:p>
    <w:p>
      <w:pPr>
        <w:tabs>
          <w:tab w:val="right" w:pos="9026"/>
        </w:tabs>
        <w:spacing w:after="60" w:before="60"/>
        <w:ind w:left="720"/>
      </w:pPr>
      <w:r>
        <w:rPr>
          <w:rFonts w:ascii="Cambria Math" w:cs="Cambria Math" w:eastAsia="Cambria Math" w:hAnsi="Cambria Math"/>
          <w:i/>
          <w:iCs/>
          <w:sz w:val="22"/>
          <w:szCs w:val="22"/>
        </w:rPr>
        <w:t xml:space="preserve">MAPE = (100 / n) · Σ |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w:t>
      </w:r>
      <w:r>
        <w:rPr>
          <w:rFonts w:ascii="Calibri" w:cs="Calibri" w:eastAsia="Calibri" w:hAnsi="Calibri"/>
          <w:sz w:val="20"/>
          <w:szCs w:val="20"/>
        </w:rPr>
        <w:t xml:space="preserve">	(6.1)</w:t>
      </w:r>
    </w:p>
    <w:p>
      <w:pPr>
        <w:tabs>
          <w:tab w:val="right" w:pos="9026"/>
        </w:tabs>
        <w:spacing w:after="60" w:before="60"/>
        <w:ind w:left="720"/>
      </w:pPr>
      <w:r>
        <w:rPr>
          <w:rFonts w:ascii="Cambria Math" w:cs="Cambria Math" w:eastAsia="Cambria Math" w:hAnsi="Cambria Math"/>
          <w:i/>
          <w:iCs/>
          <w:sz w:val="22"/>
          <w:szCs w:val="22"/>
        </w:rPr>
        <w:t xml:space="preserve">MAE = (1 / n) · Σ |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w:t>
      </w:r>
      <w:r>
        <w:rPr>
          <w:rFonts w:ascii="Calibri" w:cs="Calibri" w:eastAsia="Calibri" w:hAnsi="Calibri"/>
          <w:sz w:val="20"/>
          <w:szCs w:val="20"/>
        </w:rPr>
        <w:t xml:space="preserve">	(6.2)</w:t>
      </w:r>
    </w:p>
    <w:p>
      <w:pPr>
        <w:tabs>
          <w:tab w:val="right" w:pos="9026"/>
        </w:tabs>
        <w:spacing w:after="60" w:before="60"/>
        <w:ind w:left="720"/>
      </w:pPr>
      <w:r>
        <w:rPr>
          <w:rFonts w:ascii="Cambria Math" w:cs="Cambria Math" w:eastAsia="Cambria Math" w:hAnsi="Cambria Math"/>
          <w:i/>
          <w:iCs/>
          <w:sz w:val="22"/>
          <w:szCs w:val="22"/>
        </w:rPr>
        <w:t xml:space="preserve">RMSE = √( (1 / n) · Σ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w:t>
      </w:r>
      <w:r>
        <w:rPr>
          <w:rFonts w:ascii="Calibri" w:cs="Calibri" w:eastAsia="Calibri" w:hAnsi="Calibri"/>
          <w:sz w:val="20"/>
          <w:szCs w:val="20"/>
        </w:rPr>
        <w:t xml:space="preserve">	(6.3)</w:t>
      </w:r>
    </w:p>
    <w:p>
      <w:pPr>
        <w:keepNext/>
        <w:spacing w:after="60" w:before="120"/>
      </w:pPr>
      <w:r>
        <w:rPr>
          <w:b/>
          <w:bCs/>
          <w:color w:val="1F4E79"/>
          <w:sz w:val="20"/>
          <w:szCs w:val="20"/>
        </w:rPr>
        <w:t xml:space="preserve">Table 6.1  Accuracy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67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Metric</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Unit</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Interpretation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MAPE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Average percentage error, e.g. "off by 8% on average". Months with zero actual value are excluded to avoid division by zero.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Average absolute error in rupees.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RMSE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Like MAE, but large misses are penalised more heavily.</w:t>
            </w:r>
          </w:p>
        </w:tc>
      </w:tr>
    </w:tbl>
    <w:p>
      <w:pPr>
        <w:spacing w:after="120"/>
      </w:pPr>
    </w:p>
    <w:p>
      <w:pPr>
        <w:pStyle w:val="Heading2"/>
      </w:pPr>
      <w:r>
        <w:t xml:space="preserve">6.2 In-Sample Accuracy</w:t>
      </w:r>
    </w:p>
    <w:p>
      <w:pPr>
        <w:spacing w:after="120" w:line="276"/>
        <w:jc w:val="both"/>
      </w:pPr>
      <w:r>
        <w:t xml:space="preserve">The </w:t>
      </w:r>
      <w:r>
        <w:rPr>
          <w:rFonts w:ascii="Consolas" w:cs="Consolas" w:eastAsia="Consolas" w:hAnsi="Consolas"/>
          <w:color w:val="7A2E0E"/>
          <w:sz w:val="19"/>
          <w:szCs w:val="19"/>
        </w:rPr>
        <w:t xml:space="preserve">accuracy</w:t>
      </w:r>
      <w:r>
        <w:t xml:space="preserve"> field compares the model's fitted values with the same history it was trained on. This shows how well the model describes the past, but it is optimistic, because the model has already seen those months.</w:t>
      </w:r>
    </w:p>
    <w:p>
      <w:pPr>
        <w:pStyle w:val="Heading2"/>
      </w:pPr>
      <w:r>
        <w:t xml:space="preserve">6.3 Holdout Backtest</w:t>
      </w:r>
    </w:p>
    <w:p>
      <w:pPr>
        <w:spacing w:after="120" w:line="276"/>
        <w:jc w:val="both"/>
      </w:pPr>
      <w:r>
        <w:t xml:space="preserve">To measure true predictive ability, </w:t>
      </w:r>
      <w:r>
        <w:rPr>
          <w:rFonts w:ascii="Consolas" w:cs="Consolas" w:eastAsia="Consolas" w:hAnsi="Consolas"/>
          <w:color w:val="7A2E0E"/>
          <w:sz w:val="19"/>
          <w:szCs w:val="19"/>
        </w:rPr>
        <w:t xml:space="preserve">_backtest()</w:t>
      </w:r>
      <w:r>
        <w:t xml:space="preserve"> performs an out-of-sample test:</w:t>
      </w:r>
    </w:p>
    <w:p>
      <w:pPr>
        <w:pStyle w:val="ListParagraph"/>
        <w:numPr>
          <w:ilvl w:val="0"/>
          <w:numId w:val="4"/>
        </w:numPr>
        <w:spacing w:after="60"/>
      </w:pPr>
      <w:r>
        <w:t xml:space="preserve">Hold out the most recent min(6, ⌊n / 4⌋) months.</w:t>
      </w:r>
    </w:p>
    <w:p>
      <w:pPr>
        <w:pStyle w:val="ListParagraph"/>
        <w:numPr>
          <w:ilvl w:val="0"/>
          <w:numId w:val="4"/>
        </w:numPr>
        <w:spacing w:after="60"/>
      </w:pPr>
      <w:r>
        <w:t xml:space="preserve">When the seasonal model applies, shorten the holdout if needed so that at least 24 months remain for training.</w:t>
      </w:r>
    </w:p>
    <w:p>
      <w:pPr>
        <w:pStyle w:val="ListParagraph"/>
        <w:numPr>
          <w:ilvl w:val="0"/>
          <w:numId w:val="4"/>
        </w:numPr>
        <w:spacing w:after="60"/>
      </w:pPr>
      <w:r>
        <w:t xml:space="preserve">Re-run model selection and fitting on the remaining training months only.</w:t>
      </w:r>
    </w:p>
    <w:p>
      <w:pPr>
        <w:pStyle w:val="ListParagraph"/>
        <w:numPr>
          <w:ilvl w:val="0"/>
          <w:numId w:val="4"/>
        </w:numPr>
        <w:spacing w:after="60"/>
      </w:pPr>
      <w:r>
        <w:t xml:space="preserve">Forecast the held-out months and score them against the actual values with MAPE, MAE and RMSE.</w:t>
      </w:r>
    </w:p>
    <w:p>
      <w:pPr>
        <w:spacing w:after="120" w:line="276"/>
        <w:jc w:val="both"/>
      </w:pPr>
      <w:r>
        <w:t xml:space="preserve">The backtest result (including </w:t>
      </w:r>
      <w:r>
        <w:rPr>
          <w:rFonts w:ascii="Consolas" w:cs="Consolas" w:eastAsia="Consolas" w:hAnsi="Consolas"/>
          <w:color w:val="7A2E0E"/>
          <w:sz w:val="19"/>
          <w:szCs w:val="19"/>
        </w:rPr>
        <w:t xml:space="preserve">holdoutMonths</w:t>
      </w:r>
      <w:r>
        <w:t xml:space="preserve"> and the method used) is shown in the mobile app as the model's accuracy, because it is the honest estimate of how far future forecasts are likely to be off.</w:t>
      </w:r>
    </w:p>
    <w:p>
      <w:pPr>
        <w:pStyle w:val="Heading1"/>
        <w:pageBreakBefore/>
      </w:pPr>
      <w:r>
        <w:t xml:space="preserve">7. Data Quality Assessment</w:t>
      </w:r>
    </w:p>
    <w:p>
      <w:pPr>
        <w:spacing w:after="120" w:line="276"/>
        <w:jc w:val="both"/>
      </w:pPr>
      <w:r>
        <w:rPr>
          <w:rFonts w:ascii="Consolas" w:cs="Consolas" w:eastAsia="Consolas" w:hAnsi="Consolas"/>
          <w:color w:val="7A2E0E"/>
          <w:sz w:val="19"/>
          <w:szCs w:val="19"/>
        </w:rPr>
        <w:t xml:space="preserve">describeDataQuality()</w:t>
      </w:r>
      <w:r>
        <w:t xml:space="preserve"> attaches a reliability level and a plain-language message to every response, so the owner knows how far to trust the forecast.</w:t>
      </w:r>
    </w:p>
    <w:p>
      <w:pPr>
        <w:keepNext/>
        <w:spacing w:after="60" w:before="120"/>
      </w:pPr>
      <w:r>
        <w:rPr>
          <w:b/>
          <w:bCs/>
          <w:color w:val="1F4E79"/>
          <w:sz w:val="20"/>
          <w:szCs w:val="20"/>
        </w:rPr>
        <w:t xml:space="preserve">Table 7.1  Data quality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400"/>
        <w:gridCol w:w="48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Level</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Complete months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Seasonal model</w:t>
            </w:r>
          </w:p>
        </w:tc>
        <w:tc>
          <w:tcPr>
            <w:tcW w:type="dxa" w:w="4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Message shown to the user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completed months of sales history yet. Record sales for at least 3 months to generate a forecast.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insufficient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n complete month(s) of history. At least 3 are needed before a forecast can be produced.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limited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Based on n months of history. Seasonal patterns need 24 months, so longer horizons are less reliable.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Yes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Based on n complete months of history, including seasonal patterns.</w:t>
            </w:r>
          </w:p>
        </w:tc>
      </w:tr>
    </w:tbl>
    <w:p>
      <w:pPr>
        <w:spacing w:after="120"/>
      </w:pPr>
    </w:p>
    <w:p>
      <w:pPr>
        <w:spacing w:after="120" w:line="276"/>
        <w:jc w:val="both"/>
      </w:pPr>
      <w:r>
        <w:t xml:space="preserve">With fewer than three complete months, the endpoint still returns HTTP 200 with the history and the message, but an empty forecast, so the app can explain the situation instead of showing an error.</w:t>
      </w:r>
    </w:p>
    <w:p>
      <w:pPr>
        <w:pStyle w:val="Heading1"/>
        <w:pageBreakBefore/>
      </w:pPr>
      <w:r>
        <w:t xml:space="preserve">8. API Specification</w:t>
      </w:r>
    </w:p>
    <w:p>
      <w:pPr>
        <w:pStyle w:val="Heading2"/>
      </w:pPr>
      <w:r>
        <w:t xml:space="preserve">8.1 Public Endpoint (Node.js)</w:t>
      </w:r>
    </w:p>
    <w:p>
      <w:pPr>
        <w:keepNext/>
        <w:spacing w:after="60" w:before="120"/>
      </w:pPr>
      <w:r>
        <w:rPr>
          <w:b/>
          <w:bCs/>
          <w:color w:val="1F4E79"/>
          <w:sz w:val="20"/>
          <w:szCs w:val="20"/>
        </w:rPr>
        <w:t xml:space="preserve">Table 8.1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Property</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Method and path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GET /api/forecast/sales-cost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JWT bearer token (</w:t>
            </w:r>
            <w:r>
              <w:rPr>
                <w:rFonts w:ascii="Consolas" w:cs="Consolas" w:eastAsia="Consolas" w:hAnsi="Consolas"/>
                <w:color w:val="7A2E0E"/>
                <w:sz w:val="20"/>
                <w:szCs w:val="20"/>
              </w:rPr>
              <w:t xml:space="preserve">protect</w:t>
            </w:r>
            <w:r>
              <w:rPr>
                <w:sz w:val="20"/>
                <w:szCs w:val="20"/>
              </w:rPr>
              <w:t xml:space="preserve"> middleware). Shop and branch are read from the token, not from the request.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Errors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color w:val="7A2E0E"/>
                <w:sz w:val="20"/>
                <w:szCs w:val="20"/>
              </w:rPr>
              <w:t xml:space="preserve">400</w:t>
            </w:r>
            <w:r>
              <w:rPr>
                <w:sz w:val="20"/>
                <w:szCs w:val="20"/>
              </w:rPr>
              <w:t xml:space="preserve"> shop id missing; </w:t>
            </w:r>
            <w:r>
              <w:rPr>
                <w:rFonts w:ascii="Consolas" w:cs="Consolas" w:eastAsia="Consolas" w:hAnsi="Consolas"/>
                <w:color w:val="7A2E0E"/>
                <w:sz w:val="20"/>
                <w:szCs w:val="20"/>
              </w:rPr>
              <w:t xml:space="preserve">400 BRANCH_REQUIRED</w:t>
            </w:r>
            <w:r>
              <w:rPr>
                <w:sz w:val="20"/>
                <w:szCs w:val="20"/>
              </w:rPr>
              <w:t xml:space="preserve"> no branch selected; </w:t>
            </w:r>
            <w:r>
              <w:rPr>
                <w:rFonts w:ascii="Consolas" w:cs="Consolas" w:eastAsia="Consolas" w:hAnsi="Consolas"/>
                <w:color w:val="7A2E0E"/>
                <w:sz w:val="20"/>
                <w:szCs w:val="20"/>
              </w:rPr>
              <w:t xml:space="preserve">500</w:t>
            </w:r>
            <w:r>
              <w:rPr>
                <w:sz w:val="20"/>
                <w:szCs w:val="20"/>
              </w:rPr>
              <w:t xml:space="preserve"> analysis service unreachable or failed.</w:t>
            </w:r>
          </w:p>
        </w:tc>
      </w:tr>
    </w:tbl>
    <w:p>
      <w:pPr>
        <w:spacing w:after="120"/>
      </w:pPr>
    </w:p>
    <w:p>
      <w:pPr>
        <w:spacing w:after="120" w:line="276"/>
        <w:jc w:val="both"/>
      </w:pPr>
      <w:r>
        <w:t xml:space="preserve">Response structure (values illustrative):</w:t>
      </w:r>
    </w:p>
    <w:p>
      <w:pPr>
        <w:pBdr>
          <w:top w:val="single" w:color="CCCCCC" w:sz="4" w:space="4"/>
        </w:pBdr>
        <w:shd w:fill="F3F3F3" w:color="auto" w:val="clear"/>
        <w:spacing w:after="0" w:before="120" w:line="240"/>
        <w:ind w:left="200" w:right="200"/>
      </w:pPr>
      <w:r>
        <w:rPr>
          <w:rFonts w:ascii="Consolas" w:cs="Consolas" w:eastAsia="Consolas" w:hAnsi="Consolas"/>
          <w:sz w:val="17"/>
          <w:szCs w:val="17"/>
        </w:rPr>
        <w:t xml:space="preserve">{</w:t>
      </w:r>
    </w:p>
    <w:p>
      <w:pPr>
        <w:shd w:fill="F3F3F3" w:color="auto" w:val="clear"/>
        <w:spacing w:after="0" w:before="0" w:line="240"/>
        <w:ind w:left="200" w:right="200"/>
      </w:pPr>
      <w:r>
        <w:rPr>
          <w:rFonts w:ascii="Consolas" w:cs="Consolas" w:eastAsia="Consolas" w:hAnsi="Consolas"/>
          <w:sz w:val="17"/>
          <w:szCs w:val="17"/>
        </w:rPr>
        <w:t xml:space="preserve">  "success": true, "shopId": "SI000001", "branchId": "B00001",</w:t>
      </w:r>
    </w:p>
    <w:p>
      <w:pPr>
        <w:shd w:fill="F3F3F3" w:color="auto" w:val="clear"/>
        <w:spacing w:after="0" w:before="0" w:line="240"/>
        <w:ind w:left="200" w:right="200"/>
      </w:pPr>
      <w:r>
        <w:rPr>
          <w:rFonts w:ascii="Consolas" w:cs="Consolas" w:eastAsia="Consolas" w:hAnsi="Consolas"/>
          <w:sz w:val="17"/>
          <w:szCs w:val="17"/>
        </w:rPr>
        <w:t xml:space="preserve">  "data": {</w:t>
      </w:r>
    </w:p>
    <w:p>
      <w:pPr>
        <w:shd w:fill="F3F3F3" w:color="auto" w:val="clear"/>
        <w:spacing w:after="0" w:before="0" w:line="240"/>
        <w:ind w:left="200" w:right="200"/>
      </w:pPr>
      <w:r>
        <w:rPr>
          <w:rFonts w:ascii="Consolas" w:cs="Consolas" w:eastAsia="Consolas" w:hAnsi="Consolas"/>
          <w:sz w:val="17"/>
          <w:szCs w:val="17"/>
        </w:rPr>
        <w:t xml:space="preserve">    "generatedAt": "2026-10-02T08:30:00.000Z",</w:t>
      </w:r>
    </w:p>
    <w:p>
      <w:pPr>
        <w:shd w:fill="F3F3F3" w:color="auto" w:val="clear"/>
        <w:spacing w:after="0" w:before="0" w:line="240"/>
        <w:ind w:left="200" w:right="200"/>
      </w:pPr>
      <w:r>
        <w:rPr>
          <w:rFonts w:ascii="Consolas" w:cs="Consolas" w:eastAsia="Consolas" w:hAnsi="Consolas"/>
          <w:sz w:val="17"/>
          <w:szCs w:val="17"/>
        </w:rPr>
        <w:t xml:space="preserve">    "history":  { "months": [ ... ], "completeMonths": 24 },</w:t>
      </w:r>
    </w:p>
    <w:p>
      <w:pPr>
        <w:shd w:fill="F3F3F3" w:color="auto" w:val="clear"/>
        <w:spacing w:after="0" w:before="0" w:line="240"/>
        <w:ind w:left="200" w:right="200"/>
      </w:pPr>
      <w:r>
        <w:rPr>
          <w:rFonts w:ascii="Consolas" w:cs="Consolas" w:eastAsia="Consolas" w:hAnsi="Consolas"/>
          <w:sz w:val="17"/>
          <w:szCs w:val="17"/>
        </w:rPr>
        <w:t xml:space="preserve">    "currentMonth": {</w:t>
      </w:r>
    </w:p>
    <w:p>
      <w:pPr>
        <w:shd w:fill="F3F3F3" w:color="auto" w:val="clear"/>
        <w:spacing w:after="0" w:before="0" w:line="240"/>
        <w:ind w:left="200" w:right="200"/>
      </w:pPr>
      <w:r>
        <w:rPr>
          <w:rFonts w:ascii="Consolas" w:cs="Consolas" w:eastAsia="Consolas" w:hAnsi="Consolas"/>
          <w:sz w:val="17"/>
          <w:szCs w:val="17"/>
        </w:rPr>
        <w:t xml:space="preserve">      "month": "2026-10", "label": "Oct 2026",</w:t>
      </w:r>
    </w:p>
    <w:p>
      <w:pPr>
        <w:shd w:fill="F3F3F3" w:color="auto" w:val="clear"/>
        <w:spacing w:after="0" w:before="0" w:line="240"/>
        <w:ind w:left="200" w:right="200"/>
      </w:pPr>
      <w:r>
        <w:rPr>
          <w:rFonts w:ascii="Consolas" w:cs="Consolas" w:eastAsia="Consolas" w:hAnsi="Consolas"/>
          <w:sz w:val="17"/>
          <w:szCs w:val="17"/>
        </w:rPr>
        <w:t xml:space="preserve">      "actualSoFar":    { "sales": 98200, "costs": 61000, "profit": 37200 },</w:t>
      </w:r>
    </w:p>
    <w:p>
      <w:pPr>
        <w:shd w:fill="F3F3F3" w:color="auto" w:val="clear"/>
        <w:spacing w:after="0" w:before="0" w:line="240"/>
        <w:ind w:left="200" w:right="200"/>
      </w:pPr>
      <w:r>
        <w:rPr>
          <w:rFonts w:ascii="Consolas" w:cs="Consolas" w:eastAsia="Consolas" w:hAnsi="Consolas"/>
          <w:sz w:val="17"/>
          <w:szCs w:val="17"/>
        </w:rPr>
        <w:t xml:space="preserve">      "projectedTotal": { "sales": 1180000, "costs": 790000, "profit": 390000 }</w:t>
      </w:r>
    </w:p>
    <w:p>
      <w:pPr>
        <w:shd w:fill="F3F3F3" w:color="auto" w:val="clear"/>
        <w:spacing w:after="0" w:before="0" w:line="240"/>
        <w:ind w:left="200" w:right="200"/>
      </w:pPr>
      <w:r>
        <w:rPr>
          <w:rFonts w:ascii="Consolas" w:cs="Consolas" w:eastAsia="Consolas" w:hAnsi="Consolas"/>
          <w:sz w:val="17"/>
          <w:szCs w:val="17"/>
        </w:rPr>
        <w:t xml:space="preserve">    },</w:t>
      </w:r>
    </w:p>
    <w:p>
      <w:pPr>
        <w:shd w:fill="F3F3F3" w:color="auto" w:val="clear"/>
        <w:spacing w:after="0" w:before="0" w:line="240"/>
        <w:ind w:left="200" w:right="200"/>
      </w:pPr>
      <w:r>
        <w:rPr>
          <w:rFonts w:ascii="Consolas" w:cs="Consolas" w:eastAsia="Consolas" w:hAnsi="Consolas"/>
          <w:sz w:val="17"/>
          <w:szCs w:val="17"/>
        </w:rPr>
        <w:t xml:space="preserve">    "forecast": {</w:t>
      </w:r>
    </w:p>
    <w:p>
      <w:pPr>
        <w:shd w:fill="F3F3F3" w:color="auto" w:val="clear"/>
        <w:spacing w:after="0" w:before="0" w:line="240"/>
        <w:ind w:left="200" w:right="200"/>
      </w:pPr>
      <w:r>
        <w:rPr>
          <w:rFonts w:ascii="Consolas" w:cs="Consolas" w:eastAsia="Consolas" w:hAnsi="Consolas"/>
          <w:sz w:val="17"/>
          <w:szCs w:val="17"/>
        </w:rPr>
        <w:t xml:space="preserve">      "months": [ { "month": "2026-11", "label": "Nov 2026",</w:t>
      </w:r>
    </w:p>
    <w:p>
      <w:pPr>
        <w:shd w:fill="F3F3F3" w:color="auto" w:val="clear"/>
        <w:spacing w:after="0" w:before="0" w:line="240"/>
        <w:ind w:left="200" w:right="200"/>
      </w:pPr>
      <w:r>
        <w:rPr>
          <w:rFonts w:ascii="Consolas" w:cs="Consolas" w:eastAsia="Consolas" w:hAnsi="Consolas"/>
          <w:sz w:val="17"/>
          <w:szCs w:val="17"/>
        </w:rPr>
        <w:t xml:space="preserve">                    "sales": { "predicted": 1240000, "lower": 1090000, "upper": 1390000 },</w:t>
      </w:r>
    </w:p>
    <w:p>
      <w:pPr>
        <w:shd w:fill="F3F3F3" w:color="auto" w:val="clear"/>
        <w:spacing w:after="0" w:before="0" w:line="240"/>
        <w:ind w:left="200" w:right="200"/>
      </w:pPr>
      <w:r>
        <w:rPr>
          <w:rFonts w:ascii="Consolas" w:cs="Consolas" w:eastAsia="Consolas" w:hAnsi="Consolas"/>
          <w:sz w:val="17"/>
          <w:szCs w:val="17"/>
        </w:rPr>
        <w:t xml:space="preserve">                    "costs": { "predicted": 812000,  "lower": 730000,  "upper": 894000 },</w:t>
      </w:r>
    </w:p>
    <w:p>
      <w:pPr>
        <w:shd w:fill="F3F3F3" w:color="auto" w:val="clear"/>
        <w:spacing w:after="0" w:before="0" w:line="240"/>
        <w:ind w:left="200" w:right="200"/>
      </w:pPr>
      <w:r>
        <w:rPr>
          <w:rFonts w:ascii="Consolas" w:cs="Consolas" w:eastAsia="Consolas" w:hAnsi="Consolas"/>
          <w:sz w:val="17"/>
          <w:szCs w:val="17"/>
        </w:rPr>
        <w:t xml:space="preserve">                    "profit": { "predicted": 428000 } }, ... ],</w:t>
      </w:r>
    </w:p>
    <w:p>
      <w:pPr>
        <w:shd w:fill="F3F3F3" w:color="auto" w:val="clear"/>
        <w:spacing w:after="0" w:before="0" w:line="240"/>
        <w:ind w:left="200" w:right="200"/>
      </w:pPr>
      <w:r>
        <w:rPr>
          <w:rFonts w:ascii="Consolas" w:cs="Consolas" w:eastAsia="Consolas" w:hAnsi="Consolas"/>
          <w:sz w:val="17"/>
          <w:szCs w:val="17"/>
        </w:rPr>
        <w:t xml:space="preserve">      "horizons": [ { "key": "next_3_months", "label": "Next 3 months",</w:t>
      </w:r>
    </w:p>
    <w:p>
      <w:pPr>
        <w:shd w:fill="F3F3F3" w:color="auto" w:val="clear"/>
        <w:spacing w:after="0" w:before="0" w:line="240"/>
        <w:ind w:left="200" w:right="200"/>
      </w:pPr>
      <w:r>
        <w:rPr>
          <w:rFonts w:ascii="Consolas" w:cs="Consolas" w:eastAsia="Consolas" w:hAnsi="Consolas"/>
          <w:sz w:val="17"/>
          <w:szCs w:val="17"/>
        </w:rPr>
        <w:t xml:space="preserve">                      "sales": {...}, "costs": {...},</w:t>
      </w:r>
    </w:p>
    <w:p>
      <w:pPr>
        <w:shd w:fill="F3F3F3" w:color="auto" w:val="clear"/>
        <w:spacing w:after="0" w:before="0" w:line="240"/>
        <w:ind w:left="200" w:right="200"/>
      </w:pPr>
      <w:r>
        <w:rPr>
          <w:rFonts w:ascii="Consolas" w:cs="Consolas" w:eastAsia="Consolas" w:hAnsi="Consolas"/>
          <w:sz w:val="17"/>
          <w:szCs w:val="17"/>
        </w:rPr>
        <w:t xml:space="preserve">                      "profit": { "predicted": 1310000, "margin": 33.4 },</w:t>
      </w:r>
    </w:p>
    <w:p>
      <w:pPr>
        <w:shd w:fill="F3F3F3" w:color="auto" w:val="clear"/>
        <w:spacing w:after="0" w:before="0" w:line="240"/>
        <w:ind w:left="200" w:right="200"/>
      </w:pPr>
      <w:r>
        <w:rPr>
          <w:rFonts w:ascii="Consolas" w:cs="Consolas" w:eastAsia="Consolas" w:hAnsi="Consolas"/>
          <w:sz w:val="17"/>
          <w:szCs w:val="17"/>
        </w:rPr>
        <w:t xml:space="preserve">                      "monthlyAverage": {...} }, ... ]</w:t>
      </w:r>
    </w:p>
    <w:p>
      <w:pPr>
        <w:shd w:fill="F3F3F3" w:color="auto" w:val="clear"/>
        <w:spacing w:after="0" w:before="0" w:line="240"/>
        <w:ind w:left="200" w:right="200"/>
      </w:pPr>
      <w:r>
        <w:rPr>
          <w:rFonts w:ascii="Consolas" w:cs="Consolas" w:eastAsia="Consolas" w:hAnsi="Consolas"/>
          <w:sz w:val="17"/>
          <w:szCs w:val="17"/>
        </w:rPr>
        <w:t xml:space="preserve">    },</w:t>
      </w:r>
    </w:p>
    <w:p>
      <w:pPr>
        <w:shd w:fill="F3F3F3" w:color="auto" w:val="clear"/>
        <w:spacing w:after="0" w:before="0" w:line="240"/>
        <w:ind w:left="200" w:right="200"/>
      </w:pPr>
      <w:r>
        <w:rPr>
          <w:rFonts w:ascii="Consolas" w:cs="Consolas" w:eastAsia="Consolas" w:hAnsi="Consolas"/>
          <w:sz w:val="17"/>
          <w:szCs w:val="17"/>
        </w:rPr>
        <w:t xml:space="preserve">    "models": {</w:t>
      </w:r>
    </w:p>
    <w:p>
      <w:pPr>
        <w:shd w:fill="F3F3F3" w:color="auto" w:val="clear"/>
        <w:spacing w:after="0" w:before="0" w:line="240"/>
        <w:ind w:left="200" w:right="200"/>
      </w:pPr>
      <w:r>
        <w:rPr>
          <w:rFonts w:ascii="Consolas" w:cs="Consolas" w:eastAsia="Consolas" w:hAnsi="Consolas"/>
          <w:sz w:val="17"/>
          <w:szCs w:val="17"/>
        </w:rPr>
        <w:t xml:space="preserve">      "sales": { "method": "holt_winters_additive_damped",</w:t>
      </w:r>
    </w:p>
    <w:p>
      <w:pPr>
        <w:shd w:fill="F3F3F3" w:color="auto" w:val="clear"/>
        <w:spacing w:after="0" w:before="0" w:line="240"/>
        <w:ind w:left="200" w:right="200"/>
      </w:pPr>
      <w:r>
        <w:rPr>
          <w:rFonts w:ascii="Consolas" w:cs="Consolas" w:eastAsia="Consolas" w:hAnsi="Consolas"/>
          <w:sz w:val="17"/>
          <w:szCs w:val="17"/>
        </w:rPr>
        <w:t xml:space="preserve">                 "params": { "alpha": 0.41, "beta": 0.02, "gamma": 0.18,</w:t>
      </w:r>
    </w:p>
    <w:p>
      <w:pPr>
        <w:shd w:fill="F3F3F3" w:color="auto" w:val="clear"/>
        <w:spacing w:after="0" w:before="0" w:line="240"/>
        <w:ind w:left="200" w:right="200"/>
      </w:pPr>
      <w:r>
        <w:rPr>
          <w:rFonts w:ascii="Consolas" w:cs="Consolas" w:eastAsia="Consolas" w:hAnsi="Consolas"/>
          <w:sz w:val="17"/>
          <w:szCs w:val="17"/>
        </w:rPr>
        <w:t xml:space="preserve">                             "phi": 0.97, "seasonLength": 12 },</w:t>
      </w:r>
    </w:p>
    <w:p>
      <w:pPr>
        <w:shd w:fill="F3F3F3" w:color="auto" w:val="clear"/>
        <w:spacing w:after="0" w:before="0" w:line="240"/>
        <w:ind w:left="200" w:right="200"/>
      </w:pPr>
      <w:r>
        <w:rPr>
          <w:rFonts w:ascii="Consolas" w:cs="Consolas" w:eastAsia="Consolas" w:hAnsi="Consolas"/>
          <w:sz w:val="17"/>
          <w:szCs w:val="17"/>
        </w:rPr>
        <w:t xml:space="preserve">                 "accuracy": { "mape": 4.8, "rmse": 61200, "mae": 49800 },</w:t>
      </w:r>
    </w:p>
    <w:p>
      <w:pPr>
        <w:shd w:fill="F3F3F3" w:color="auto" w:val="clear"/>
        <w:spacing w:after="0" w:before="0" w:line="240"/>
        <w:ind w:left="200" w:right="200"/>
      </w:pPr>
      <w:r>
        <w:rPr>
          <w:rFonts w:ascii="Consolas" w:cs="Consolas" w:eastAsia="Consolas" w:hAnsi="Consolas"/>
          <w:sz w:val="17"/>
          <w:szCs w:val="17"/>
        </w:rPr>
        <w:t xml:space="preserve">                 "backtest": { "mape": 6.1, "holdoutMonths": 6, ... },</w:t>
      </w:r>
    </w:p>
    <w:p>
      <w:pPr>
        <w:shd w:fill="F3F3F3" w:color="auto" w:val="clear"/>
        <w:spacing w:after="0" w:before="0" w:line="240"/>
        <w:ind w:left="200" w:right="200"/>
      </w:pPr>
      <w:r>
        <w:rPr>
          <w:rFonts w:ascii="Consolas" w:cs="Consolas" w:eastAsia="Consolas" w:hAnsi="Consolas"/>
          <w:sz w:val="17"/>
          <w:szCs w:val="17"/>
        </w:rPr>
        <w:t xml:space="preserve">                 "poweredBy": "python" },</w:t>
      </w:r>
    </w:p>
    <w:p>
      <w:pPr>
        <w:shd w:fill="F3F3F3" w:color="auto" w:val="clear"/>
        <w:spacing w:after="0" w:before="0" w:line="240"/>
        <w:ind w:left="200" w:right="200"/>
      </w:pPr>
      <w:r>
        <w:rPr>
          <w:rFonts w:ascii="Consolas" w:cs="Consolas" w:eastAsia="Consolas" w:hAnsi="Consolas"/>
          <w:sz w:val="17"/>
          <w:szCs w:val="17"/>
        </w:rPr>
        <w:t xml:space="preserve">      "costs": { ... }</w:t>
      </w:r>
    </w:p>
    <w:p>
      <w:pPr>
        <w:shd w:fill="F3F3F3" w:color="auto" w:val="clear"/>
        <w:spacing w:after="0" w:before="0" w:line="240"/>
        <w:ind w:left="200" w:right="200"/>
      </w:pPr>
      <w:r>
        <w:rPr>
          <w:rFonts w:ascii="Consolas" w:cs="Consolas" w:eastAsia="Consolas" w:hAnsi="Consolas"/>
          <w:sz w:val="17"/>
          <w:szCs w:val="17"/>
        </w:rPr>
        <w:t xml:space="preserve">    },</w:t>
      </w:r>
    </w:p>
    <w:p>
      <w:pPr>
        <w:shd w:fill="F3F3F3" w:color="auto" w:val="clear"/>
        <w:spacing w:after="0" w:before="0" w:line="240"/>
        <w:ind w:left="200" w:right="200"/>
      </w:pPr>
      <w:r>
        <w:rPr>
          <w:rFonts w:ascii="Consolas" w:cs="Consolas" w:eastAsia="Consolas" w:hAnsi="Consolas"/>
          <w:sz w:val="17"/>
          <w:szCs w:val="17"/>
        </w:rPr>
        <w:t xml:space="preserve">    "dataQuality": { "level": "good", "monthsOfHistory": 24,</w:t>
      </w:r>
    </w:p>
    <w:p>
      <w:pPr>
        <w:shd w:fill="F3F3F3" w:color="auto" w:val="clear"/>
        <w:spacing w:after="0" w:before="0" w:line="240"/>
        <w:ind w:left="200" w:right="200"/>
      </w:pPr>
      <w:r>
        <w:rPr>
          <w:rFonts w:ascii="Consolas" w:cs="Consolas" w:eastAsia="Consolas" w:hAnsi="Consolas"/>
          <w:sz w:val="17"/>
          <w:szCs w:val="17"/>
        </w:rPr>
        <w:t xml:space="preserve">                     "seasonalModelUsed": true, "message": "..." }</w:t>
      </w:r>
    </w:p>
    <w:p>
      <w:pPr>
        <w:shd w:fill="F3F3F3" w:color="auto" w:val="clear"/>
        <w:spacing w:after="0" w:before="0" w:line="240"/>
        <w:ind w:left="200" w:right="200"/>
      </w:pPr>
      <w:r>
        <w:rPr>
          <w:rFonts w:ascii="Consolas" w:cs="Consolas" w:eastAsia="Consolas" w:hAnsi="Consolas"/>
          <w:sz w:val="17"/>
          <w:szCs w:val="17"/>
        </w:rPr>
        <w:t xml:space="preserve">  }</w:t>
      </w:r>
    </w:p>
    <w:p>
      <w:pPr>
        <w:pBdr>
          <w:bottom w:val="single" w:color="CCCCCC" w:sz="4" w:space="4"/>
        </w:pBdr>
        <w:shd w:fill="F3F3F3" w:color="auto" w:val="clear"/>
        <w:spacing w:after="0" w:before="0" w:line="240"/>
        <w:ind w:left="200" w:right="200"/>
      </w:pPr>
      <w:r>
        <w:rPr>
          <w:rFonts w:ascii="Consolas" w:cs="Consolas" w:eastAsia="Consolas" w:hAnsi="Consolas"/>
          <w:sz w:val="17"/>
          <w:szCs w:val="17"/>
        </w:rPr>
        <w:t xml:space="preserve">}</w:t>
      </w:r>
    </w:p>
    <w:p>
      <w:pPr>
        <w:spacing w:after="120"/>
      </w:pPr>
    </w:p>
    <w:p>
      <w:pPr>
        <w:pStyle w:val="Heading2"/>
      </w:pPr>
      <w:r>
        <w:t xml:space="preserve">8.2 Internal Endpoint (Python)</w:t>
      </w:r>
    </w:p>
    <w:p>
      <w:pPr>
        <w:spacing w:after="120" w:line="276"/>
        <w:jc w:val="both"/>
      </w:pPr>
      <w:r>
        <w:rPr>
          <w:rFonts w:ascii="Consolas" w:cs="Consolas" w:eastAsia="Consolas" w:hAnsi="Consolas"/>
          <w:color w:val="7A2E0E"/>
          <w:sz w:val="19"/>
          <w:szCs w:val="19"/>
        </w:rPr>
        <w:t xml:space="preserve">POST /forecast</w:t>
      </w:r>
      <w:r>
        <w:t xml:space="preserve"> on the analysis service. The request is validated by the Pydantic model </w:t>
      </w:r>
      <w:r>
        <w:rPr>
          <w:rFonts w:ascii="Consolas" w:cs="Consolas" w:eastAsia="Consolas" w:hAnsi="Consolas"/>
          <w:color w:val="7A2E0E"/>
          <w:sz w:val="19"/>
          <w:szCs w:val="19"/>
        </w:rPr>
        <w:t xml:space="preserve">ForecastRequest</w:t>
      </w:r>
      <w:r>
        <w:t xml:space="preserve">:</w:t>
      </w:r>
    </w:p>
    <w:p>
      <w:pPr>
        <w:pBdr>
          <w:top w:val="single" w:color="CCCCCC" w:sz="4" w:space="4"/>
        </w:pBdr>
        <w:shd w:fill="F3F3F3" w:color="auto" w:val="clear"/>
        <w:spacing w:after="0" w:before="120" w:line="240"/>
        <w:ind w:left="200" w:right="200"/>
      </w:pPr>
      <w:r>
        <w:rPr>
          <w:rFonts w:ascii="Consolas" w:cs="Consolas" w:eastAsia="Consolas" w:hAnsi="Consolas"/>
          <w:sz w:val="17"/>
          <w:szCs w:val="17"/>
        </w:rPr>
        <w:t xml:space="preserve">{ "series": [1020000, 985000, ...], "horizon": 13, "seasonLength": 12 }</w:t>
      </w:r>
    </w:p>
    <w:p>
      <w:pPr>
        <w:spacing w:after="120"/>
      </w:pPr>
    </w:p>
    <w:p>
      <w:pPr>
        <w:spacing w:after="120" w:line="276"/>
        <w:jc w:val="both"/>
      </w:pPr>
      <w:r>
        <w:t xml:space="preserve">It returns </w:t>
      </w:r>
      <w:r>
        <w:rPr>
          <w:rFonts w:ascii="Consolas" w:cs="Consolas" w:eastAsia="Consolas" w:hAnsi="Consolas"/>
          <w:color w:val="7A2E0E"/>
          <w:sz w:val="19"/>
          <w:szCs w:val="19"/>
        </w:rPr>
        <w:t xml:space="preserve">method</w:t>
      </w:r>
      <w:r>
        <w:t xml:space="preserve">, </w:t>
      </w:r>
      <w:r>
        <w:rPr>
          <w:rFonts w:ascii="Consolas" w:cs="Consolas" w:eastAsia="Consolas" w:hAnsi="Consolas"/>
          <w:color w:val="7A2E0E"/>
          <w:sz w:val="19"/>
          <w:szCs w:val="19"/>
        </w:rPr>
        <w:t xml:space="preserve">params</w:t>
      </w:r>
      <w:r>
        <w:t xml:space="preserve">, </w:t>
      </w:r>
      <w:r>
        <w:rPr>
          <w:rFonts w:ascii="Consolas" w:cs="Consolas" w:eastAsia="Consolas" w:hAnsi="Consolas"/>
          <w:color w:val="7A2E0E"/>
          <w:sz w:val="19"/>
          <w:szCs w:val="19"/>
        </w:rPr>
        <w:t xml:space="preserve">points[]</w:t>
      </w:r>
      <w:r>
        <w:t xml:space="preserve"> (each with </w:t>
      </w:r>
      <w:r>
        <w:rPr>
          <w:rFonts w:ascii="Consolas" w:cs="Consolas" w:eastAsia="Consolas" w:hAnsi="Consolas"/>
          <w:color w:val="7A2E0E"/>
          <w:sz w:val="19"/>
          <w:szCs w:val="19"/>
        </w:rPr>
        <w:t xml:space="preserve">predicted</w:t>
      </w:r>
      <w:r>
        <w:t xml:space="preserve">, </w:t>
      </w:r>
      <w:r>
        <w:rPr>
          <w:rFonts w:ascii="Consolas" w:cs="Consolas" w:eastAsia="Consolas" w:hAnsi="Consolas"/>
          <w:color w:val="7A2E0E"/>
          <w:sz w:val="19"/>
          <w:szCs w:val="19"/>
        </w:rPr>
        <w:t xml:space="preserve">lower</w:t>
      </w:r>
      <w:r>
        <w:t xml:space="preserve"> and </w:t>
      </w:r>
      <w:r>
        <w:rPr>
          <w:rFonts w:ascii="Consolas" w:cs="Consolas" w:eastAsia="Consolas" w:hAnsi="Consolas"/>
          <w:color w:val="7A2E0E"/>
          <w:sz w:val="19"/>
          <w:szCs w:val="19"/>
        </w:rPr>
        <w:t xml:space="preserve">upper</w:t>
      </w:r>
      <w:r>
        <w:t xml:space="preserve">), </w:t>
      </w:r>
      <w:r>
        <w:rPr>
          <w:rFonts w:ascii="Consolas" w:cs="Consolas" w:eastAsia="Consolas" w:hAnsi="Consolas"/>
          <w:color w:val="7A2E0E"/>
          <w:sz w:val="19"/>
          <w:szCs w:val="19"/>
        </w:rPr>
        <w:t xml:space="preserve">accuracy</w:t>
      </w:r>
      <w:r>
        <w:t xml:space="preserve"> and </w:t>
      </w:r>
      <w:r>
        <w:rPr>
          <w:rFonts w:ascii="Consolas" w:cs="Consolas" w:eastAsia="Consolas" w:hAnsi="Consolas"/>
          <w:color w:val="7A2E0E"/>
          <w:sz w:val="19"/>
          <w:szCs w:val="19"/>
        </w:rPr>
        <w:t xml:space="preserve">backtest</w:t>
      </w:r>
      <w:r>
        <w:t xml:space="preserve">. The controller calls it twice in parallel, once for the sales series and once for the cost series.</w:t>
      </w:r>
    </w:p>
    <w:p>
      <w:pPr>
        <w:pStyle w:val="Heading1"/>
        <w:pageBreakBefore/>
      </w:pPr>
      <w:r>
        <w:t xml:space="preserve">9. Mobile Application Interface</w:t>
      </w:r>
    </w:p>
    <w:p>
      <w:pPr>
        <w:spacing w:after="120" w:line="276"/>
        <w:jc w:val="both"/>
      </w:pPr>
      <w:r>
        <w:t xml:space="preserve">The forecast is shown by </w:t>
      </w:r>
      <w:r>
        <w:rPr>
          <w:rFonts w:ascii="Consolas" w:cs="Consolas" w:eastAsia="Consolas" w:hAnsi="Consolas"/>
          <w:color w:val="7A2E0E"/>
          <w:sz w:val="19"/>
          <w:szCs w:val="19"/>
        </w:rPr>
        <w:t xml:space="preserve">ForecastSection.tsx</w:t>
      </w:r>
      <w:r>
        <w:t xml:space="preserve">, embedded in the Analytics screen of the Expo app. It contains:</w:t>
      </w:r>
    </w:p>
    <w:p>
      <w:pPr>
        <w:keepNext/>
        <w:spacing w:after="60" w:before="120"/>
      </w:pPr>
      <w:r>
        <w:rPr>
          <w:b/>
          <w:bCs/>
          <w:color w:val="1F4E79"/>
          <w:sz w:val="20"/>
          <w:szCs w:val="20"/>
        </w:rPr>
        <w:t xml:space="preserve">Table 9.1  Forecast screen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UI element</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Horizon selector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Chips to switch between next month, next 3 months, next 6 months and next 1 year.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Sales and cost cards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Predicted total for the chosen horizon, with the low–high confidence range.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Profit card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Predicted profit and profit margin, coloured green or red by 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Current month in progress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Actual sales so far compared with the projected month-end total.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Trend chart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Recent history followed by forecast months, with separate sales and cost lines.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Monthly breakdown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List of each future month with predicted sales, costs and profit.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accuracy panel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Backtest MAPE, RMSE and MAE, the model name (e.g. "Holt-Winters (seasonal, damped trend)") and an engine badge.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Notices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Loading state, error with retry, and the data-quality message when history is limited.</w:t>
            </w:r>
          </w:p>
        </w:tc>
      </w:tr>
    </w:tbl>
    <w:p>
      <w:pPr>
        <w:spacing w:after="120"/>
      </w:pPr>
    </w:p>
    <w:p>
      <w:pPr>
        <w:spacing w:after="120" w:line="276"/>
        <w:jc w:val="both"/>
      </w:pPr>
      <w:r>
        <w:t xml:space="preserve">The service layer (</w:t>
      </w:r>
      <w:r>
        <w:rPr>
          <w:rFonts w:ascii="Consolas" w:cs="Consolas" w:eastAsia="Consolas" w:hAnsi="Consolas"/>
          <w:color w:val="7A2E0E"/>
          <w:sz w:val="19"/>
          <w:szCs w:val="19"/>
        </w:rPr>
        <w:t xml:space="preserve">forecastService.ts</w:t>
      </w:r>
      <w:r>
        <w:t xml:space="preserve">) is a plain async function rather than a Redux slice. This was a deliberate design choice so that the novelty adds nothing to the shared application store, which keeps merges with the parallel novelty branches conflict-free.</w:t>
      </w:r>
    </w:p>
    <w:p>
      <w:pPr>
        <w:pStyle w:val="Heading1"/>
        <w:pageBreakBefore/>
      </w:pPr>
      <w:r>
        <w:t xml:space="preserve">10. Test Data Generation</w:t>
      </w:r>
    </w:p>
    <w:p>
      <w:pPr>
        <w:spacing w:after="120" w:line="276"/>
        <w:jc w:val="both"/>
      </w:pPr>
      <w:r>
        <w:t xml:space="preserve">To demonstrate and evaluate the feature, </w:t>
      </w:r>
      <w:r>
        <w:rPr>
          <w:rFonts w:ascii="Consolas" w:cs="Consolas" w:eastAsia="Consolas" w:hAnsi="Consolas"/>
          <w:color w:val="7A2E0E"/>
          <w:sz w:val="19"/>
          <w:szCs w:val="19"/>
        </w:rPr>
        <w:t xml:space="preserve">npm run seed:forecast</w:t>
      </w:r>
      <w:r>
        <w:t xml:space="preserve"> (script </w:t>
      </w:r>
      <w:r>
        <w:rPr>
          <w:rFonts w:ascii="Consolas" w:cs="Consolas" w:eastAsia="Consolas" w:hAnsi="Consolas"/>
          <w:color w:val="7A2E0E"/>
          <w:sz w:val="19"/>
          <w:szCs w:val="19"/>
        </w:rPr>
        <w:t xml:space="preserve">seedForecastData.js</w:t>
      </w:r>
      <w:r>
        <w:t xml:space="preserve">) generates 24 months of synthetic but realistic data for a Sri Lankan restaurant:</w:t>
      </w:r>
    </w:p>
    <w:p>
      <w:pPr>
        <w:keepNext/>
        <w:spacing w:after="60" w:before="120"/>
      </w:pPr>
      <w:r>
        <w:rPr>
          <w:b/>
          <w:bCs/>
          <w:color w:val="1F4E79"/>
          <w:sz w:val="20"/>
          <w:szCs w:val="20"/>
        </w:rPr>
        <w:t xml:space="preserve">Table 10.1  Seed data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Parameter</w:t>
            </w:r>
          </w:p>
        </w:tc>
        <w:tc>
          <w:tcPr>
            <w:tcW w:type="dxa" w:w="6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r>
              <w:rPr>
                <w:b/>
                <w:bCs/>
                <w:color w:val="FFFFFF"/>
                <w:sz w:val="20"/>
                <w:szCs w:val="20"/>
              </w:rPr>
              <w:t xml:space="preserve">Value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History length</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24 months, exactly the threshold for the seasonal Holt-Winters model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 volume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18 orders per day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Growth</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0.6% per month</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Monthly seasonality (Jan–Dec)</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0.88, 0.90, 0.97, </w:t>
            </w:r>
            <w:r>
              <w:rPr>
                <w:b/>
                <w:bCs/>
                <w:sz w:val="20"/>
                <w:szCs w:val="20"/>
              </w:rPr>
              <w:t xml:space="preserve">1.18</w:t>
            </w:r>
            <w:r>
              <w:rPr>
                <w:sz w:val="20"/>
                <w:szCs w:val="20"/>
              </w:rPr>
              <w:t xml:space="preserve"> (April New Year), 1.00, 0.92, 1.02, 1.10, 0.95, 0.98, 1.05, </w:t>
            </w:r>
            <w:r>
              <w:rPr>
                <w:b/>
                <w:bCs/>
                <w:sz w:val="20"/>
                <w:szCs w:val="20"/>
              </w:rPr>
              <w:t xml:space="preserve">1.28</w:t>
            </w:r>
            <w:r>
              <w:rPr>
                <w:sz w:val="20"/>
                <w:szCs w:val="20"/>
              </w:rPr>
              <w:t xml:space="preserve"> (December)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Weekday seasonality (Sun–Sat)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1.20, 0.85, 0.85, 0.90, 1.00, 1.25, </w:t>
            </w:r>
            <w:r>
              <w:rPr>
                <w:b/>
                <w:bCs/>
                <w:sz w:val="20"/>
                <w:szCs w:val="20"/>
              </w:rPr>
              <w:t xml:space="preserve">1.40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Menu</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 items in 5 categories: Rice &amp; Curry, Kottu &amp; Fried Rice, Seafood, Beverages, Desserts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Ingredient cost ratio</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About 32% of sales, plus other expense categories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Random seed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Fixed (20260816), so every run produces identical, reproducible data</w:t>
            </w:r>
          </w:p>
        </w:tc>
      </w:tr>
    </w:tbl>
    <w:p>
      <w:pPr>
        <w:spacing w:after="120"/>
      </w:pPr>
    </w:p>
    <w:p>
      <w:pPr>
        <w:spacing w:after="120" w:line="276"/>
        <w:jc w:val="both"/>
      </w:pPr>
      <w:r>
        <w:t xml:space="preserve">Because the true seasonal pattern used to generate the data is known, it can be compared with what the model recovers, which makes this data useful for validating the approach.</w:t>
      </w:r>
    </w:p>
    <w:p>
      <w:pPr>
        <w:pStyle w:val="Heading1"/>
        <w:pageBreakBefore/>
      </w:pPr>
      <w:r>
        <w:t xml:space="preserve">11. Novelty and Contribution</w:t>
      </w:r>
    </w:p>
    <w:p>
      <w:pPr>
        <w:pStyle w:val="ListParagraph"/>
        <w:numPr>
          <w:ilvl w:val="0"/>
          <w:numId w:val="5"/>
        </w:numPr>
        <w:spacing w:after="60"/>
      </w:pPr>
      <w:r>
        <w:rPr>
          <w:b/>
          <w:bCs/>
        </w:rPr>
        <w:t xml:space="preserve">Adaptive model selection.</w:t>
      </w:r>
      <w:r>
        <w:t xml:space="preserve"> The forecasting method upgrades automatically from moving average to Holt linear to Holt-Winters as a branch accumulates history, with a fallback chain so a forecast is always available.</w:t>
      </w:r>
    </w:p>
    <w:p>
      <w:pPr>
        <w:pStyle w:val="ListParagraph"/>
        <w:numPr>
          <w:ilvl w:val="0"/>
          <w:numId w:val="5"/>
        </w:numPr>
        <w:spacing w:after="60"/>
      </w:pPr>
      <w:r>
        <w:rPr>
          <w:b/>
          <w:bCs/>
        </w:rPr>
        <w:t xml:space="preserve">Uncertainty-aware output.</w:t>
      </w:r>
      <w:r>
        <w:t xml:space="preserve"> Every prediction carries a 95% interval that widens with the horizon, and horizon totals use conservative bound aggregation.</w:t>
      </w:r>
    </w:p>
    <w:p>
      <w:pPr>
        <w:pStyle w:val="ListParagraph"/>
        <w:numPr>
          <w:ilvl w:val="0"/>
          <w:numId w:val="5"/>
        </w:numPr>
        <w:spacing w:after="60"/>
      </w:pPr>
      <w:r>
        <w:rPr>
          <w:b/>
          <w:bCs/>
        </w:rPr>
        <w:t xml:space="preserve">Honest evaluation.</w:t>
      </w:r>
      <w:r>
        <w:t xml:space="preserve"> Accuracy is reported from an out-of-sample holdout backtest, not only from in-sample fit.</w:t>
      </w:r>
    </w:p>
    <w:p>
      <w:pPr>
        <w:pStyle w:val="ListParagraph"/>
        <w:numPr>
          <w:ilvl w:val="0"/>
          <w:numId w:val="5"/>
        </w:numPr>
        <w:spacing w:after="60"/>
      </w:pPr>
      <w:r>
        <w:rPr>
          <w:b/>
          <w:bCs/>
        </w:rPr>
        <w:t xml:space="preserve">Partial-month handling.</w:t>
      </w:r>
      <w:r>
        <w:t xml:space="preserve"> The in-progress month is excluded from training to avoid bias, yet it is still projected to a month-end total for the owner.</w:t>
      </w:r>
    </w:p>
    <w:p>
      <w:pPr>
        <w:pStyle w:val="ListParagraph"/>
        <w:numPr>
          <w:ilvl w:val="0"/>
          <w:numId w:val="5"/>
        </w:numPr>
        <w:spacing w:after="60"/>
      </w:pPr>
      <w:r>
        <w:rPr>
          <w:b/>
          <w:bCs/>
        </w:rPr>
        <w:t xml:space="preserve">Explainability for non-experts.</w:t>
      </w:r>
      <w:r>
        <w:t xml:space="preserve"> The model name, accuracy and a plain-language data-quality message are shown directly in the POS app.</w:t>
      </w:r>
    </w:p>
    <w:p>
      <w:pPr>
        <w:pStyle w:val="ListParagraph"/>
        <w:numPr>
          <w:ilvl w:val="0"/>
          <w:numId w:val="5"/>
        </w:numPr>
        <w:spacing w:after="60"/>
      </w:pPr>
      <w:r>
        <w:rPr>
          <w:b/>
          <w:bCs/>
        </w:rPr>
        <w:t xml:space="preserve">Integrated profit view.</w:t>
      </w:r>
      <w:r>
        <w:t xml:space="preserve"> Revenue and expenses are forecast together, giving a forward view of profit and margin rather than sales alone.</w:t>
      </w:r>
    </w:p>
    <w:p>
      <w:pPr>
        <w:pStyle w:val="ListParagraph"/>
        <w:numPr>
          <w:ilvl w:val="0"/>
          <w:numId w:val="5"/>
        </w:numPr>
        <w:spacing w:after="60"/>
      </w:pPr>
      <w:r>
        <w:rPr>
          <w:b/>
          <w:bCs/>
        </w:rPr>
        <w:t xml:space="preserve">Service-oriented design.</w:t>
      </w:r>
      <w:r>
        <w:t xml:space="preserve"> Statistical modelling is isolated in a Python microservice behind a typed API, a pattern reused by the other project novelties.</w:t>
      </w:r>
    </w:p>
    <w:p>
      <w:pPr>
        <w:pStyle w:val="Heading1"/>
        <w:pageBreakBefore/>
      </w:pPr>
      <w:r>
        <w:t xml:space="preserve">12. Limitations and Future Work</w:t>
      </w:r>
    </w:p>
    <w:p>
      <w:pPr>
        <w:pStyle w:val="Heading2"/>
      </w:pPr>
      <w:r>
        <w:t xml:space="preserve">12.1 Limitations</w:t>
      </w:r>
    </w:p>
    <w:p>
      <w:pPr>
        <w:pStyle w:val="ListParagraph"/>
        <w:numPr>
          <w:ilvl w:val="0"/>
          <w:numId w:val="2"/>
        </w:numPr>
        <w:spacing w:after="60"/>
      </w:pPr>
      <w:r>
        <w:rPr>
          <w:b/>
          <w:bCs/>
        </w:rPr>
        <w:t xml:space="preserve">No fallback engine.</w:t>
      </w:r>
      <w:r>
        <w:t xml:space="preserve"> If the Python analysis service is unavailable, the endpoint returns HTTP 500 and no forecast is shown.</w:t>
      </w:r>
    </w:p>
    <w:p>
      <w:pPr>
        <w:pStyle w:val="ListParagraph"/>
        <w:numPr>
          <w:ilvl w:val="0"/>
          <w:numId w:val="2"/>
        </w:numPr>
        <w:spacing w:after="60"/>
      </w:pPr>
      <w:r>
        <w:rPr>
          <w:b/>
          <w:bCs/>
        </w:rPr>
        <w:t xml:space="preserve">Independent models.</w:t>
      </w:r>
      <w:r>
        <w:t xml:space="preserve"> Sales and costs are modelled separately, so any relationship between them (costs rising with sales volume) is not captured.</w:t>
      </w:r>
    </w:p>
    <w:p>
      <w:pPr>
        <w:pStyle w:val="ListParagraph"/>
        <w:numPr>
          <w:ilvl w:val="0"/>
          <w:numId w:val="2"/>
        </w:numPr>
        <w:spacing w:after="60"/>
      </w:pPr>
      <w:r>
        <w:rPr>
          <w:b/>
          <w:bCs/>
        </w:rPr>
        <w:t xml:space="preserve">Additive seasonality.</w:t>
      </w:r>
      <w:r>
        <w:t xml:space="preserve"> The seasonal swing is assumed to have a constant size in rupees. For fast-growing businesses, a multiplicative form may fit better.</w:t>
      </w:r>
    </w:p>
    <w:p>
      <w:pPr>
        <w:pStyle w:val="ListParagraph"/>
        <w:numPr>
          <w:ilvl w:val="0"/>
          <w:numId w:val="2"/>
        </w:numPr>
        <w:spacing w:after="60"/>
      </w:pPr>
      <w:r>
        <w:rPr>
          <w:b/>
          <w:bCs/>
        </w:rPr>
        <w:t xml:space="preserve">Cost coverage.</w:t>
      </w:r>
      <w:r>
        <w:t xml:space="preserve"> Costs come only from recorded expenses (</w:t>
      </w:r>
      <w:r>
        <w:rPr>
          <w:rFonts w:ascii="Consolas" w:cs="Consolas" w:eastAsia="Consolas" w:hAnsi="Consolas"/>
          <w:color w:val="7A2E0E"/>
          <w:sz w:val="19"/>
          <w:szCs w:val="19"/>
        </w:rPr>
        <w:t xml:space="preserve">CostExpense</w:t>
      </w:r>
      <w:r>
        <w:t xml:space="preserve">), not from the cost of goods sold on each order.</w:t>
      </w:r>
    </w:p>
    <w:p>
      <w:pPr>
        <w:pStyle w:val="ListParagraph"/>
        <w:numPr>
          <w:ilvl w:val="0"/>
          <w:numId w:val="2"/>
        </w:numPr>
        <w:spacing w:after="60"/>
      </w:pPr>
      <w:r>
        <w:rPr>
          <w:b/>
          <w:bCs/>
        </w:rPr>
        <w:t xml:space="preserve">Monthly granularity.</w:t>
      </w:r>
      <w:r>
        <w:t xml:space="preserve"> Daily or weekly forecasts are not provided.</w:t>
      </w:r>
    </w:p>
    <w:p>
      <w:pPr>
        <w:pStyle w:val="ListParagraph"/>
        <w:numPr>
          <w:ilvl w:val="0"/>
          <w:numId w:val="2"/>
        </w:numPr>
        <w:spacing w:after="60"/>
      </w:pPr>
      <w:r>
        <w:rPr>
          <w:b/>
          <w:bCs/>
        </w:rPr>
        <w:t xml:space="preserve">Residual-based intervals.</w:t>
      </w:r>
      <w:r>
        <w:t xml:space="preserve"> Interval width is based on in-sample residual spread with a √h scaling rule, which is an approximation rather than the model's exact analytical prediction interval.</w:t>
      </w:r>
    </w:p>
    <w:p>
      <w:pPr>
        <w:pStyle w:val="Heading2"/>
      </w:pPr>
      <w:r>
        <w:t xml:space="preserve">12.2 Future Work</w:t>
      </w:r>
    </w:p>
    <w:p>
      <w:pPr>
        <w:pStyle w:val="ListParagraph"/>
        <w:numPr>
          <w:ilvl w:val="0"/>
          <w:numId w:val="2"/>
        </w:numPr>
        <w:spacing w:after="60"/>
      </w:pPr>
      <w:r>
        <w:t xml:space="preserve">Automatically compare additive and multiplicative seasonality and choose the better one using the backtest.</w:t>
      </w:r>
    </w:p>
    <w:p>
      <w:pPr>
        <w:pStyle w:val="ListParagraph"/>
        <w:numPr>
          <w:ilvl w:val="0"/>
          <w:numId w:val="2"/>
        </w:numPr>
        <w:spacing w:after="60"/>
      </w:pPr>
      <w:r>
        <w:t xml:space="preserve">Add external factors (public holidays, promotions, weather) through a model such as SARIMAX.</w:t>
      </w:r>
    </w:p>
    <w:p>
      <w:pPr>
        <w:pStyle w:val="ListParagraph"/>
        <w:numPr>
          <w:ilvl w:val="0"/>
          <w:numId w:val="2"/>
        </w:numPr>
        <w:spacing w:after="60"/>
      </w:pPr>
      <w:r>
        <w:t xml:space="preserve">Forecast cost of goods sold from order line items, and model sales and costs jointly.</w:t>
      </w:r>
    </w:p>
    <w:p>
      <w:pPr>
        <w:pStyle w:val="ListParagraph"/>
        <w:numPr>
          <w:ilvl w:val="0"/>
          <w:numId w:val="2"/>
        </w:numPr>
        <w:spacing w:after="60"/>
      </w:pPr>
      <w:r>
        <w:t xml:space="preserve">Provide weekly forecasts using a 7-day season for short-term staffing decisions.</w:t>
      </w:r>
    </w:p>
    <w:p>
      <w:pPr>
        <w:pStyle w:val="ListParagraph"/>
        <w:numPr>
          <w:ilvl w:val="0"/>
          <w:numId w:val="2"/>
        </w:numPr>
        <w:spacing w:after="60"/>
      </w:pPr>
      <w:r>
        <w:t xml:space="preserve">Cache forecasts per branch and add a lightweight fallback so the screen still works when the analysis service is down.</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SmartCost POS · Novelty 1: Sales and Cost Forecasting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Novelty 1: Sales and Cost Forecasting</dc:title>
  <dc:creator>R26-IT-026</dc:creator>
  <cp:lastModifiedBy>Un-named</cp:lastModifiedBy>
  <cp:revision>1</cp:revision>
  <dcterms:created xsi:type="dcterms:W3CDTF">2026-10-02T10:02:40.944Z</dcterms:created>
  <dcterms:modified xsi:type="dcterms:W3CDTF">2026-10-02T10:02:40.944Z</dcterms:modified>
</cp:coreProperties>
</file>

<file path=docProps/custom.xml><?xml version="1.0" encoding="utf-8"?>
<Properties xmlns="http://schemas.openxmlformats.org/officeDocument/2006/custom-properties" xmlns:vt="http://schemas.openxmlformats.org/officeDocument/2006/docPropsVTypes"/>
</file>