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Thesis Guide: Novelty 1 Sales and Cost Forecasting</w:t>
      </w:r>
    </w:p>
    <w:p>
      <w:pPr/>
      <w:r>
        <w:t xml:space="preserve">Oct 4, 2026</w:t>
      </w:r>
      <w:r>
        <w:t xml:space="preserve"> · </w:t>
      </w:r>
      <w:r>
        <w:t xml:space="preserve">Chamath (IT22544872)</w:t>
      </w:r>
    </w:p>
    <w:p>
      <w:pPr>
        <w:pStyle w:val="Heading2"/>
      </w:pPr>
      <w:r>
        <w:t xml:space="preserve">How to use this guide</w:t>
      </w:r>
    </w:p>
    <w:p>
      <w:pPr/>
      <w:r>
        <w:t xml:space="preserve">Write Chapters 4 and 5 first, then run the evaluation (Chapter 6), and write the Abstract last. Each section below gives the template heading, what the marker expects, and the facts from the SmartCost code that belong there.</w:t>
      </w:r>
    </w:p>
    <w:p>
      <w:pPr/>
      <w:r>
        <w:rPr>
          <w:b/>
        </w:rPr>
        <w:t xml:space="preserve">Your component in one sentence:</w:t>
      </w:r>
      <w:r>
        <w:t xml:space="preserve"> a data-size-aware forecasting service that predicts monthly sales, costs and profit per branch, with 95% ranges and a measured accuracy, for small Sri Lankan restaurants using SmartCost POS.</w:t>
      </w:r>
    </w:p>
    <w:p>
      <w:pPr/>
      <w:r>
        <w:rPr>
          <w:b/>
        </w:rPr>
        <w:t xml:space="preserve">Suggested working title:</w:t>
      </w:r>
      <w:r>
        <w:t xml:space="preserve"> </w:t>
      </w:r>
      <w:r>
        <w:rPr>
          <w:i/>
        </w:rPr>
        <w:t xml:space="preserve">Adaptive Sales, Cost and Profit Forecasting for Small Restaurant Point-of-Sale Systems Using Data-Size-Aware Exponential Smoothing</w:t>
      </w:r>
      <w:r>
        <w:t xml:space="preserve">. The cover page uses the </w:t>
      </w:r>
      <w:r>
        <w:rPr>
          <w:b/>
        </w:rPr>
        <w:t xml:space="preserve">group</w:t>
      </w:r>
      <w:r>
        <w:t xml:space="preserve"> project title, so confirm it with Kasun, Jayani and Dasitha.</w:t>
      </w:r>
    </w:p>
    <w:p>
      <w:pPr>
        <w:pStyle w:val="Heading3"/>
      </w:pPr>
      <w:r>
        <w:t xml:space="preserve">Fix the template before you start</w:t>
      </w:r>
    </w:p>
    <w:p>
      <w:pPr>
        <w:pStyle w:val="ListParagraph"/>
        <w:numPr>
          <w:ilvl w:val="0"/>
          <w:numId w:val="2"/>
        </w:numPr>
      </w:pPr>
      <w:r>
        <w:t xml:space="preserve">The Table of Contents lists </w:t>
      </w:r>
      <w:r>
        <w:rPr>
          <w:b/>
        </w:rPr>
        <w:t xml:space="preserve">8 Commercialisation and Sustainability</w:t>
      </w:r>
      <w:r>
        <w:t xml:space="preserve"> and </w:t>
      </w:r>
      <w:r>
        <w:rPr>
          <w:b/>
        </w:rPr>
        <w:t xml:space="preserve">9 Conclusion</w:t>
      </w:r>
      <w:r>
        <w:t xml:space="preserve">, but the body has no Chapter 8 heading and numbers Conclusion as 8. Add a Heading 1 "COMMERCIALISATION AND SUSTAINABILITY" with sub-headings 8.1 to 8.5 before Conclusion, renumber Conclusion to 9, then press Ctrl+A and F9.</w:t>
      </w:r>
    </w:p>
    <w:p>
      <w:pPr>
        <w:pStyle w:val="ListParagraph"/>
        <w:numPr>
          <w:ilvl w:val="0"/>
          <w:numId w:val="2"/>
        </w:numPr>
      </w:pPr>
      <w:r>
        <w:t xml:space="preserve">"TEMPLATE CONVENTIONS" in the TOC also points nowhere. Delete that line once you've read the conventions.</w:t>
      </w:r>
    </w:p>
    <w:p>
      <w:pPr>
        <w:pStyle w:val="ListParagraph"/>
        <w:numPr>
          <w:ilvl w:val="0"/>
          <w:numId w:val="2"/>
        </w:numPr>
      </w:pPr>
      <w:r>
        <w:t xml:space="preserve">Delete every grey </w:t>
      </w:r>
      <w:r>
        <w:rPr>
          <w:i/>
        </w:rPr>
        <w:t xml:space="preserve">[Guidance - delete before submission]</w:t>
      </w:r>
      <w:r>
        <w:t xml:space="preserve"> paragraph before you submit.</w:t>
      </w:r>
    </w:p>
    <w:p>
      <w:pPr>
        <w:pStyle w:val="Heading3"/>
      </w:pPr>
      <w:r>
        <w:t xml:space="preserve">Writing order</w:t>
      </w:r>
    </w:p>
    <w:p>
      <w:pPr>
        <w:pStyle w:val="ListParagraph"/>
        <w:numPr>
          <w:ilvl w:val="0"/>
          <w:numId w:val="3"/>
        </w:numPr>
      </w:pPr>
      <w:r>
        <w:t xml:space="preserve">Chapter 4 Design and Chapter 5 Implementation. You built it, so these are fastest. The existing </w:t>
      </w:r>
      <w:r>
        <w:rPr>
          <w:rStyle w:val="CodeChar"/>
        </w:rPr>
        <w:t xml:space="preserve">docs/Novelty01_Sales_Cost_Forecasting.docx</w:t>
      </w:r>
      <w:r>
        <w:t xml:space="preserve"> already covers about 70% of this material; rewrite it in thesis voice, don't paste it.</w:t>
      </w:r>
    </w:p>
    <w:p>
      <w:pPr>
        <w:pStyle w:val="ListParagraph"/>
        <w:numPr>
          <w:ilvl w:val="0"/>
          <w:numId w:val="3"/>
        </w:numPr>
      </w:pPr>
      <w:r>
        <w:t xml:space="preserve">Chapter 3 Methodology: fix the evaluation plan before you run anything.</w:t>
      </w:r>
    </w:p>
    <w:p>
      <w:pPr>
        <w:pStyle w:val="ListParagraph"/>
        <w:numPr>
          <w:ilvl w:val="0"/>
          <w:numId w:val="3"/>
        </w:numPr>
      </w:pPr>
      <w:r>
        <w:t xml:space="preserve">Run the experiments and the user study (see the Evidence checklist at the end).</w:t>
      </w:r>
    </w:p>
    <w:p>
      <w:pPr>
        <w:pStyle w:val="ListParagraph"/>
        <w:numPr>
          <w:ilvl w:val="0"/>
          <w:numId w:val="3"/>
        </w:numPr>
      </w:pPr>
      <w:r>
        <w:t xml:space="preserve">Chapter 6 Results.</w:t>
      </w:r>
    </w:p>
    <w:p>
      <w:pPr>
        <w:pStyle w:val="ListParagraph"/>
        <w:numPr>
          <w:ilvl w:val="0"/>
          <w:numId w:val="3"/>
        </w:numPr>
      </w:pPr>
      <w:r>
        <w:t xml:space="preserve">Chapter 2 Literature review, then Chapter 7 Discussion, which compares your results against it.</w:t>
      </w:r>
    </w:p>
    <w:p>
      <w:pPr>
        <w:pStyle w:val="ListParagraph"/>
        <w:numPr>
          <w:ilvl w:val="0"/>
          <w:numId w:val="3"/>
        </w:numPr>
      </w:pPr>
      <w:r>
        <w:t xml:space="preserve">Chapter 1 Introduction, Chapter 8 Commercialisation, Chapter 9 Conclusion.</w:t>
      </w:r>
    </w:p>
    <w:p>
      <w:pPr>
        <w:pStyle w:val="ListParagraph"/>
        <w:numPr>
          <w:ilvl w:val="0"/>
          <w:numId w:val="3"/>
        </w:numPr>
      </w:pPr>
      <w:r>
        <w:t xml:space="preserve">Abstract, Acknowledgements, abbreviations, lists of figures and tables.</w:t>
      </w:r>
    </w:p>
    <w:p>
      <w:pPr/>
      <w:r>
        <w:t xml:space="preserve">The page or word limit isn't in the template. Check the IT4010 module outline before you start writing.</w:t>
      </w:r>
    </w:p>
    <w:p>
      <w:pPr>
        <w:pStyle w:val="Heading2"/>
      </w:pPr>
      <w:r>
        <w:t xml:space="preserve">Front matter</w:t>
      </w:r>
    </w:p>
    <w:p>
      <w:pPr/>
      <w:r>
        <w:t xml:space="preserve">Fill the title page and declaration now; write the Abstract only after Chapter 9 is finished.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Page</w:t>
            </w:r>
          </w:p>
        </w:tc>
        <w:tc>
          <w:tcPr>
            <w:tcW w:w="4680" w:type="dxa"/>
            <w:shd w:val="clear" w:color="auto" w:fill="F2F2F2"/>
          </w:tcPr>
          <w:p>
            <w:pPr/>
            <w:r>
              <w:t xml:space="preserve">What to put there</w:t>
            </w:r>
          </w:p>
        </w:tc>
      </w:tr>
      <w:tr>
        <w:tc>
          <w:tcPr>
            <w:tcW w:w="4680" w:type="dxa"/>
          </w:tcPr>
          <w:p>
            <w:pPr/>
            <w:r>
              <w:t xml:space="preserve">Title page</w:t>
            </w:r>
          </w:p>
        </w:tc>
        <w:tc>
          <w:tcPr>
            <w:tcW w:w="4680" w:type="dxa"/>
          </w:tcPr>
          <w:p>
            <w:pPr/>
            <w:r>
              <w:t xml:space="preserve">Group project title (agreed with the group), your full name, IT22544872, component title "Sales, Cost and Profit Forecasting", group ID R26-IT-026, degree title and specialisation as printed in your SLIIT transcript, department, month and year of submission.</w:t>
            </w:r>
          </w:p>
        </w:tc>
      </w:tr>
      <w:tr>
        <w:tc>
          <w:tcPr>
            <w:tcW w:w="4680" w:type="dxa"/>
          </w:tcPr>
          <w:p>
            <w:pPr/>
            <w:r>
              <w:t xml:space="preserve">Declaration</w:t>
            </w:r>
          </w:p>
        </w:tc>
        <w:tc>
          <w:tcPr>
            <w:tcW w:w="4680" w:type="dxa"/>
          </w:tcPr>
          <w:p>
            <w:pPr/>
            <w:r>
              <w:t xml:space="preserve">Sign and date. The AI-disclosure clause commits you to Appendix B, so keep a log of AI use as you write.</w:t>
            </w:r>
          </w:p>
        </w:tc>
      </w:tr>
      <w:tr>
        <w:tc>
          <w:tcPr>
            <w:tcW w:w="4680" w:type="dxa"/>
          </w:tcPr>
          <w:p>
            <w:pPr/>
            <w:r>
              <w:t xml:space="preserve">Abstract</w:t>
            </w:r>
          </w:p>
        </w:tc>
        <w:tc>
          <w:tcPr>
            <w:tcW w:w="4680" w:type="dxa"/>
          </w:tcPr>
          <w:p>
            <w:pPr/>
            <w:r>
              <w:t xml:space="preserve">300 words maximum, one to three paragraphs, in this order: problem (one sentence), gap (one sentence), aim, method (Node.js aggregation, Python Holt-Winters ladder, backtesting), the main results as numbers (backtest MAPE, interval coverage, user-study score), conclusion, your contribution. No citations, no figures.</w:t>
            </w:r>
          </w:p>
        </w:tc>
      </w:tr>
      <w:tr>
        <w:tc>
          <w:tcPr>
            <w:tcW w:w="4680" w:type="dxa"/>
          </w:tcPr>
          <w:p>
            <w:pPr/>
            <w:r>
              <w:t xml:space="preserve">Keywords</w:t>
            </w:r>
          </w:p>
        </w:tc>
        <w:tc>
          <w:tcPr>
            <w:tcW w:w="4680" w:type="dxa"/>
          </w:tcPr>
          <w:p>
            <w:pPr/>
            <w:r>
              <w:t xml:space="preserve">Three to five, for example: sales forecasting, Holt-Winters exponential smoothing, point-of-sale systems, small and medium enterprises, restaurant analytics.</w:t>
            </w:r>
          </w:p>
        </w:tc>
      </w:tr>
      <w:tr>
        <w:tc>
          <w:tcPr>
            <w:tcW w:w="4680" w:type="dxa"/>
          </w:tcPr>
          <w:p>
            <w:pPr/>
            <w:r>
              <w:t xml:space="preserve">Acknowledgements</w:t>
            </w:r>
          </w:p>
        </w:tc>
        <w:tc>
          <w:tcPr>
            <w:tcW w:w="4680" w:type="dxa"/>
          </w:tcPr>
          <w:p>
            <w:pPr/>
            <w:r>
              <w:t xml:space="preserve">Supervisor, co-supervisor, group members, and the restaurant that provided data or took part in the user study. Short.</w:t>
            </w:r>
          </w:p>
        </w:tc>
      </w:tr>
      <w:tr>
        <w:tc>
          <w:tcPr>
            <w:tcW w:w="4680" w:type="dxa"/>
          </w:tcPr>
          <w:p>
            <w:pPr/>
            <w:r>
              <w:t xml:space="preserve">Lists of figures and tables</w:t>
            </w:r>
          </w:p>
        </w:tc>
        <w:tc>
          <w:tcPr>
            <w:tcW w:w="4680" w:type="dxa"/>
          </w:tcPr>
          <w:p>
            <w:pPr/>
            <w:r>
              <w:t xml:space="preserve">Use Word's Insert Caption for every figure and table, then update fields. Never type figure numbers by hand.</w:t>
            </w:r>
          </w:p>
        </w:tc>
      </w:tr>
    </w:tbl>
    <w:p>
      <w:pPr>
        <w:pStyle w:val="Heading3"/>
      </w:pPr>
      <w:r>
        <w:t xml:space="preserve">Abbreviations to list</w:t>
      </w:r>
    </w:p>
    <w:p>
      <w:pPr/>
      <w:r>
        <w:t xml:space="preserve">Add only the ones you actually use, alphabetically: API, CI (confidence interval), ETS (error, trend, seasonality), JWT, LKR, MAE, MAPE, ML, MLE (maximum likelihood estimation), POS, REST, RMSE, SME, SDG. Define each one at first use in the text as well.</w:t>
      </w:r>
    </w:p>
    <w:p>
      <w:pPr>
        <w:pStyle w:val="Heading2"/>
      </w:pPr>
      <w:r>
        <w:t xml:space="preserve">Chapter 1 Introduction</w:t>
      </w:r>
    </w:p>
    <w:p>
      <w:pPr/>
      <w:r>
        <w:t xml:space="preserve">Chapter 1 must convince the examiner of three things in about 6 to 8 pages: the problem is real, nobody has solved it for this setting, and your objectives are measurable.</w:t>
      </w:r>
    </w:p>
    <w:p>
      <w:pPr/>
      <w:r>
        <w:rPr>
          <w:b/>
        </w:rPr>
        <w:t xml:space="preserve">1.1 Overall project context.</w:t>
      </w:r>
      <w:r>
        <w:t xml:space="preserve"> One page on SmartCost POS as a whole: a multi-tenant POS for Sri Lankan shops and restaurants (Express/MongoDB backend, Next.js dashboard, Expo mobile app), plus the four research components and who owns each. Keep it identical in spirit to your teammates' 1.1. Include one figure showing the four components around the shared POS data.</w:t>
      </w:r>
    </w:p>
    <w:p>
      <w:pPr/>
      <w:r>
        <w:rPr>
          <w:b/>
        </w:rPr>
        <w:t xml:space="preserve">1.2 Individual component context.</w:t>
      </w:r>
      <w:r>
        <w:t xml:space="preserve"> Your component turns stored orders (</w:t>
      </w:r>
      <w:r>
        <w:rPr>
          <w:rStyle w:val="CodeChar"/>
        </w:rPr>
        <w:t xml:space="preserve">History</w:t>
      </w:r>
      <w:r>
        <w:t xml:space="preserve">) and expenses (</w:t>
      </w:r>
      <w:r>
        <w:rPr>
          <w:rStyle w:val="CodeChar"/>
        </w:rPr>
        <w:t xml:space="preserve">CostExpense</w:t>
      </w:r>
      <w:r>
        <w:t xml:space="preserve">) into a forward-looking forecast per branch. Say where it sits: an Analytics screen in the mobile app, backed by a Python analysis service.</w:t>
      </w:r>
    </w:p>
    <w:p>
      <w:pPr/>
      <w:r>
        <w:rPr>
          <w:b/>
        </w:rPr>
        <w:t xml:space="preserve">1.3 Problem statement.</w:t>
      </w:r>
      <w:r>
        <w:t xml:space="preserve"> One paragraph, ending in a single bold problem sentence. Material you can use:</w:t>
      </w:r>
    </w:p>
    <w:p>
      <w:pPr>
        <w:pStyle w:val="ListParagraph"/>
        <w:numPr>
          <w:ilvl w:val="0"/>
          <w:numId w:val="4"/>
        </w:numPr>
      </w:pPr>
      <w:r>
        <w:t xml:space="preserve">Conventional POS reports describe the past; owners plan stock, staffing and cash by intuition.</w:t>
      </w:r>
    </w:p>
    <w:p>
      <w:pPr>
        <w:pStyle w:val="ListParagraph"/>
        <w:numPr>
          <w:ilvl w:val="0"/>
          <w:numId w:val="4"/>
        </w:numPr>
      </w:pPr>
      <w:r>
        <w:t xml:space="preserve">Sri Lankan restaurant demand is strongly seasonal (Sinhala and Tamil New Year in April, December holidays).</w:t>
      </w:r>
    </w:p>
    <w:p>
      <w:pPr>
        <w:pStyle w:val="ListParagraph"/>
        <w:numPr>
          <w:ilvl w:val="0"/>
          <w:numId w:val="4"/>
        </w:numPr>
      </w:pPr>
      <w:r>
        <w:t xml:space="preserve">Small businesses rarely have the 2+ years of clean history that classical seasonal models need, and they cannot judge model output.</w:t>
      </w:r>
    </w:p>
    <w:p>
      <w:pPr>
        <w:pStyle w:val="ListParagraph"/>
        <w:numPr>
          <w:ilvl w:val="0"/>
          <w:numId w:val="4"/>
        </w:numPr>
      </w:pPr>
      <w:r>
        <w:t xml:space="preserve">Back each claim with a citation or with your own survey or interview evidence. Without evidence it reads as opinion.</w:t>
      </w:r>
    </w:p>
    <w:p>
      <w:pPr/>
      <w:r>
        <w:rPr>
          <w:b/>
        </w:rPr>
        <w:t xml:space="preserve">1.4 Research gap.</w:t>
      </w:r>
      <w:r>
        <w:t xml:space="preserve"> State what existing work lacks, in 3 to 4 points. Your strongest candidates:</w:t>
      </w:r>
    </w:p>
    <w:p>
      <w:pPr>
        <w:pStyle w:val="ListParagraph"/>
        <w:numPr>
          <w:ilvl w:val="0"/>
          <w:numId w:val="5"/>
        </w:numPr>
      </w:pPr>
      <w:r>
        <w:t xml:space="preserve">Forecasting studies assume long, clean series; few address a model that adapts as a new business accumulates months of data.</w:t>
      </w:r>
    </w:p>
    <w:p>
      <w:pPr>
        <w:pStyle w:val="ListParagraph"/>
        <w:numPr>
          <w:ilvl w:val="0"/>
          <w:numId w:val="5"/>
        </w:numPr>
      </w:pPr>
      <w:r>
        <w:t xml:space="preserve">Commercial POS products (Square, Loyverse, Lightspeed, local Sri Lankan POS) offer historical reports, and at most a simple projection. Verify each product before you claim this.</w:t>
      </w:r>
    </w:p>
    <w:p>
      <w:pPr>
        <w:pStyle w:val="ListParagraph"/>
        <w:numPr>
          <w:ilvl w:val="0"/>
          <w:numId w:val="5"/>
        </w:numPr>
      </w:pPr>
      <w:r>
        <w:t xml:space="preserve">Few systems give non-expert owners an uncertainty range and an honest accuracy figure in plain language.</w:t>
      </w:r>
    </w:p>
    <w:p>
      <w:pPr>
        <w:pStyle w:val="ListParagraph"/>
        <w:numPr>
          <w:ilvl w:val="0"/>
          <w:numId w:val="5"/>
        </w:numPr>
      </w:pPr>
      <w:r>
        <w:t xml:space="preserve">Little work targets Sri Lankan SME restaurants.</w:t>
      </w:r>
    </w:p>
    <w:p>
      <w:pPr/>
      <w:r>
        <w:rPr>
          <w:b/>
        </w:rPr>
        <w:t xml:space="preserve">1.5 Aim and objectives.</w:t>
      </w:r>
      <w:r>
        <w:t xml:space="preserve"> One aim, then 4 to 5 SMART objectives. Each objective must map to a result in Chapter 6. For example:</w:t>
      </w:r>
    </w:p>
    <w:p>
      <w:pPr>
        <w:pStyle w:val="ListParagraph"/>
        <w:numPr>
          <w:ilvl w:val="0"/>
          <w:numId w:val="6"/>
        </w:numPr>
      </w:pPr>
      <w:r>
        <w:t xml:space="preserve">Build a monthly data pipeline from POS transactions, with gap filling and exclusion of the partial current month.</w:t>
      </w:r>
    </w:p>
    <w:p>
      <w:pPr>
        <w:pStyle w:val="ListParagraph"/>
        <w:numPr>
          <w:ilvl w:val="0"/>
          <w:numId w:val="6"/>
        </w:numPr>
      </w:pPr>
      <w:r>
        <w:t xml:space="preserve">Design a model ladder that picks moving average, damped Holt linear or damped Holt-Winters by available history.</w:t>
      </w:r>
    </w:p>
    <w:p>
      <w:pPr>
        <w:pStyle w:val="ListParagraph"/>
        <w:numPr>
          <w:ilvl w:val="0"/>
          <w:numId w:val="6"/>
        </w:numPr>
      </w:pPr>
      <w:r>
        <w:t xml:space="preserve">Produce 1, 3, 6 and 12-month forecasts of sales, costs and profit with 95% prediction ranges.</w:t>
      </w:r>
    </w:p>
    <w:p>
      <w:pPr>
        <w:pStyle w:val="ListParagraph"/>
        <w:numPr>
          <w:ilvl w:val="0"/>
          <w:numId w:val="6"/>
        </w:numPr>
      </w:pPr>
      <w:r>
        <w:t xml:space="preserve">Evaluate accuracy by backtesting (MAPE, RMSE, MAE) against naive and seasonal-naive baselines.</w:t>
      </w:r>
    </w:p>
    <w:p>
      <w:pPr>
        <w:pStyle w:val="ListParagraph"/>
        <w:numPr>
          <w:ilvl w:val="0"/>
          <w:numId w:val="6"/>
        </w:numPr>
      </w:pPr>
      <w:r>
        <w:t xml:space="preserve">Integrate it into the mobile POS app and validate usefulness with restaurant owners.</w:t>
      </w:r>
    </w:p>
    <w:p>
      <w:pPr/>
      <w:r>
        <w:rPr>
          <w:b/>
        </w:rPr>
        <w:t xml:space="preserve">1.6 Research questions.</w:t>
      </w:r>
      <w:r>
        <w:t xml:space="preserve"> Two or three, each answerable from your data. For example: RQ1, how accurate is the adaptive ladder compared with naive baselines at different history lengths? RQ2, do the 95% ranges achieve close to 95% coverage? RQ3, do owners find the forecast understandable and useful for planning?</w:t>
      </w:r>
    </w:p>
    <w:p>
      <w:pPr/>
      <w:r>
        <w:rPr>
          <w:b/>
        </w:rPr>
        <w:t xml:space="preserve">1.7 Scope, limitations and assumptions.</w:t>
      </w:r>
      <w:r>
        <w:t xml:space="preserve"> Monthly granularity only; one branch at a time; sales and costs forecast as independent series and profit derived; no external variables (weather, holidays, promotions); evaluation on seeded data plus whatever real data you obtain; Sri Lankan restaurant setting.</w:t>
      </w:r>
    </w:p>
    <w:p>
      <w:pPr/>
      <w:r>
        <w:rPr>
          <w:b/>
        </w:rPr>
        <w:t xml:space="preserve">1.8 Individual contribution.</w:t>
      </w:r>
      <w:r>
        <w:t xml:space="preserve"> List exactly what you built: the aggregation service, the controller and horizon logic, the Python model ladder and backtest, the FastAPI endpoint, the mobile Forecast section, and the seed generator. Also say what you reused from the group (auth, the History and CostExpense models, the analysis-service client).</w:t>
      </w:r>
    </w:p>
    <w:p>
      <w:pPr/>
      <w:r>
        <w:rPr>
          <w:b/>
        </w:rPr>
        <w:t xml:space="preserve">1.9 Thesis structure.</w:t>
      </w:r>
      <w:r>
        <w:t xml:space="preserve"> One sentence per chapter.</w:t>
      </w:r>
    </w:p>
    <w:p>
      <w:pPr>
        <w:pStyle w:val="Heading2"/>
      </w:pPr>
      <w:r>
        <w:t xml:space="preserve">Chapter 2 Literature review and related work</w:t>
      </w:r>
    </w:p>
    <w:p>
      <w:pPr/>
      <w:r>
        <w:t xml:space="preserve">The literature review has to end in the gap you claimed in 1.4. Aim for 25 to 40 cited sources and about 10 to 14 pages. Organise it by theme, not as one paragraph per paper.</w:t>
      </w:r>
    </w:p>
    <w:p>
      <w:pPr/>
      <w:r>
        <w:rPr>
          <w:b/>
        </w:rPr>
        <w:t xml:space="preserve">2.1 Review method and scope.</w:t>
      </w:r>
      <w:r>
        <w:t xml:space="preserve"> Say how you searched: databases (IEEE Xplore, ScienceDirect, Google Scholar, ACM DL), search strings ("restaurant sales forecasting", "exponential smoothing small business", "POS analytics SME"), years covered, and inclusion and exclusion rules. A small table of how many papers you found, screened and kept is enough.</w:t>
      </w:r>
    </w:p>
    <w:p>
      <w:pPr/>
      <w:r>
        <w:rPr>
          <w:b/>
        </w:rPr>
        <w:t xml:space="preserve">2.2 Domain and theoretical foundations.</w:t>
      </w:r>
      <w:r>
        <w:t xml:space="preserve"> Cover these topics in this order:</w:t>
      </w:r>
    </w:p>
    <w:p>
      <w:pPr>
        <w:pStyle w:val="ListParagraph"/>
        <w:numPr>
          <w:ilvl w:val="0"/>
          <w:numId w:val="7"/>
        </w:numPr>
      </w:pPr>
      <w:r>
        <w:t xml:space="preserve">Time-series components: level, trend, seasonality, noise.</w:t>
      </w:r>
    </w:p>
    <w:p>
      <w:pPr>
        <w:pStyle w:val="ListParagraph"/>
        <w:numPr>
          <w:ilvl w:val="0"/>
          <w:numId w:val="7"/>
        </w:numPr>
      </w:pPr>
      <w:r>
        <w:t xml:space="preserve">Exponential smoothing: simple, Holt's linear trend, Holt-Winters additive and multiplicative, damped trend, and the ETS state-space view.</w:t>
      </w:r>
    </w:p>
    <w:p>
      <w:pPr>
        <w:pStyle w:val="ListParagraph"/>
        <w:numPr>
          <w:ilvl w:val="0"/>
          <w:numId w:val="7"/>
        </w:numPr>
      </w:pPr>
      <w:r>
        <w:t xml:space="preserve">Alternatives: ARIMA/SARIMA, Prophet, and ML/deep learning (gradient boosting, LSTM). Explain why they need more data than a young SME has.</w:t>
      </w:r>
    </w:p>
    <w:p>
      <w:pPr>
        <w:pStyle w:val="ListParagraph"/>
        <w:numPr>
          <w:ilvl w:val="0"/>
          <w:numId w:val="7"/>
        </w:numPr>
      </w:pPr>
      <w:r>
        <w:t xml:space="preserve">Forecast evaluation: MAE, RMSE, MAPE and its weaknesses, MASE, rolling-origin backtesting, and prediction-interval coverage.</w:t>
      </w:r>
    </w:p>
    <w:p>
      <w:pPr/>
      <w:r>
        <w:rPr>
          <w:b/>
        </w:rPr>
        <w:t xml:space="preserve">2.3 Related research.</w:t>
      </w:r>
      <w:r>
        <w:t xml:space="preserve"> Group the papers into restaurant and food-service demand forecasting, SME and retail sales forecasting, forecast competitions (the M4 and M5 findings that simple statistical methods are hard to beat), and forecast communication to non-experts. End each group with one sentence on what it does not cover.</w:t>
      </w:r>
    </w:p>
    <w:p>
      <w:pPr/>
      <w:r>
        <w:rPr>
          <w:b/>
        </w:rPr>
        <w:t xml:space="preserve">2.4 Existing systems, products and techniques.</w:t>
      </w:r>
      <w:r>
        <w:t xml:space="preserve"> A comparison table of 5 to 7 products, one row each: Square, Loyverse, Lightspeed, Toast, Odoo POS and one or two Sri Lankan POS vendors. Columns: forecasts sales? forecasts costs/profit? shows an uncertainty range? handles short history? affordable for an SME? Fill it from each vendor's own documentation, and cite the pages with access dates. Add SmartCost as the last row.</w:t>
      </w:r>
    </w:p>
    <w:p>
      <w:pPr/>
      <w:r>
        <w:rPr>
          <w:b/>
        </w:rPr>
        <w:t xml:space="preserve">2.5 Gap synthesis and conceptual framework.</w:t>
      </w:r>
      <w:r>
        <w:t xml:space="preserve"> One paragraph pulling together the "does not cover" sentences from 2.3 and 2.4, then a figure of your conceptual framework: POS transactions → monthly aggregation → model chosen by history length → forecast + range + accuracy → owner decision.</w:t>
      </w:r>
    </w:p>
    <w:p>
      <w:pPr>
        <w:pStyle w:val="Heading3"/>
      </w:pPr>
      <w:r>
        <w:t xml:space="preserve">Core sources to start from</w:t>
      </w:r>
    </w:p>
    <w:p>
      <w:pPr/>
      <w:r>
        <w:t xml:space="preserve">These are well-known works in the field, listed from memory. Look up each one and confirm the authors, year and DOI before citing.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Source</w:t>
            </w:r>
          </w:p>
        </w:tc>
        <w:tc>
          <w:tcPr>
            <w:tcW w:w="4680" w:type="dxa"/>
            <w:shd w:val="clear" w:color="auto" w:fill="F2F2F2"/>
          </w:tcPr>
          <w:p>
            <w:pPr/>
            <w:r>
              <w:t xml:space="preserve">Use it for</w:t>
            </w:r>
          </w:p>
        </w:tc>
      </w:tr>
      <w:tr>
        <w:tc>
          <w:tcPr>
            <w:tcW w:w="4680" w:type="dxa"/>
          </w:tcPr>
          <w:p>
            <w:pPr/>
            <w:r>
              <w:t xml:space="preserve">Hyndman and Athanasopoulos, </w:t>
            </w:r>
            <w:r>
              <w:rPr>
                <w:i/>
              </w:rPr>
              <w:t xml:space="preserve">Forecasting: Principles and Practice</w:t>
            </w:r>
            <w:r>
              <w:t xml:space="preserve">, 3rd ed., OTexts, 2021</w:t>
            </w:r>
          </w:p>
        </w:tc>
        <w:tc>
          <w:tcPr>
            <w:tcW w:w="4680" w:type="dxa"/>
          </w:tcPr>
          <w:p>
            <w:pPr/>
            <w:r>
              <w:t xml:space="preserve">Main textbook reference for ETS, evaluation and prediction intervals</w:t>
            </w:r>
          </w:p>
        </w:tc>
      </w:tr>
      <w:tr>
        <w:tc>
          <w:tcPr>
            <w:tcW w:w="4680" w:type="dxa"/>
          </w:tcPr>
          <w:p>
            <w:pPr/>
            <w:r>
              <w:t xml:space="preserve">Holt, "Forecasting seasonals and trends by exponentially weighted moving averages", 1957 (reprinted in </w:t>
            </w:r>
            <w:r>
              <w:rPr>
                <w:i/>
              </w:rPr>
              <w:t xml:space="preserve">Int. J. Forecasting</w:t>
            </w:r>
            <w:r>
              <w:t xml:space="preserve">, 2004)</w:t>
            </w:r>
          </w:p>
        </w:tc>
        <w:tc>
          <w:tcPr>
            <w:tcW w:w="4680" w:type="dxa"/>
          </w:tcPr>
          <w:p>
            <w:pPr/>
            <w:r>
              <w:t xml:space="preserve">Origin of Holt's trend method</w:t>
            </w:r>
          </w:p>
        </w:tc>
      </w:tr>
      <w:tr>
        <w:tc>
          <w:tcPr>
            <w:tcW w:w="4680" w:type="dxa"/>
          </w:tcPr>
          <w:p>
            <w:pPr/>
            <w:r>
              <w:t xml:space="preserve">Winters, "Forecasting sales by exponentially weighted moving averages", </w:t>
            </w:r>
            <w:r>
              <w:rPr>
                <w:i/>
              </w:rPr>
              <w:t xml:space="preserve">Management Science</w:t>
            </w:r>
            <w:r>
              <w:t xml:space="preserve">, 1960</w:t>
            </w:r>
          </w:p>
        </w:tc>
        <w:tc>
          <w:tcPr>
            <w:tcW w:w="4680" w:type="dxa"/>
          </w:tcPr>
          <w:p>
            <w:pPr/>
            <w:r>
              <w:t xml:space="preserve">Origin of Holt-Winters seasonality</w:t>
            </w:r>
          </w:p>
        </w:tc>
      </w:tr>
      <w:tr>
        <w:tc>
          <w:tcPr>
            <w:tcW w:w="4680" w:type="dxa"/>
          </w:tcPr>
          <w:p>
            <w:pPr/>
            <w:r>
              <w:t xml:space="preserve">Gardner and McKenzie, "Forecasting trends in time series", </w:t>
            </w:r>
            <w:r>
              <w:rPr>
                <w:i/>
              </w:rPr>
              <w:t xml:space="preserve">Management Science</w:t>
            </w:r>
            <w:r>
              <w:t xml:space="preserve">, 1985</w:t>
            </w:r>
          </w:p>
        </w:tc>
        <w:tc>
          <w:tcPr>
            <w:tcW w:w="4680" w:type="dxa"/>
          </w:tcPr>
          <w:p>
            <w:pPr/>
            <w:r>
              <w:t xml:space="preserve">Justifies the damped trend you use</w:t>
            </w:r>
          </w:p>
        </w:tc>
      </w:tr>
      <w:tr>
        <w:tc>
          <w:tcPr>
            <w:tcW w:w="4680" w:type="dxa"/>
          </w:tcPr>
          <w:p>
            <w:pPr/>
            <w:r>
              <w:t xml:space="preserve">Hyndman, Koehler, Snyder and Grose, state-space framework for automatic exponential smoothing, </w:t>
            </w:r>
            <w:r>
              <w:rPr>
                <w:i/>
              </w:rPr>
              <w:t xml:space="preserve">Int. J. Forecasting</w:t>
            </w:r>
            <w:r>
              <w:t xml:space="preserve">, 2002</w:t>
            </w:r>
          </w:p>
        </w:tc>
        <w:tc>
          <w:tcPr>
            <w:tcW w:w="4680" w:type="dxa"/>
          </w:tcPr>
          <w:p>
            <w:pPr/>
            <w:r>
              <w:t xml:space="preserve">Automatic model selection, likelihood fitting</w:t>
            </w:r>
          </w:p>
        </w:tc>
      </w:tr>
      <w:tr>
        <w:tc>
          <w:tcPr>
            <w:tcW w:w="4680" w:type="dxa"/>
          </w:tcPr>
          <w:p>
            <w:pPr/>
            <w:r>
              <w:t xml:space="preserve">Makridakis, Spiliotis and Assimakopoulos, M4 competition results, </w:t>
            </w:r>
            <w:r>
              <w:rPr>
                <w:i/>
              </w:rPr>
              <w:t xml:space="preserve">Int. J. Forecasting</w:t>
            </w:r>
            <w:r>
              <w:t xml:space="preserve">, 2020</w:t>
            </w:r>
          </w:p>
        </w:tc>
        <w:tc>
          <w:tcPr>
            <w:tcW w:w="4680" w:type="dxa"/>
          </w:tcPr>
          <w:p>
            <w:pPr/>
            <w:r>
              <w:t xml:space="preserve">Evidence that simple statistical methods compete well</w:t>
            </w:r>
          </w:p>
        </w:tc>
      </w:tr>
      <w:tr>
        <w:tc>
          <w:tcPr>
            <w:tcW w:w="4680" w:type="dxa"/>
          </w:tcPr>
          <w:p>
            <w:pPr/>
            <w:r>
              <w:t xml:space="preserve">Makridakis et al., M5 accuracy competition, </w:t>
            </w:r>
            <w:r>
              <w:rPr>
                <w:i/>
              </w:rPr>
              <w:t xml:space="preserve">Int. J. Forecasting</w:t>
            </w:r>
            <w:r>
              <w:t xml:space="preserve">, 2022</w:t>
            </w:r>
          </w:p>
        </w:tc>
        <w:tc>
          <w:tcPr>
            <w:tcW w:w="4680" w:type="dxa"/>
          </w:tcPr>
          <w:p>
            <w:pPr/>
            <w:r>
              <w:t xml:space="preserve">Retail sales forecasting at scale</w:t>
            </w:r>
          </w:p>
        </w:tc>
      </w:tr>
      <w:tr>
        <w:tc>
          <w:tcPr>
            <w:tcW w:w="4680" w:type="dxa"/>
          </w:tcPr>
          <w:p>
            <w:pPr/>
            <w:r>
              <w:t xml:space="preserve">Hyndman and Koehler, "Another look at measures of forecast accuracy", </w:t>
            </w:r>
            <w:r>
              <w:rPr>
                <w:i/>
              </w:rPr>
              <w:t xml:space="preserve">Int. J. Forecasting</w:t>
            </w:r>
            <w:r>
              <w:t xml:space="preserve">, 2006</w:t>
            </w:r>
          </w:p>
        </w:tc>
        <w:tc>
          <w:tcPr>
            <w:tcW w:w="4680" w:type="dxa"/>
          </w:tcPr>
          <w:p>
            <w:pPr/>
            <w:r>
              <w:t xml:space="preserve">Why MAPE alone is weak; MASE</w:t>
            </w:r>
          </w:p>
        </w:tc>
      </w:tr>
      <w:tr>
        <w:tc>
          <w:tcPr>
            <w:tcW w:w="4680" w:type="dxa"/>
          </w:tcPr>
          <w:p>
            <w:pPr/>
            <w:r>
              <w:t xml:space="preserve">Tashman, "Out-of-sample tests of forecasting accuracy", </w:t>
            </w:r>
            <w:r>
              <w:rPr>
                <w:i/>
              </w:rPr>
              <w:t xml:space="preserve">Int. J. Forecasting</w:t>
            </w:r>
            <w:r>
              <w:t xml:space="preserve">, 2000</w:t>
            </w:r>
          </w:p>
        </w:tc>
        <w:tc>
          <w:tcPr>
            <w:tcW w:w="4680" w:type="dxa"/>
          </w:tcPr>
          <w:p>
            <w:pPr/>
            <w:r>
              <w:t xml:space="preserve">Rolling-origin backtesting</w:t>
            </w:r>
          </w:p>
        </w:tc>
      </w:tr>
      <w:tr>
        <w:tc>
          <w:tcPr>
            <w:tcW w:w="4680" w:type="dxa"/>
          </w:tcPr>
          <w:p>
            <w:pPr/>
            <w:r>
              <w:t xml:space="preserve">Taylor and Letham, "Forecasting at scale" (Prophet), </w:t>
            </w:r>
            <w:r>
              <w:rPr>
                <w:i/>
              </w:rPr>
              <w:t xml:space="preserve">The American Statistician</w:t>
            </w:r>
            <w:r>
              <w:t xml:space="preserve">, 2018</w:t>
            </w:r>
          </w:p>
        </w:tc>
        <w:tc>
          <w:tcPr>
            <w:tcW w:w="4680" w:type="dxa"/>
          </w:tcPr>
          <w:p>
            <w:pPr/>
            <w:r>
              <w:t xml:space="preserve">Main alternative you considered</w:t>
            </w:r>
          </w:p>
        </w:tc>
      </w:tr>
      <w:tr>
        <w:tc>
          <w:tcPr>
            <w:tcW w:w="4680" w:type="dxa"/>
          </w:tcPr>
          <w:p>
            <w:pPr/>
            <w:r>
              <w:t xml:space="preserve">Lasek, Cercone and Saunders, restaurant sales and demand forecasting survey, 2016</w:t>
            </w:r>
          </w:p>
        </w:tc>
        <w:tc>
          <w:tcPr>
            <w:tcW w:w="4680" w:type="dxa"/>
          </w:tcPr>
          <w:p>
            <w:pPr/>
            <w:r>
              <w:t xml:space="preserve">Restaurant-specific related work</w:t>
            </w:r>
          </w:p>
        </w:tc>
      </w:tr>
      <w:tr>
        <w:tc>
          <w:tcPr>
            <w:tcW w:w="4680" w:type="dxa"/>
          </w:tcPr>
          <w:p>
            <w:pPr/>
            <w:r>
              <w:t xml:space="preserve">Seabold and Perktold, "statsmodels: Econometric and statistical modeling with Python", SciPy conference, 2010</w:t>
            </w:r>
          </w:p>
        </w:tc>
        <w:tc>
          <w:tcPr>
            <w:tcW w:w="4680" w:type="dxa"/>
          </w:tcPr>
          <w:p>
            <w:pPr/>
            <w:r>
              <w:t xml:space="preserve">Cite the library you use</w:t>
            </w:r>
          </w:p>
        </w:tc>
      </w:tr>
      <w:tr>
        <w:tc>
          <w:tcPr>
            <w:tcW w:w="4680" w:type="dxa"/>
          </w:tcPr>
          <w:p>
            <w:pPr/>
            <w:r>
              <w:t xml:space="preserve">Davis, technology acceptance model, </w:t>
            </w:r>
            <w:r>
              <w:rPr>
                <w:i/>
              </w:rPr>
              <w:t xml:space="preserve">MIS Quarterly</w:t>
            </w:r>
            <w:r>
              <w:t xml:space="preserve">, 1989; Brooke, SUS, 1996</w:t>
            </w:r>
          </w:p>
        </w:tc>
        <w:tc>
          <w:tcPr>
            <w:tcW w:w="4680" w:type="dxa"/>
          </w:tcPr>
          <w:p>
            <w:pPr/>
            <w:r>
              <w:t xml:space="preserve">Basis for your user-study questionnaire</w:t>
            </w:r>
          </w:p>
        </w:tc>
      </w:tr>
    </w:tbl>
    <w:p>
      <w:pPr/>
      <w:r>
        <w:t xml:space="preserve">Add recent (2021 to 2026) papers on restaurant or SME forecasting, especially from South Asia. Examiners look for recent sources.</w:t>
      </w:r>
    </w:p>
    <w:p>
      <w:pPr>
        <w:pStyle w:val="Heading2"/>
      </w:pPr>
      <w:r>
        <w:t xml:space="preserve">Chapter 3 Research methodology</w:t>
      </w:r>
    </w:p>
    <w:p>
      <w:pPr/>
      <w:r>
        <w:t xml:space="preserve">Use a design-science approach (build an artefact, then evaluate it) with two evaluations: a quantitative forecasting experiment and a small user study. Decide every metric and baseline here, before you run anything.</w:t>
      </w:r>
    </w:p>
    <w:p>
      <w:pPr/>
      <w:r>
        <w:rPr>
          <w:b/>
        </w:rPr>
        <w:t xml:space="preserve">3.1 Research design.</w:t>
      </w:r>
      <w:r>
        <w:t xml:space="preserve"> Name the paradigm (design science research, citing Hevner et al., 2004) and draw its cycle as a figure: problem identification → objectives → design and development → demonstration → evaluation → communication. State that the research is mixed-method: quantitative accuracy plus qualitative usefulness.</w:t>
      </w:r>
    </w:p>
    <w:p>
      <w:pPr/>
      <w:r>
        <w:rPr>
          <w:b/>
        </w:rPr>
        <w:t xml:space="preserve">3.2 Data, participants and study materials.</w:t>
      </w:r>
    </w:p>
    <w:p>
      <w:pPr>
        <w:pStyle w:val="ListParagraph"/>
        <w:numPr>
          <w:ilvl w:val="0"/>
          <w:numId w:val="8"/>
        </w:numPr>
      </w:pPr>
      <w:r>
        <w:rPr>
          <w:i/>
        </w:rPr>
        <w:t xml:space="preserve">Synthetic data.</w:t>
      </w:r>
      <w:r>
        <w:t xml:space="preserve"> </w:t>
      </w:r>
      <w:r>
        <w:rPr>
          <w:rStyle w:val="CodeChar"/>
        </w:rPr>
        <w:t xml:space="preserve">seedForecastData.js</w:t>
      </w:r>
      <w:r>
        <w:t xml:space="preserve"> uses a fixed random seed (20260816), so every run gives identical data: 18 base orders a day, 0.6% monthly growth, month multipliers peaking in April (1.18) and December (1.28), weekday multipliers, ±18% daily noise, plus rent (LKR 85,000), salaries (LKR 220,000), utilities, ingredients at 32% of sales and random maintenance and marketing costs. The advantage is that you know the true pattern, so you can check whether the model recovers it.</w:t>
      </w:r>
    </w:p>
    <w:p>
      <w:pPr>
        <w:pStyle w:val="ListParagraph"/>
        <w:numPr>
          <w:ilvl w:val="0"/>
          <w:numId w:val="8"/>
        </w:numPr>
      </w:pPr>
      <w:r>
        <w:rPr>
          <w:i/>
        </w:rPr>
        <w:t xml:space="preserve">Real data.</w:t>
      </w:r>
      <w:r>
        <w:t xml:space="preserve"> Synthetic data alone is a validity threat. Try hard to get 12 to 36 months of real, anonymised monthly sales and expense totals from at least one restaurant, with written consent. Even one real series makes the thesis much stronger.</w:t>
      </w:r>
    </w:p>
    <w:p>
      <w:pPr>
        <w:pStyle w:val="ListParagraph"/>
        <w:numPr>
          <w:ilvl w:val="0"/>
          <w:numId w:val="8"/>
        </w:numPr>
      </w:pPr>
      <w:r>
        <w:rPr>
          <w:i/>
        </w:rPr>
        <w:t xml:space="preserve">Participants.</w:t>
      </w:r>
      <w:r>
        <w:t xml:space="preserve"> 5 to 10 restaurant owners or managers for the user study. Record role, business size and years of operation.</w:t>
      </w:r>
    </w:p>
    <w:p>
      <w:pPr/>
      <w:r>
        <w:rPr>
          <w:b/>
        </w:rPr>
        <w:t xml:space="preserve">3.3 Experimental procedure.</w:t>
      </w:r>
      <w:r>
        <w:t xml:space="preserve"> Describe it as numbered steps:</w:t>
      </w:r>
    </w:p>
    <w:p>
      <w:pPr>
        <w:pStyle w:val="ListParagraph"/>
        <w:numPr>
          <w:ilvl w:val="0"/>
          <w:numId w:val="9"/>
        </w:numPr>
      </w:pPr>
      <w:r>
        <w:t xml:space="preserve">Generate datasets of different lengths. The default </w:t>
      </w:r>
      <w:r>
        <w:rPr>
          <w:rStyle w:val="CodeChar"/>
        </w:rPr>
        <w:t xml:space="preserve">npm run seed:forecast</w:t>
      </w:r>
      <w:r>
        <w:t xml:space="preserve"> gives 24 months </w:t>
      </w:r>
      <w:r>
        <w:rPr>
          <w:b/>
        </w:rPr>
        <w:t xml:space="preserve">including the current partial month, so only 23 complete months, and Holt-Winters never runs</w:t>
      </w:r>
      <w:r>
        <w:t xml:space="preserve">. Use </w:t>
      </w:r>
      <w:r>
        <w:rPr>
          <w:rStyle w:val="CodeChar"/>
        </w:rPr>
        <w:t xml:space="preserve">--months=36</w:t>
      </w:r>
      <w:r>
        <w:t xml:space="preserve"> (the aggregation's maximum lookback) to test the seasonal model, and shorter runs (6, 12, 18) to test the lower rungs of the ladder.</w:t>
      </w:r>
    </w:p>
    <w:p>
      <w:pPr>
        <w:pStyle w:val="ListParagraph"/>
        <w:numPr>
          <w:ilvl w:val="0"/>
          <w:numId w:val="9"/>
        </w:numPr>
      </w:pPr>
      <w:r>
        <w:t xml:space="preserve">For each dataset, run a rolling-origin evaluation: train on the first </w:t>
      </w:r>
      <w:r>
        <w:rPr>
          <w:i/>
        </w:rPr>
        <w:t xml:space="preserve">t</w:t>
      </w:r>
      <w:r>
        <w:t xml:space="preserve"> months, forecast the next 1, 3, 6 and 12, slide </w:t>
      </w:r>
      <w:r>
        <w:rPr>
          <w:i/>
        </w:rPr>
        <w:t xml:space="preserve">t</w:t>
      </w:r>
      <w:r>
        <w:t xml:space="preserve"> forward one month, repeat. Do this in a standalone Python script that imports </w:t>
      </w:r>
      <w:r>
        <w:rPr>
          <w:rStyle w:val="CodeChar"/>
        </w:rPr>
        <w:t xml:space="preserve">forecast_series</w:t>
      </w:r>
      <w:r>
        <w:t xml:space="preserve"> from </w:t>
      </w:r>
      <w:r>
        <w:rPr>
          <w:rStyle w:val="CodeChar"/>
        </w:rPr>
        <w:t xml:space="preserve">forecasting.py</w:t>
      </w:r>
      <w:r>
        <w:t xml:space="preserve">, so it uses exactly the production code.</w:t>
      </w:r>
    </w:p>
    <w:p>
      <w:pPr>
        <w:pStyle w:val="ListParagraph"/>
        <w:numPr>
          <w:ilvl w:val="0"/>
          <w:numId w:val="9"/>
        </w:numPr>
      </w:pPr>
      <w:r>
        <w:t xml:space="preserve">Run the same folds with baselines: naive (last month), seasonal naive (same month last year), the 3-month moving average, and linear regression. All of them except seasonal naive already exist in </w:t>
      </w:r>
      <w:r>
        <w:rPr>
          <w:rStyle w:val="CodeChar"/>
        </w:rPr>
        <w:t xml:space="preserve">forecasting.py</w:t>
      </w:r>
      <w:r>
        <w:t xml:space="preserve">.</w:t>
      </w:r>
    </w:p>
    <w:p>
      <w:pPr>
        <w:pStyle w:val="ListParagraph"/>
        <w:numPr>
          <w:ilvl w:val="0"/>
          <w:numId w:val="9"/>
        </w:numPr>
      </w:pPr>
      <w:r>
        <w:t xml:space="preserve">Record each fold's predicted value, lower and upper bound, and the actual value.</w:t>
      </w:r>
    </w:p>
    <w:p>
      <w:pPr>
        <w:pStyle w:val="ListParagraph"/>
        <w:numPr>
          <w:ilvl w:val="0"/>
          <w:numId w:val="9"/>
        </w:numPr>
      </w:pPr>
      <w:r>
        <w:t xml:space="preserve">Run the user study: a short walkthrough of the Forecast screen, three planning tasks, then a questionnaire and a 10-minute interview.</w:t>
      </w:r>
    </w:p>
    <w:p>
      <w:pPr/>
      <w:r>
        <w:rPr>
          <w:b/>
        </w:rPr>
        <w:t xml:space="preserve">3.4 Measures and evaluation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Measures</w:t>
            </w:r>
          </w:p>
        </w:tc>
        <w:tc>
          <w:tcPr>
            <w:tcW w:w="3120" w:type="dxa"/>
            <w:shd w:val="clear" w:color="auto" w:fill="F2F2F2"/>
          </w:tcPr>
          <w:p>
            <w:pPr/>
            <w:r>
              <w:t xml:space="preserve">Note</w:t>
            </w:r>
          </w:p>
        </w:tc>
      </w:tr>
      <w:tr>
        <w:tc>
          <w:tcPr>
            <w:tcW w:w="3120" w:type="dxa"/>
          </w:tcPr>
          <w:p>
            <w:pPr/>
            <w:r>
              <w:t xml:space="preserve">MAPE (%)</w:t>
            </w:r>
          </w:p>
        </w:tc>
        <w:tc>
          <w:tcPr>
            <w:tcW w:w="3120" w:type="dxa"/>
          </w:tcPr>
          <w:p>
            <w:pPr/>
            <w:r>
              <w:t xml:space="preserve">Average relative error</w:t>
            </w:r>
          </w:p>
        </w:tc>
        <w:tc>
          <w:tcPr>
            <w:tcW w:w="3120" w:type="dxa"/>
          </w:tcPr>
          <w:p>
            <w:pPr/>
            <w:r>
              <w:t xml:space="preserve">Owners understand it; undefined at zero sales</w:t>
            </w:r>
          </w:p>
        </w:tc>
      </w:tr>
      <w:tr>
        <w:tc>
          <w:tcPr>
            <w:tcW w:w="3120" w:type="dxa"/>
          </w:tcPr>
          <w:p>
            <w:pPr/>
            <w:r>
              <w:t xml:space="preserve">MAE, RMSE (LKR)</w:t>
            </w:r>
          </w:p>
        </w:tc>
        <w:tc>
          <w:tcPr>
            <w:tcW w:w="3120" w:type="dxa"/>
          </w:tcPr>
          <w:p>
            <w:pPr/>
            <w:r>
              <w:t xml:space="preserve">Absolute error; RMSE penalises big misses</w:t>
            </w:r>
          </w:p>
        </w:tc>
        <w:tc>
          <w:tcPr>
            <w:tcW w:w="3120" w:type="dxa"/>
          </w:tcPr>
          <w:p>
            <w:pPr/>
            <w:r>
              <w:t xml:space="preserve">Report in LKR</w:t>
            </w:r>
          </w:p>
        </w:tc>
      </w:tr>
      <w:tr>
        <w:tc>
          <w:tcPr>
            <w:tcW w:w="3120" w:type="dxa"/>
          </w:tcPr>
          <w:p>
            <w:pPr/>
            <w:r>
              <w:t xml:space="preserve">MASE</w:t>
            </w:r>
          </w:p>
        </w:tc>
        <w:tc>
          <w:tcPr>
            <w:tcW w:w="3120" w:type="dxa"/>
          </w:tcPr>
          <w:p>
            <w:pPr/>
            <w:r>
              <w:t xml:space="preserve">Error relative to the seasonal-naive baseline</w:t>
            </w:r>
          </w:p>
        </w:tc>
        <w:tc>
          <w:tcPr>
            <w:tcW w:w="3120" w:type="dxa"/>
          </w:tcPr>
          <w:p>
            <w:pPr/>
            <w:r>
              <w:t xml:space="preserve">Below 1 means you beat the baseline</w:t>
            </w:r>
          </w:p>
        </w:tc>
      </w:tr>
      <w:tr>
        <w:tc>
          <w:tcPr>
            <w:tcW w:w="3120" w:type="dxa"/>
          </w:tcPr>
          <w:p>
            <w:pPr/>
            <w:r>
              <w:t xml:space="preserve">Interval coverage (%)</w:t>
            </w:r>
          </w:p>
        </w:tc>
        <w:tc>
          <w:tcPr>
            <w:tcW w:w="3120" w:type="dxa"/>
          </w:tcPr>
          <w:p>
            <w:pPr/>
            <w:r>
              <w:t xml:space="preserve">Share of actuals inside the 95% range</w:t>
            </w:r>
          </w:p>
        </w:tc>
        <w:tc>
          <w:tcPr>
            <w:tcW w:w="3120" w:type="dxa"/>
          </w:tcPr>
          <w:p>
            <w:pPr/>
            <w:r>
              <w:t xml:space="preserve">Should be close to 95%</w:t>
            </w:r>
          </w:p>
        </w:tc>
      </w:tr>
      <w:tr>
        <w:tc>
          <w:tcPr>
            <w:tcW w:w="3120" w:type="dxa"/>
          </w:tcPr>
          <w:p>
            <w:pPr/>
            <w:r>
              <w:t xml:space="preserve">Interval width (LKR)</w:t>
            </w:r>
          </w:p>
        </w:tc>
        <w:tc>
          <w:tcPr>
            <w:tcW w:w="3120" w:type="dxa"/>
          </w:tcPr>
          <w:p>
            <w:pPr/>
            <w:r>
              <w:t xml:space="preserve">How wide, so how useful, the range is</w:t>
            </w:r>
          </w:p>
        </w:tc>
        <w:tc>
          <w:tcPr>
            <w:tcW w:w="3120" w:type="dxa"/>
          </w:tcPr>
          <w:p>
            <w:pPr/>
            <w:r>
              <w:t xml:space="preserve">Read together with coverage</w:t>
            </w:r>
          </w:p>
        </w:tc>
      </w:tr>
      <w:tr>
        <w:tc>
          <w:tcPr>
            <w:tcW w:w="3120" w:type="dxa"/>
          </w:tcPr>
          <w:p>
            <w:pPr/>
            <w:r>
              <w:t xml:space="preserve">Response time (ms)</w:t>
            </w:r>
          </w:p>
        </w:tc>
        <w:tc>
          <w:tcPr>
            <w:tcW w:w="3120" w:type="dxa"/>
          </w:tcPr>
          <w:p>
            <w:pPr/>
            <w:r>
              <w:t xml:space="preserve">End-to-end API latency</w:t>
            </w:r>
          </w:p>
        </w:tc>
        <w:tc>
          <w:tcPr>
            <w:tcW w:w="3120" w:type="dxa"/>
          </w:tcPr>
          <w:p>
            <w:pPr/>
            <w:r>
              <w:t xml:space="preserve">From the backend log or a load test</w:t>
            </w:r>
          </w:p>
        </w:tc>
      </w:tr>
      <w:tr>
        <w:tc>
          <w:tcPr>
            <w:tcW w:w="3120" w:type="dxa"/>
          </w:tcPr>
          <w:p>
            <w:pPr/>
            <w:r>
              <w:t xml:space="preserve">SUS score and Likert items</w:t>
            </w:r>
          </w:p>
        </w:tc>
        <w:tc>
          <w:tcPr>
            <w:tcW w:w="3120" w:type="dxa"/>
          </w:tcPr>
          <w:p>
            <w:pPr/>
            <w:r>
              <w:t xml:space="preserve">Usability and perceived usefulness</w:t>
            </w:r>
          </w:p>
        </w:tc>
        <w:tc>
          <w:tcPr>
            <w:tcW w:w="3120" w:type="dxa"/>
          </w:tcPr>
          <w:p>
            <w:pPr/>
            <w:r>
              <w:t xml:space="preserve">Questionnaire</w:t>
            </w:r>
          </w:p>
        </w:tc>
      </w:tr>
    </w:tbl>
    <w:p>
      <w:pPr/>
      <w:r>
        <w:t xml:space="preserve">The app shows in-sample accuracy (</w:t>
      </w:r>
      <w:r>
        <w:rPr>
          <w:rStyle w:val="CodeChar"/>
        </w:rPr>
        <w:t xml:space="preserve">accuracy</w:t>
      </w:r>
      <w:r>
        <w:t xml:space="preserve">) next to a single-holdout </w:t>
      </w:r>
      <w:r>
        <w:rPr>
          <w:rStyle w:val="CodeChar"/>
        </w:rPr>
        <w:t xml:space="preserve">backtest</w:t>
      </w:r>
      <w:r>
        <w:t xml:space="preserve">. In the thesis, report out-of-sample numbers only. In-sample error is optimistic and examiners will spot it.</w:t>
      </w:r>
    </w:p>
    <w:p>
      <w:pPr/>
      <w:r>
        <w:rPr>
          <w:b/>
        </w:rPr>
        <w:t xml:space="preserve">3.5 Data analysis.</w:t>
      </w:r>
      <w:r>
        <w:t xml:space="preserve"> Compare the methods per horizon and per history length, using means with standard deviation across folds. If you have enough folds, use a Diebold-Mariano test or a Wilcoxon signed-rank test on paired absolute errors. Analyse the interviews with simple thematic coding.</w:t>
      </w:r>
    </w:p>
    <w:p>
      <w:pPr/>
      <w:r>
        <w:rPr>
          <w:b/>
        </w:rPr>
        <w:t xml:space="preserve">3.6 Ethics, privacy, security and responsible AI.</w:t>
      </w:r>
      <w:r>
        <w:t xml:space="preserve"> Business financials are sensitive: use anonymised totals and get written consent; data never leaves the branch (all queries filter on </w:t>
      </w:r>
      <w:r>
        <w:rPr>
          <w:rStyle w:val="CodeChar"/>
        </w:rPr>
        <w:t xml:space="preserve">shopId</w:t>
      </w:r>
      <w:r>
        <w:t xml:space="preserve"> and </w:t>
      </w:r>
      <w:r>
        <w:rPr>
          <w:rStyle w:val="CodeChar"/>
        </w:rPr>
        <w:t xml:space="preserve">branchId</w:t>
      </w:r>
      <w:r>
        <w:t xml:space="preserve"> from the JWT); the Python service is internal and has no direct public route; the UI shows uncertainty and a data-quality message so owners don't over-trust the numbers. Mention whether SLIIT ethics approval was needed for the user study.</w:t>
      </w:r>
    </w:p>
    <w:p>
      <w:pPr/>
      <w:r>
        <w:rPr>
          <w:b/>
        </w:rPr>
        <w:t xml:space="preserve">3.7 Reproducibility and research artefacts.</w:t>
      </w:r>
      <w:r>
        <w:t xml:space="preserve"> List the repository, the commit hash you evaluated, </w:t>
      </w:r>
      <w:r>
        <w:rPr>
          <w:rStyle w:val="CodeChar"/>
        </w:rPr>
        <w:t xml:space="preserve">requirements.txt</w:t>
      </w:r>
      <w:r>
        <w:t xml:space="preserve"> versions (statsmodels 0.14.6, numpy 2.5.2, FastAPI 0.141.1), the seed value and command, and the evaluation script and its output CSV. Put the CSV in Appendix A.</w:t>
      </w:r>
    </w:p>
    <w:p>
      <w:pPr>
        <w:pStyle w:val="Heading2"/>
      </w:pPr>
      <w:r>
        <w:t xml:space="preserve">Chapter 4 Product and solution design</w:t>
      </w:r>
    </w:p>
    <w:p>
      <w:pPr/>
      <w:r>
        <w:t xml:space="preserve">Chapter 4 justifies every design choice with an alternative you rejected. That reasoning is what lifts the chapter above a description of the code.</w:t>
      </w:r>
    </w:p>
    <w:p>
      <w:pPr/>
      <w:r>
        <w:rPr>
          <w:b/>
        </w:rPr>
        <w:t xml:space="preserve">4.1 Requirements.</w:t>
      </w:r>
      <w:r>
        <w:t xml:space="preserve"> Split them into a functional and a non-functional table, each with an ID (FR1, NFR1), a description, a priority, and the test that verifies it in Chapter 5. Starting set: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FR1</w:t>
            </w:r>
          </w:p>
        </w:tc>
        <w:tc>
          <w:tcPr>
            <w:tcW w:w="4680" w:type="dxa"/>
          </w:tcPr>
          <w:p>
            <w:pPr/>
            <w:r>
              <w:t xml:space="preserve">Aggregate completed orders and expenses into monthly totals per branch, in Asia/Colombo time</w:t>
            </w:r>
          </w:p>
        </w:tc>
      </w:tr>
      <w:tr>
        <w:tc>
          <w:tcPr>
            <w:tcW w:w="4680" w:type="dxa"/>
          </w:tcPr>
          <w:p>
            <w:pPr/>
            <w:r>
              <w:t xml:space="preserve">FR2</w:t>
            </w:r>
          </w:p>
        </w:tc>
        <w:tc>
          <w:tcPr>
            <w:tcW w:w="4680" w:type="dxa"/>
          </w:tcPr>
          <w:p>
            <w:pPr/>
            <w:r>
              <w:t xml:space="preserve">Exclude the partial current month from training, but project its month-end total</w:t>
            </w:r>
          </w:p>
        </w:tc>
      </w:tr>
      <w:tr>
        <w:tc>
          <w:tcPr>
            <w:tcW w:w="4680" w:type="dxa"/>
          </w:tcPr>
          <w:p>
            <w:pPr/>
            <w:r>
              <w:t xml:space="preserve">FR3</w:t>
            </w:r>
          </w:p>
        </w:tc>
        <w:tc>
          <w:tcPr>
            <w:tcW w:w="4680" w:type="dxa"/>
          </w:tcPr>
          <w:p>
            <w:pPr/>
            <w:r>
              <w:t xml:space="preserve">Choose the model by the number of complete months: none below 3, moving average at 3, damped Holt linear from 4, damped Holt-Winters from 24</w:t>
            </w:r>
          </w:p>
        </w:tc>
      </w:tr>
      <w:tr>
        <w:tc>
          <w:tcPr>
            <w:tcW w:w="4680" w:type="dxa"/>
          </w:tcPr>
          <w:p>
            <w:pPr/>
            <w:r>
              <w:t xml:space="preserve">FR4</w:t>
            </w:r>
          </w:p>
        </w:tc>
        <w:tc>
          <w:tcPr>
            <w:tcW w:w="4680" w:type="dxa"/>
          </w:tcPr>
          <w:p>
            <w:pPr/>
            <w:r>
              <w:t xml:space="preserve">Forecast sales and costs for 12 months; derive profit and margin</w:t>
            </w:r>
          </w:p>
        </w:tc>
      </w:tr>
      <w:tr>
        <w:tc>
          <w:tcPr>
            <w:tcW w:w="4680" w:type="dxa"/>
          </w:tcPr>
          <w:p>
            <w:pPr/>
            <w:r>
              <w:t xml:space="preserve">FR5</w:t>
            </w:r>
          </w:p>
        </w:tc>
        <w:tc>
          <w:tcPr>
            <w:tcW w:w="4680" w:type="dxa"/>
          </w:tcPr>
          <w:p>
            <w:pPr/>
            <w:r>
              <w:t xml:space="preserve">Summarise 1, 3, 6 and 12-month horizons with 95% ranges</w:t>
            </w:r>
          </w:p>
        </w:tc>
      </w:tr>
      <w:tr>
        <w:tc>
          <w:tcPr>
            <w:tcW w:w="4680" w:type="dxa"/>
          </w:tcPr>
          <w:p>
            <w:pPr/>
            <w:r>
              <w:t xml:space="preserve">FR6</w:t>
            </w:r>
          </w:p>
        </w:tc>
        <w:tc>
          <w:tcPr>
            <w:tcW w:w="4680" w:type="dxa"/>
          </w:tcPr>
          <w:p>
            <w:pPr/>
            <w:r>
              <w:t xml:space="preserve">Report accuracy (MAPE, RMSE, MAE) and a backtest</w:t>
            </w:r>
          </w:p>
        </w:tc>
      </w:tr>
      <w:tr>
        <w:tc>
          <w:tcPr>
            <w:tcW w:w="4680" w:type="dxa"/>
          </w:tcPr>
          <w:p>
            <w:pPr/>
            <w:r>
              <w:t xml:space="preserve">FR7</w:t>
            </w:r>
          </w:p>
        </w:tc>
        <w:tc>
          <w:tcPr>
            <w:tcW w:w="4680" w:type="dxa"/>
          </w:tcPr>
          <w:p>
            <w:pPr/>
            <w:r>
              <w:t xml:space="preserve">Show a plain-language data-quality message</w:t>
            </w:r>
          </w:p>
        </w:tc>
      </w:tr>
      <w:tr>
        <w:tc>
          <w:tcPr>
            <w:tcW w:w="4680" w:type="dxa"/>
          </w:tcPr>
          <w:p>
            <w:pPr/>
            <w:r>
              <w:t xml:space="preserve">NFR1</w:t>
            </w:r>
          </w:p>
        </w:tc>
        <w:tc>
          <w:tcPr>
            <w:tcW w:w="4680" w:type="dxa"/>
          </w:tcPr>
          <w:p>
            <w:pPr/>
            <w:r>
              <w:t xml:space="preserve">Only authenticated users see their own branch's data</w:t>
            </w:r>
          </w:p>
        </w:tc>
      </w:tr>
      <w:tr>
        <w:tc>
          <w:tcPr>
            <w:tcW w:w="4680" w:type="dxa"/>
          </w:tcPr>
          <w:p>
            <w:pPr/>
            <w:r>
              <w:t xml:space="preserve">NFR2</w:t>
            </w:r>
          </w:p>
        </w:tc>
        <w:tc>
          <w:tcPr>
            <w:tcW w:w="4680" w:type="dxa"/>
          </w:tcPr>
          <w:p>
            <w:pPr/>
            <w:r>
              <w:t xml:space="preserve">Response within the 25 s analysis-service timeout; set your own target, such as under 2 s</w:t>
            </w:r>
          </w:p>
        </w:tc>
      </w:tr>
      <w:tr>
        <w:tc>
          <w:tcPr>
            <w:tcW w:w="4680" w:type="dxa"/>
          </w:tcPr>
          <w:p>
            <w:pPr/>
            <w:r>
              <w:t xml:space="preserve">NFR3</w:t>
            </w:r>
          </w:p>
        </w:tc>
        <w:tc>
          <w:tcPr>
            <w:tcW w:w="4680" w:type="dxa"/>
          </w:tcPr>
          <w:p>
            <w:pPr/>
            <w:r>
              <w:t xml:space="preserve">Same input always gives the same output (deterministic)</w:t>
            </w:r>
          </w:p>
        </w:tc>
      </w:tr>
      <w:tr>
        <w:tc>
          <w:tcPr>
            <w:tcW w:w="4680" w:type="dxa"/>
          </w:tcPr>
          <w:p>
            <w:pPr/>
            <w:r>
              <w:t xml:space="preserve">NFR4</w:t>
            </w:r>
          </w:p>
        </w:tc>
        <w:tc>
          <w:tcPr>
            <w:tcW w:w="4680" w:type="dxa"/>
          </w:tcPr>
          <w:p>
            <w:pPr/>
            <w:r>
              <w:t xml:space="preserve">Understandable by a non-technical owner</w:t>
            </w:r>
          </w:p>
        </w:tc>
      </w:tr>
    </w:tbl>
    <w:p>
      <w:pPr/>
      <w:r>
        <w:rPr>
          <w:b/>
        </w:rPr>
        <w:t xml:space="preserve">4.2 Component architecture within the complete solution.</w:t>
      </w:r>
      <w:r>
        <w:t xml:space="preserve"> Use the diagram at the end of this chapter. Show how your component shares the Python analysis service and its client with Novelties 2 to 4, and the auth, History and CostExpense models with the core POS.</w:t>
      </w:r>
    </w:p>
    <w:p>
      <w:pPr/>
      <w:r>
        <w:rPr>
          <w:b/>
        </w:rPr>
        <w:t xml:space="preserve">4.3 Design alternatives and decisions.</w:t>
      </w:r>
      <w:r>
        <w:t xml:space="preserve"> One table: decision, options considered, choice, and the reason why.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Decision</w:t>
            </w:r>
          </w:p>
        </w:tc>
        <w:tc>
          <w:tcPr>
            <w:tcW w:w="2340" w:type="dxa"/>
            <w:shd w:val="clear" w:color="auto" w:fill="F2F2F2"/>
          </w:tcPr>
          <w:p>
            <w:pPr/>
            <w:r>
              <w:t xml:space="preserve">Options</w:t>
            </w:r>
          </w:p>
        </w:tc>
        <w:tc>
          <w:tcPr>
            <w:tcW w:w="2340" w:type="dxa"/>
            <w:shd w:val="clear" w:color="auto" w:fill="F2F2F2"/>
          </w:tcPr>
          <w:p>
            <w:pPr/>
            <w:r>
              <w:t xml:space="preserve">Chosen</w:t>
            </w:r>
          </w:p>
        </w:tc>
        <w:tc>
          <w:tcPr>
            <w:tcW w:w="2340" w:type="dxa"/>
            <w:shd w:val="clear" w:color="auto" w:fill="F2F2F2"/>
          </w:tcPr>
          <w:p>
            <w:pPr/>
            <w:r>
              <w:t xml:space="preserve">Why</w:t>
            </w:r>
          </w:p>
        </w:tc>
      </w:tr>
      <w:tr>
        <w:tc>
          <w:tcPr>
            <w:tcW w:w="2340" w:type="dxa"/>
          </w:tcPr>
          <w:p>
            <w:pPr/>
            <w:r>
              <w:t xml:space="preserve">Where the model runs</w:t>
            </w:r>
          </w:p>
        </w:tc>
        <w:tc>
          <w:tcPr>
            <w:tcW w:w="2340" w:type="dxa"/>
          </w:tcPr>
          <w:p>
            <w:pPr/>
            <w:r>
              <w:t xml:space="preserve">Hand-written JS (the original </w:t>
            </w:r>
            <w:r>
              <w:rPr>
                <w:rStyle w:val="CodeChar"/>
              </w:rPr>
              <w:t xml:space="preserve">forecastEngine.js</w:t>
            </w:r>
            <w:r>
              <w:t xml:space="preserve"> grid search) or a Python service</w:t>
            </w:r>
          </w:p>
        </w:tc>
        <w:tc>
          <w:tcPr>
            <w:tcW w:w="2340" w:type="dxa"/>
          </w:tcPr>
          <w:p>
            <w:pPr/>
            <w:r>
              <w:t xml:space="preserve">Python FastAPI with statsmodels</w:t>
            </w:r>
          </w:p>
        </w:tc>
        <w:tc>
          <w:tcPr>
            <w:tcW w:w="2340" w:type="dxa"/>
          </w:tcPr>
          <w:p>
            <w:pPr/>
            <w:r>
              <w:t xml:space="preserve">Likelihood-based parameter fitting and a mature library. The cost: an extra service, and no fallback, so the endpoint returns 500 if Python is down</w:t>
            </w:r>
          </w:p>
        </w:tc>
      </w:tr>
      <w:tr>
        <w:tc>
          <w:tcPr>
            <w:tcW w:w="2340" w:type="dxa"/>
          </w:tcPr>
          <w:p>
            <w:pPr/>
            <w:r>
              <w:t xml:space="preserve">Granularity</w:t>
            </w:r>
          </w:p>
        </w:tc>
        <w:tc>
          <w:tcPr>
            <w:tcW w:w="2340" w:type="dxa"/>
          </w:tcPr>
          <w:p>
            <w:pPr/>
            <w:r>
              <w:t xml:space="preserve">Daily, weekly, monthly</w:t>
            </w:r>
          </w:p>
        </w:tc>
        <w:tc>
          <w:tcPr>
            <w:tcW w:w="2340" w:type="dxa"/>
          </w:tcPr>
          <w:p>
            <w:pPr/>
            <w:r>
              <w:t xml:space="preserve">Monthly</w:t>
            </w:r>
          </w:p>
        </w:tc>
        <w:tc>
          <w:tcPr>
            <w:tcW w:w="2340" w:type="dxa"/>
          </w:tcPr>
          <w:p>
            <w:pPr/>
            <w:r>
              <w:t xml:space="preserve">Matches owner planning cycles and smooths daily noise</w:t>
            </w:r>
          </w:p>
        </w:tc>
      </w:tr>
      <w:tr>
        <w:tc>
          <w:tcPr>
            <w:tcW w:w="2340" w:type="dxa"/>
          </w:tcPr>
          <w:p>
            <w:pPr/>
            <w:r>
              <w:t xml:space="preserve">Model family</w:t>
            </w:r>
          </w:p>
        </w:tc>
        <w:tc>
          <w:tcPr>
            <w:tcW w:w="2340" w:type="dxa"/>
          </w:tcPr>
          <w:p>
            <w:pPr/>
            <w:r>
              <w:t xml:space="preserve">ARIMA, Prophet, LSTM, exponential smoothing</w:t>
            </w:r>
          </w:p>
        </w:tc>
        <w:tc>
          <w:tcPr>
            <w:tcW w:w="2340" w:type="dxa"/>
          </w:tcPr>
          <w:p>
            <w:pPr/>
            <w:r>
              <w:t xml:space="preserve">Exponential smoothing ladder</w:t>
            </w:r>
          </w:p>
        </w:tc>
        <w:tc>
          <w:tcPr>
            <w:tcW w:w="2340" w:type="dxa"/>
          </w:tcPr>
          <w:p>
            <w:pPr/>
            <w:r>
              <w:t xml:space="preserve">Works with short series, is interpretable, and does well in the M competitions</w:t>
            </w:r>
          </w:p>
        </w:tc>
      </w:tr>
      <w:tr>
        <w:tc>
          <w:tcPr>
            <w:tcW w:w="2340" w:type="dxa"/>
          </w:tcPr>
          <w:p>
            <w:pPr/>
            <w:r>
              <w:t xml:space="preserve">Seasonality form</w:t>
            </w:r>
          </w:p>
        </w:tc>
        <w:tc>
          <w:tcPr>
            <w:tcW w:w="2340" w:type="dxa"/>
          </w:tcPr>
          <w:p>
            <w:pPr/>
            <w:r>
              <w:t xml:space="preserve">Additive or multiplicative</w:t>
            </w:r>
          </w:p>
        </w:tc>
        <w:tc>
          <w:tcPr>
            <w:tcW w:w="2340" w:type="dxa"/>
          </w:tcPr>
          <w:p>
            <w:pPr/>
            <w:r>
              <w:t xml:space="preserve">Additive, damped trend</w:t>
            </w:r>
          </w:p>
        </w:tc>
        <w:tc>
          <w:tcPr>
            <w:tcW w:w="2340" w:type="dxa"/>
          </w:tcPr>
          <w:p>
            <w:pPr/>
            <w:r>
              <w:t xml:space="preserve">Stable on short series; damping stops 12-month forecasts running away. Test multiplicative as an extension</w:t>
            </w:r>
          </w:p>
        </w:tc>
      </w:tr>
      <w:tr>
        <w:tc>
          <w:tcPr>
            <w:tcW w:w="2340" w:type="dxa"/>
          </w:tcPr>
          <w:p>
            <w:pPr/>
            <w:r>
              <w:t xml:space="preserve">Short history</w:t>
            </w:r>
          </w:p>
        </w:tc>
        <w:tc>
          <w:tcPr>
            <w:tcW w:w="2340" w:type="dxa"/>
          </w:tcPr>
          <w:p>
            <w:pPr/>
            <w:r>
              <w:t xml:space="preserve">Refuse to forecast, or degrade gracefully</w:t>
            </w:r>
          </w:p>
        </w:tc>
        <w:tc>
          <w:tcPr>
            <w:tcW w:w="2340" w:type="dxa"/>
          </w:tcPr>
          <w:p>
            <w:pPr/>
            <w:r>
              <w:t xml:space="preserve">Ladder by data size</w:t>
            </w:r>
          </w:p>
        </w:tc>
        <w:tc>
          <w:tcPr>
            <w:tcW w:w="2340" w:type="dxa"/>
          </w:tcPr>
          <w:p>
            <w:pPr/>
            <w:r>
              <w:t xml:space="preserve">New shops get a usable forecast from month 3</w:t>
            </w:r>
          </w:p>
        </w:tc>
      </w:tr>
      <w:tr>
        <w:tc>
          <w:tcPr>
            <w:tcW w:w="2340" w:type="dxa"/>
          </w:tcPr>
          <w:p>
            <w:pPr/>
            <w:r>
              <w:t xml:space="preserve">Profit</w:t>
            </w:r>
          </w:p>
        </w:tc>
        <w:tc>
          <w:tcPr>
            <w:tcW w:w="2340" w:type="dxa"/>
          </w:tcPr>
          <w:p>
            <w:pPr/>
            <w:r>
              <w:t xml:space="preserve">Model profit directly, or derive it</w:t>
            </w:r>
          </w:p>
        </w:tc>
        <w:tc>
          <w:tcPr>
            <w:tcW w:w="2340" w:type="dxa"/>
          </w:tcPr>
          <w:p>
            <w:pPr/>
            <w:r>
              <w:t xml:space="preserve">Sales and costs modelled separately, profit = sales − costs</w:t>
            </w:r>
          </w:p>
        </w:tc>
        <w:tc>
          <w:tcPr>
            <w:tcW w:w="2340" w:type="dxa"/>
          </w:tcPr>
          <w:p>
            <w:pPr/>
            <w:r>
              <w:t xml:space="preserve">Each series has its own pattern</w:t>
            </w:r>
          </w:p>
        </w:tc>
      </w:tr>
      <w:tr>
        <w:tc>
          <w:tcPr>
            <w:tcW w:w="2340" w:type="dxa"/>
          </w:tcPr>
          <w:p>
            <w:pPr/>
            <w:r>
              <w:t xml:space="preserve">Prediction range</w:t>
            </w:r>
          </w:p>
        </w:tc>
        <w:tc>
          <w:tcPr>
            <w:tcW w:w="2340" w:type="dxa"/>
          </w:tcPr>
          <w:p>
            <w:pPr/>
            <w:r>
              <w:t xml:space="preserve">Model-based simulation, or residual heuristic</w:t>
            </w:r>
          </w:p>
        </w:tc>
        <w:tc>
          <w:tcPr>
            <w:tcW w:w="2340" w:type="dxa"/>
          </w:tcPr>
          <w:p>
            <w:pPr/>
            <w:r>
              <w:t xml:space="preserve">1.96 × residual SD × √h</w:t>
            </w:r>
          </w:p>
        </w:tc>
        <w:tc>
          <w:tcPr>
            <w:tcW w:w="2340" w:type="dxa"/>
          </w:tcPr>
          <w:p>
            <w:pPr/>
            <w:r>
              <w:t xml:space="preserve">Simple and model-agnostic. Its coverage must be checked in Chapter 6</w:t>
            </w:r>
          </w:p>
        </w:tc>
      </w:tr>
      <w:tr>
        <w:tc>
          <w:tcPr>
            <w:tcW w:w="2340" w:type="dxa"/>
          </w:tcPr>
          <w:p>
            <w:pPr/>
            <w:r>
              <w:t xml:space="preserve">Horizon totals</w:t>
            </w:r>
          </w:p>
        </w:tc>
        <w:tc>
          <w:tcPr>
            <w:tcW w:w="2340" w:type="dxa"/>
          </w:tcPr>
          <w:p>
            <w:pPr/>
            <w:r>
              <w:t xml:space="preserve">Combine variances, or sum the bounds</w:t>
            </w:r>
          </w:p>
        </w:tc>
        <w:tc>
          <w:tcPr>
            <w:tcW w:w="2340" w:type="dxa"/>
          </w:tcPr>
          <w:p>
            <w:pPr/>
            <w:r>
              <w:t xml:space="preserve">Sum the bounds</w:t>
            </w:r>
          </w:p>
        </w:tc>
        <w:tc>
          <w:tcPr>
            <w:tcW w:w="2340" w:type="dxa"/>
          </w:tcPr>
          <w:p>
            <w:pPr/>
            <w:r>
              <w:t xml:space="preserve">Deliberately conservative: assumes monthly errors don't cancel out</w:t>
            </w:r>
          </w:p>
        </w:tc>
      </w:tr>
    </w:tbl>
    <w:p>
      <w:pPr/>
      <w:r>
        <w:rPr>
          <w:b/>
        </w:rPr>
        <w:t xml:space="preserve">4.4 Detailed design.</w:t>
      </w:r>
      <w:r>
        <w:t xml:space="preserve"> Include:</w:t>
      </w:r>
    </w:p>
    <w:p>
      <w:pPr>
        <w:pStyle w:val="ListParagraph"/>
        <w:numPr>
          <w:ilvl w:val="0"/>
          <w:numId w:val="10"/>
        </w:numPr>
      </w:pPr>
      <w:r>
        <w:t xml:space="preserve">the request sequence diagram (app → Express → MongoDB aggregation → two parallel calls to </w:t>
      </w:r>
      <w:r>
        <w:rPr>
          <w:rStyle w:val="CodeChar"/>
        </w:rPr>
        <w:t xml:space="preserve">POST /forecast</w:t>
      </w:r>
      <w:r>
        <w:t xml:space="preserve"> → response);</w:t>
      </w:r>
    </w:p>
    <w:p>
      <w:pPr>
        <w:pStyle w:val="ListParagraph"/>
        <w:numPr>
          <w:ilvl w:val="0"/>
          <w:numId w:val="10"/>
        </w:numPr>
      </w:pPr>
      <w:r>
        <w:t xml:space="preserve">the model-selection algorithm as pseudocode, including the fallback chain (Holt-Winters → Holt linear → linear regression on any fitting error);</w:t>
      </w:r>
    </w:p>
    <w:p>
      <w:pPr>
        <w:pStyle w:val="ListParagraph"/>
        <w:numPr>
          <w:ilvl w:val="0"/>
          <w:numId w:val="10"/>
        </w:numPr>
      </w:pPr>
      <w:r>
        <w:t xml:space="preserve">the prediction-range formula as a numbered equation;</w:t>
      </w:r>
    </w:p>
    <w:p>
      <w:pPr>
        <w:pStyle w:val="ListParagraph"/>
        <w:numPr>
          <w:ilvl w:val="0"/>
          <w:numId w:val="10"/>
        </w:numPr>
      </w:pPr>
      <w:r>
        <w:t xml:space="preserve">the API contracts: </w:t>
      </w:r>
      <w:r>
        <w:rPr>
          <w:rStyle w:val="CodeChar"/>
        </w:rPr>
        <w:t xml:space="preserve">GET /api/forecast/sales-cost</w:t>
      </w:r>
      <w:r>
        <w:t xml:space="preserve"> response fields (</w:t>
      </w:r>
      <w:r>
        <w:rPr>
          <w:rStyle w:val="CodeChar"/>
        </w:rPr>
        <w:t xml:space="preserve">history</w:t>
      </w:r>
      <w:r>
        <w:t xml:space="preserve">, </w:t>
      </w:r>
      <w:r>
        <w:rPr>
          <w:rStyle w:val="CodeChar"/>
        </w:rPr>
        <w:t xml:space="preserve">currentMonth</w:t>
      </w:r>
      <w:r>
        <w:t xml:space="preserve">, </w:t>
      </w:r>
      <w:r>
        <w:rPr>
          <w:rStyle w:val="CodeChar"/>
        </w:rPr>
        <w:t xml:space="preserve">forecast.horizons</w:t>
      </w:r>
      <w:r>
        <w:t xml:space="preserve">, </w:t>
      </w:r>
      <w:r>
        <w:rPr>
          <w:rStyle w:val="CodeChar"/>
        </w:rPr>
        <w:t xml:space="preserve">models</w:t>
      </w:r>
      <w:r>
        <w:t xml:space="preserve">, </w:t>
      </w:r>
      <w:r>
        <w:rPr>
          <w:rStyle w:val="CodeChar"/>
        </w:rPr>
        <w:t xml:space="preserve">dataQuality</w:t>
      </w:r>
      <w:r>
        <w:t xml:space="preserve">) and the Pydantic </w:t>
      </w:r>
      <w:r>
        <w:rPr>
          <w:rStyle w:val="CodeChar"/>
        </w:rPr>
        <w:t xml:space="preserve">ForecastRequest</w:t>
      </w:r>
      <w:r>
        <w:t xml:space="preserve"> and </w:t>
      </w:r>
      <w:r>
        <w:rPr>
          <w:rStyle w:val="CodeChar"/>
        </w:rPr>
        <w:t xml:space="preserve">ForecastResponse</w:t>
      </w:r>
      <w:r>
        <w:t xml:space="preserve"> models;</w:t>
      </w:r>
    </w:p>
    <w:p>
      <w:pPr>
        <w:pStyle w:val="ListParagraph"/>
        <w:numPr>
          <w:ilvl w:val="0"/>
          <w:numId w:val="10"/>
        </w:numPr>
      </w:pPr>
      <w:r>
        <w:t xml:space="preserve">the data fields read: </w:t>
      </w:r>
      <w:r>
        <w:rPr>
          <w:rStyle w:val="CodeChar"/>
        </w:rPr>
        <w:t xml:space="preserve">History.totalAmount</w:t>
      </w:r>
      <w:r>
        <w:t xml:space="preserve">, </w:t>
      </w:r>
      <w:r>
        <w:rPr>
          <w:rStyle w:val="CodeChar"/>
        </w:rPr>
        <w:t xml:space="preserve">checkOutTime</w:t>
      </w:r>
      <w:r>
        <w:t xml:space="preserve">, </w:t>
      </w:r>
      <w:r>
        <w:rPr>
          <w:rStyle w:val="CodeChar"/>
        </w:rPr>
        <w:t xml:space="preserve">status = 'submited'</w:t>
      </w:r>
      <w:r>
        <w:t xml:space="preserve">; </w:t>
      </w:r>
      <w:r>
        <w:rPr>
          <w:rStyle w:val="CodeChar"/>
        </w:rPr>
        <w:t xml:space="preserve">CostExpense.amount</w:t>
      </w:r>
      <w:r>
        <w:t xml:space="preserve">, </w:t>
      </w:r>
      <w:r>
        <w:rPr>
          <w:rStyle w:val="CodeChar"/>
        </w:rPr>
        <w:t xml:space="preserve">purchaseDate</w:t>
      </w:r>
      <w:r>
        <w:t xml:space="preserve">;</w:t>
      </w:r>
    </w:p>
    <w:p>
      <w:pPr>
        <w:pStyle w:val="ListParagraph"/>
        <w:numPr>
          <w:ilvl w:val="0"/>
          <w:numId w:val="10"/>
        </w:numPr>
      </w:pPr>
      <w:r>
        <w:t xml:space="preserve">UI design: screenshots of the horizon selector, prediction cards, chart, monthly breakdown and accuracy panel in </w:t>
      </w:r>
      <w:r>
        <w:rPr>
          <w:rStyle w:val="CodeChar"/>
        </w:rPr>
        <w:t xml:space="preserve">ForecastSection.tsx</w:t>
      </w:r>
      <w:r>
        <w:t xml:space="preserve">.</w:t>
      </w:r>
    </w:p>
    <w:p>
      <w:pPr/>
      <w:r>
        <w:rPr>
          <w:b/>
        </w:rPr>
        <w:t xml:space="preserve">4.5 Standards and professional practice.</w:t>
      </w:r>
      <w:r>
        <w:t xml:space="preserve"> REST conventions, JWT (RFC 7519), ISO 8601 dates, Pydantic schema validation, requirements written following ISO/IEC/IEEE 29148, OWASP API Security Top 10 for the endpoint, Git branching per member (</w:t>
      </w:r>
      <w:r>
        <w:rPr>
          <w:rStyle w:val="CodeChar"/>
        </w:rPr>
        <w:t xml:space="preserve">IT22544872_chamath</w:t>
      </w:r>
      <w:r>
        <w:t xml:space="preserve">), and PEP 8 and ESLint code style.</w:t>
      </w:r>
    </w:p>
    <w:p>
      <w:pPr/>
      <w:r>
        <w:drawing>
          <wp:inline distT="0" distB="0" distL="0" distR="0">
            <wp:extent cx="5486400" cy="3543300"/>
            <wp:docPr id="1" name="image1" descr="Novelty 1 component architecture · app, Node backend, Python service"/>
            <a:graphic xmlns:a="http://schemas.openxmlformats.org/drawingml/2006/main">
              <a:graphicData uri="http://schemas.openxmlformats.org/drawingml/2006/picture">
                <pic:pic xmlns:pic="http://schemas.openxmlformats.org/drawingml/2006/picture">
                  <pic:nvPicPr>
                    <pic:cNvPr id="1" name="image1" descr="Novelty 1 component architecture · app, Node backend, Python service"/>
                    <pic:cNvPicPr/>
                  </pic:nvPicPr>
                  <pic:blipFill>
                    <a:blip r:embed="rId3"/>
                    <a:stretch>
                      <a:fillRect/>
                    </a:stretch>
                  </pic:blipFill>
                  <pic:spPr>
                    <a:xfrm>
                      <a:off x="0" y="0"/>
                      <a:ext cx="5486400" cy="3543300"/>
                    </a:xfrm>
                    <a:prstGeom prst="rect">
                      <a:avLst/>
                    </a:prstGeom>
                  </pic:spPr>
                </pic:pic>
              </a:graphicData>
            </a:graphic>
          </wp:inline>
        </w:drawing>
      </w:r>
    </w:p>
    <w:p>
      <w:pPr/>
      <w:r>
        <w:t xml:space="preserve">Novelty 1 component architecture · app, Node backend, Python service</w:t>
      </w:r>
    </w:p>
    <w:p>
      <w:pPr/>
      <w:r>
        <w:t xml:space="preserve">Redraw this as Figure 4.x in your thesis (draw.io or Visio). The ladder thresholds come from </w:t>
      </w:r>
      <w:r>
        <w:rPr>
          <w:rStyle w:val="CodeChar"/>
        </w:rPr>
        <w:t xml:space="preserve">forecasting.py</w:t>
      </w:r>
      <w:r>
        <w:t xml:space="preserve"> and match FR3.</w:t>
      </w:r>
    </w:p>
    <w:p>
      <w:pPr>
        <w:pStyle w:val="Heading2"/>
      </w:pPr>
      <w:r>
        <w:t xml:space="preserve">Chapter 5 Implementation, integration and testing</w:t>
      </w:r>
    </w:p>
    <w:p>
      <w:pPr/>
      <w:r>
        <w:t xml:space="preserve">The repository currently has </w:t>
      </w:r>
      <w:r>
        <w:rPr>
          <w:b/>
        </w:rPr>
        <w:t xml:space="preserve">no automated tests</w:t>
      </w:r>
      <w:r>
        <w:t xml:space="preserve"> for this component, and "Verification and software testing" is a whole section. Writing a small pytest and Jest suite is the most valuable thing to do before writing this chapter.</w:t>
      </w:r>
    </w:p>
    <w:p>
      <w:pPr/>
      <w:r>
        <w:rPr>
          <w:b/>
        </w:rPr>
        <w:t xml:space="preserve">5.1 Development environment and technology stack.</w:t>
      </w:r>
      <w:r>
        <w:t xml:space="preserve"> A table of layer, technology and version. Backend: Node.js 20+, Express, Mongoose, axios. Analysis service: Python 3.14 (from the </w:t>
      </w:r>
      <w:r>
        <w:rPr>
          <w:rStyle w:val="CodeChar"/>
        </w:rPr>
        <w:t xml:space="preserve">.venv</w:t>
      </w:r>
      <w:r>
        <w:t xml:space="preserve">), FastAPI 0.141.1, Pydantic 2.13.4, NumPy 2.5.2, statsmodels 0.14.6, uvicorn. Mobile: Expo / React Native, React Native Paper, react-native-chart-kit. Database: MongoDB. Tools: VS Code, Git/GitHub, Postman.</w:t>
      </w:r>
    </w:p>
    <w:p>
      <w:pPr/>
      <w:r>
        <w:rPr>
          <w:b/>
        </w:rPr>
        <w:t xml:space="preserve">5.2 Component implementation.</w:t>
      </w:r>
      <w:r>
        <w:t xml:space="preserve"> Walk through the five modules in data-flow order, with one short code excerpt each (10 to 20 lines, as a captioned figure, never a whole file):</w:t>
      </w:r>
    </w:p>
    <w:p>
      <w:pPr>
        <w:pStyle w:val="ListParagraph"/>
        <w:numPr>
          <w:ilvl w:val="0"/>
          <w:numId w:val="11"/>
        </w:numPr>
      </w:pPr>
      <w:r>
        <w:rPr>
          <w:rStyle w:val="CodeChar"/>
        </w:rPr>
        <w:t xml:space="preserve">forecastDataService.js</w:t>
      </w:r>
      <w:r>
        <w:t xml:space="preserve">: the MongoDB </w:t>
      </w:r>
      <w:r>
        <w:rPr>
          <w:rStyle w:val="CodeChar"/>
        </w:rPr>
        <w:t xml:space="preserve">$group</w:t>
      </w:r>
      <w:r>
        <w:t xml:space="preserve"> by year and month in Asia/Colombo, zero-filling gaps, trimming leading empty months, flagging the partial month.</w:t>
      </w:r>
    </w:p>
    <w:p>
      <w:pPr>
        <w:pStyle w:val="ListParagraph"/>
        <w:numPr>
          <w:ilvl w:val="0"/>
          <w:numId w:val="11"/>
        </w:numPr>
      </w:pPr>
      <w:r>
        <w:rPr>
          <w:rStyle w:val="CodeChar"/>
        </w:rPr>
        <w:t xml:space="preserve">forecastController.js</w:t>
      </w:r>
      <w:r>
        <w:t xml:space="preserve">: branch validation, two parallel calls to Python (sales and costs, horizon 13 so month 0 is the current-month projection), horizon summaries, data-quality levels.</w:t>
      </w:r>
    </w:p>
    <w:p>
      <w:pPr>
        <w:pStyle w:val="ListParagraph"/>
        <w:numPr>
          <w:ilvl w:val="0"/>
          <w:numId w:val="11"/>
        </w:numPr>
      </w:pPr>
      <w:r>
        <w:rPr>
          <w:rStyle w:val="CodeChar"/>
        </w:rPr>
        <w:t xml:space="preserve">forecastSeriesViaMl.js</w:t>
      </w:r>
      <w:r>
        <w:t xml:space="preserve"> and </w:t>
      </w:r>
      <w:r>
        <w:rPr>
          <w:rStyle w:val="CodeChar"/>
        </w:rPr>
        <w:t xml:space="preserve">analysisServiceClient.js</w:t>
      </w:r>
      <w:r>
        <w:t xml:space="preserve">: the HTTP bridge with a 25 s timeout.</w:t>
      </w:r>
    </w:p>
    <w:p>
      <w:pPr>
        <w:pStyle w:val="ListParagraph"/>
        <w:numPr>
          <w:ilvl w:val="0"/>
          <w:numId w:val="11"/>
        </w:numPr>
      </w:pPr>
      <w:r>
        <w:rPr>
          <w:rStyle w:val="CodeChar"/>
        </w:rPr>
        <w:t xml:space="preserve">forecasting.py</w:t>
      </w:r>
      <w:r>
        <w:t xml:space="preserve">: the model ladder, </w:t>
      </w:r>
      <w:r>
        <w:rPr>
          <w:rStyle w:val="CodeChar"/>
        </w:rPr>
        <w:t xml:space="preserve">ExponentialSmoothing(...).fit(optimized=True)</w:t>
      </w:r>
      <w:r>
        <w:t xml:space="preserve">, the range formula, the clipping of negative forecasts to zero, </w:t>
      </w:r>
      <w:r>
        <w:rPr>
          <w:rStyle w:val="CodeChar"/>
        </w:rPr>
        <w:t xml:space="preserve">_score_accuracy</w:t>
      </w:r>
      <w:r>
        <w:t xml:space="preserve"> and </w:t>
      </w:r>
      <w:r>
        <w:rPr>
          <w:rStyle w:val="CodeChar"/>
        </w:rPr>
        <w:t xml:space="preserve">_backtest</w:t>
      </w:r>
      <w:r>
        <w:t xml:space="preserve">.</w:t>
      </w:r>
    </w:p>
    <w:p>
      <w:pPr>
        <w:pStyle w:val="ListParagraph"/>
        <w:numPr>
          <w:ilvl w:val="0"/>
          <w:numId w:val="11"/>
        </w:numPr>
      </w:pPr>
      <w:r>
        <w:rPr>
          <w:rStyle w:val="CodeChar"/>
        </w:rPr>
        <w:t xml:space="preserve">ForecastSection.tsx</w:t>
      </w:r>
      <w:r>
        <w:t xml:space="preserve">: horizon selector, cards, chart and accuracy panel (600 lines; show screenshots, not code).</w:t>
      </w:r>
    </w:p>
    <w:p>
      <w:pPr/>
      <w:r>
        <w:t xml:space="preserve">Also cover the seed generator, since your evaluation depends on it.</w:t>
      </w:r>
    </w:p>
    <w:p>
      <w:pPr/>
      <w:r>
        <w:rPr>
          <w:b/>
        </w:rPr>
        <w:t xml:space="preserve">5.3 Integration with the other components.</w:t>
      </w:r>
      <w:r>
        <w:t xml:space="preserve"> Your component set the Node → Python split that Novelties 2 to 4 reuse: one FastAPI app (</w:t>
      </w:r>
      <w:r>
        <w:rPr>
          <w:rStyle w:val="CodeChar"/>
        </w:rPr>
        <w:t xml:space="preserve">main.py</w:t>
      </w:r>
      <w:r>
        <w:t xml:space="preserve">) mounts all four routers, and one </w:t>
      </w:r>
      <w:r>
        <w:rPr>
          <w:rStyle w:val="CodeChar"/>
        </w:rPr>
        <w:t xml:space="preserve">analysisServiceClient.js</w:t>
      </w:r>
      <w:r>
        <w:t xml:space="preserve"> serves all four. Say this explicitly; it is a group-level contribution. Also cover the shared </w:t>
      </w:r>
      <w:r>
        <w:rPr>
          <w:rStyle w:val="CodeChar"/>
        </w:rPr>
        <w:t xml:space="preserve">protect</w:t>
      </w:r>
      <w:r>
        <w:t xml:space="preserve"> middleware, the </w:t>
      </w:r>
      <w:r>
        <w:rPr>
          <w:rStyle w:val="CodeChar"/>
        </w:rPr>
        <w:t xml:space="preserve">History</w:t>
      </w:r>
      <w:r>
        <w:t xml:space="preserve"> and </w:t>
      </w:r>
      <w:r>
        <w:rPr>
          <w:rStyle w:val="CodeChar"/>
        </w:rPr>
        <w:t xml:space="preserve">CostExpense</w:t>
      </w:r>
      <w:r>
        <w:t xml:space="preserve"> models, and the Analytics screen that hosts your section.</w:t>
      </w:r>
    </w:p>
    <w:p>
      <w:pPr/>
      <w:r>
        <w:rPr>
          <w:b/>
        </w:rPr>
        <w:t xml:space="preserve">5.4 Verification and software testing.</w:t>
      </w:r>
      <w:r>
        <w:t xml:space="preserve"> Plan the tests in four levels and report them as a table: ID, description, input, expected result, actual result, pass/fail.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What to test</w:t>
            </w:r>
          </w:p>
        </w:tc>
        <w:tc>
          <w:tcPr>
            <w:tcW w:w="3120" w:type="dxa"/>
            <w:shd w:val="clear" w:color="auto" w:fill="F2F2F2"/>
          </w:tcPr>
          <w:p>
            <w:pPr/>
            <w:r>
              <w:t xml:space="preserve">Tool</w:t>
            </w:r>
          </w:p>
        </w:tc>
      </w:tr>
      <w:tr>
        <w:tc>
          <w:tcPr>
            <w:tcW w:w="3120" w:type="dxa"/>
          </w:tcPr>
          <w:p>
            <w:pPr/>
            <w:r>
              <w:t xml:space="preserve">Unit (Python)</w:t>
            </w:r>
          </w:p>
        </w:tc>
        <w:tc>
          <w:tcPr>
            <w:tcW w:w="3120" w:type="dxa"/>
          </w:tcPr>
          <w:p>
            <w:pPr/>
            <w:r>
              <w:t xml:space="preserve">Fewer than 3 points → </w:t>
            </w:r>
            <w:r>
              <w:rPr>
                <w:rStyle w:val="CodeChar"/>
              </w:rPr>
              <w:t xml:space="preserve">insufficient_data</w:t>
            </w:r>
            <w:r>
              <w:t xml:space="preserve">; 3 → moving average; 4 to 23 → Holt linear; 24+ → Holt-Winters; no negative forecasts; lower ≤ predicted ≤ upper; range widens with horizon; MAPE skips zero actuals; backtest is </w:t>
            </w:r>
            <w:r>
              <w:rPr>
                <w:rStyle w:val="CodeChar"/>
              </w:rPr>
              <w:t xml:space="preserve">None</w:t>
            </w:r>
            <w:r>
              <w:t xml:space="preserve"> at exactly 24 points</w:t>
            </w:r>
          </w:p>
        </w:tc>
        <w:tc>
          <w:tcPr>
            <w:tcW w:w="3120" w:type="dxa"/>
          </w:tcPr>
          <w:p>
            <w:pPr/>
            <w:r>
              <w:t xml:space="preserve">pytest</w:t>
            </w:r>
          </w:p>
        </w:tc>
      </w:tr>
      <w:tr>
        <w:tc>
          <w:tcPr>
            <w:tcW w:w="3120" w:type="dxa"/>
          </w:tcPr>
          <w:p>
            <w:pPr/>
            <w:r>
              <w:t xml:space="preserve">Unit (Node)</w:t>
            </w:r>
          </w:p>
        </w:tc>
        <w:tc>
          <w:tcPr>
            <w:tcW w:w="3120" w:type="dxa"/>
          </w:tcPr>
          <w:p>
            <w:pPr/>
            <w:r>
              <w:t xml:space="preserve">Month arithmetic in </w:t>
            </w:r>
            <w:r>
              <w:rPr>
                <w:rStyle w:val="CodeChar"/>
              </w:rPr>
              <w:t xml:space="preserve">addMonths</w:t>
            </w:r>
            <w:r>
              <w:t xml:space="preserve"> across year ends; horizon totals; data-quality levels at 0, 2, 3, 23 and 24 months</w:t>
            </w:r>
          </w:p>
        </w:tc>
        <w:tc>
          <w:tcPr>
            <w:tcW w:w="3120" w:type="dxa"/>
          </w:tcPr>
          <w:p>
            <w:pPr/>
            <w:r>
              <w:t xml:space="preserve">Jest</w:t>
            </w:r>
          </w:p>
        </w:tc>
      </w:tr>
      <w:tr>
        <w:tc>
          <w:tcPr>
            <w:tcW w:w="3120" w:type="dxa"/>
          </w:tcPr>
          <w:p>
            <w:pPr/>
            <w:r>
              <w:t xml:space="preserve">API / integration</w:t>
            </w:r>
          </w:p>
        </w:tc>
        <w:tc>
          <w:tcPr>
            <w:tcW w:w="3120" w:type="dxa"/>
          </w:tcPr>
          <w:p>
            <w:pPr/>
            <w:r>
              <w:t xml:space="preserve">No token → 401; no branch → 400 </w:t>
            </w:r>
            <w:r>
              <w:rPr>
                <w:rStyle w:val="CodeChar"/>
              </w:rPr>
              <w:t xml:space="preserve">BRANCH_REQUIRED</w:t>
            </w:r>
            <w:r>
              <w:t xml:space="preserve">; seeded branch → 200 with all fields; Python stopped → 500</w:t>
            </w:r>
          </w:p>
        </w:tc>
        <w:tc>
          <w:tcPr>
            <w:tcW w:w="3120" w:type="dxa"/>
          </w:tcPr>
          <w:p>
            <w:pPr/>
            <w:r>
              <w:t xml:space="preserve">Jest + supertest, or Postman collection</w:t>
            </w:r>
          </w:p>
        </w:tc>
      </w:tr>
      <w:tr>
        <w:tc>
          <w:tcPr>
            <w:tcW w:w="3120" w:type="dxa"/>
          </w:tcPr>
          <w:p>
            <w:pPr/>
            <w:r>
              <w:t xml:space="preserve">System / UI</w:t>
            </w:r>
          </w:p>
        </w:tc>
        <w:tc>
          <w:tcPr>
            <w:tcW w:w="3120" w:type="dxa"/>
          </w:tcPr>
          <w:p>
            <w:pPr/>
            <w:r>
              <w:t xml:space="preserve">Manual test cases on a phone: each horizon, empty shop, short history, dark mode</w:t>
            </w:r>
          </w:p>
        </w:tc>
        <w:tc>
          <w:tcPr>
            <w:tcW w:w="3120" w:type="dxa"/>
          </w:tcPr>
          <w:p>
            <w:pPr/>
            <w:r>
              <w:t xml:space="preserve">Manual test script with screenshots</w:t>
            </w:r>
          </w:p>
        </w:tc>
      </w:tr>
    </w:tbl>
    <w:p>
      <w:pPr/>
      <w:r>
        <w:t xml:space="preserve">Add a short performance test: time 50 requests and report the median and 95th-percentile latency.</w:t>
      </w:r>
    </w:p>
    <w:p>
      <w:pPr/>
      <w:r>
        <w:rPr>
          <w:b/>
        </w:rPr>
        <w:t xml:space="preserve">5.5 Deployment and operation.</w:t>
      </w:r>
      <w:r>
        <w:t xml:space="preserve"> How to run it: </w:t>
      </w:r>
      <w:r>
        <w:rPr>
          <w:rStyle w:val="CodeChar"/>
        </w:rPr>
        <w:t xml:space="preserve">uvicorn app.main:app --port 8000</w:t>
      </w:r>
      <w:r>
        <w:t xml:space="preserve"> for the analysis service, </w:t>
      </w:r>
      <w:r>
        <w:rPr>
          <w:rStyle w:val="CodeChar"/>
        </w:rPr>
        <w:t xml:space="preserve">ANALYSIS_SERVICE_URL</w:t>
      </w:r>
      <w:r>
        <w:t xml:space="preserve"> and </w:t>
      </w:r>
      <w:r>
        <w:rPr>
          <w:rStyle w:val="CodeChar"/>
        </w:rPr>
        <w:t xml:space="preserve">ANALYSIS_SERVICE_TIMEOUT_MS</w:t>
      </w:r>
      <w:r>
        <w:t xml:space="preserve"> in the backend </w:t>
      </w:r>
      <w:r>
        <w:rPr>
          <w:rStyle w:val="CodeChar"/>
        </w:rPr>
        <w:t xml:space="preserve">.env</w:t>
      </w:r>
      <w:r>
        <w:t xml:space="preserve">, </w:t>
      </w:r>
      <w:r>
        <w:rPr>
          <w:rStyle w:val="CodeChar"/>
        </w:rPr>
        <w:t xml:space="preserve">npm run seed:forecast -- --months=36</w:t>
      </w:r>
      <w:r>
        <w:t xml:space="preserve"> for demo data. Describe the target deployment (both services on one server or in containers, the analysis service not exposed publicly) and the operational risk: no fallback when Python is down.</w:t>
      </w:r>
    </w:p>
    <w:p>
      <w:pPr>
        <w:pStyle w:val="Heading2"/>
      </w:pPr>
      <w:r>
        <w:t xml:space="preserve">Chapter 6 Results and validation</w:t>
      </w:r>
    </w:p>
    <w:p>
      <w:pPr/>
      <w:r>
        <w:t xml:space="preserve">Chapter 6 reports what happened, with numbers, and does not explain why; the explanation goes in Chapter 7. Each result should answer a research question from 1.6 or an objective from 1.5, and say which.</w:t>
      </w:r>
    </w:p>
    <w:p>
      <w:pPr/>
      <w:r>
        <w:rPr>
          <w:b/>
        </w:rPr>
        <w:t xml:space="preserve">6.1 Research results.</w:t>
      </w:r>
      <w:r>
        <w:t xml:space="preserve"> The core of the thesis. Suggested exhibits:</w:t>
      </w:r>
    </w:p>
    <w:p>
      <w:pPr>
        <w:pStyle w:val="ListParagraph"/>
        <w:numPr>
          <w:ilvl w:val="0"/>
          <w:numId w:val="12"/>
        </w:numPr>
      </w:pPr>
      <w:r>
        <w:rPr>
          <w:b/>
        </w:rPr>
        <w:t xml:space="preserve">Table:</w:t>
      </w:r>
      <w:r>
        <w:t xml:space="preserve"> MAPE, MAE, RMSE and MASE per method (ladder, naive, seasonal naive, moving average, linear regression) × horizon (1, 3, 6, 12 months), for sales and for costs. Bold the best value in each column.</w:t>
      </w:r>
    </w:p>
    <w:p>
      <w:pPr>
        <w:pStyle w:val="ListParagraph"/>
        <w:numPr>
          <w:ilvl w:val="0"/>
          <w:numId w:val="12"/>
        </w:numPr>
      </w:pPr>
      <w:r>
        <w:rPr>
          <w:b/>
        </w:rPr>
        <w:t xml:space="preserve">Line chart:</w:t>
      </w:r>
      <w:r>
        <w:t xml:space="preserve"> error against months of history (6, 12, 18, 24, 30, 35). This shows whether the ladder adapts as data grows, and is your main evidence for the gap.</w:t>
      </w:r>
    </w:p>
    <w:p>
      <w:pPr>
        <w:pStyle w:val="ListParagraph"/>
        <w:numPr>
          <w:ilvl w:val="0"/>
          <w:numId w:val="12"/>
        </w:numPr>
      </w:pPr>
      <w:r>
        <w:rPr>
          <w:b/>
        </w:rPr>
        <w:t xml:space="preserve">Line chart:</w:t>
      </w:r>
      <w:r>
        <w:t xml:space="preserve"> actual against forecast with the 95% band, for one held-out year. The examiner's most-read figure.</w:t>
      </w:r>
    </w:p>
    <w:p>
      <w:pPr>
        <w:pStyle w:val="ListParagraph"/>
        <w:numPr>
          <w:ilvl w:val="0"/>
          <w:numId w:val="12"/>
        </w:numPr>
      </w:pPr>
      <w:r>
        <w:rPr>
          <w:b/>
        </w:rPr>
        <w:t xml:space="preserve">Table:</w:t>
      </w:r>
      <w:r>
        <w:t xml:space="preserve"> interval coverage and mean width per horizon. If coverage is far from 95%, say so honestly; it becomes a finding.</w:t>
      </w:r>
    </w:p>
    <w:p>
      <w:pPr>
        <w:pStyle w:val="ListParagraph"/>
        <w:numPr>
          <w:ilvl w:val="0"/>
          <w:numId w:val="12"/>
        </w:numPr>
      </w:pPr>
      <w:r>
        <w:rPr>
          <w:b/>
        </w:rPr>
        <w:t xml:space="preserve">Table:</w:t>
      </w:r>
      <w:r>
        <w:t xml:space="preserve"> fitted parameters (α, β, γ, φ) on the 35-month dataset, compared with the seed's known seasonal multipliers (April 1.18, December 1.28). This shows the model recovered the pattern you planted.</w:t>
      </w:r>
    </w:p>
    <w:p>
      <w:pPr>
        <w:pStyle w:val="ListParagraph"/>
        <w:numPr>
          <w:ilvl w:val="0"/>
          <w:numId w:val="12"/>
        </w:numPr>
      </w:pPr>
      <w:r>
        <w:t xml:space="preserve">If you have real data, repeat the main table on it and keep it separate from the synthetic results.</w:t>
      </w:r>
    </w:p>
    <w:p>
      <w:pPr/>
      <w:r>
        <w:rPr>
          <w:b/>
        </w:rPr>
        <w:t xml:space="preserve">6.2 Product and technical results.</w:t>
      </w:r>
      <w:r>
        <w:t xml:space="preserve"> Test-case pass rate from 5.4, API latency (median and 95th percentile), and screenshots of the finished Forecast screen in each data-quality state: none, insufficient, limited and good.</w:t>
      </w:r>
    </w:p>
    <w:p>
      <w:pPr/>
      <w:r>
        <w:rPr>
          <w:b/>
        </w:rPr>
        <w:t xml:space="preserve">6.3 User or stakeholder validation.</w:t>
      </w:r>
      <w:r>
        <w:t xml:space="preserve"> Participant table (anonymised: P1 to P8, role, business type, years), SUS score with the mean and the adjective rating, Likert results as a diverging bar chart, task completion, and 3 to 5 themes from the interviews with one short quote each.</w:t>
      </w:r>
    </w:p>
    <w:p>
      <w:pPr/>
      <w:r>
        <w:rPr>
          <w:b/>
        </w:rPr>
        <w:t xml:space="preserve">6.4 Integration results.</w:t>
      </w:r>
      <w:r>
        <w:t xml:space="preserve"> Evidence that the component works inside the full SmartCost system: end-to-end screenshots from login to the forecast, the shared analysis service running all four novelties, and any integration defects you found and fixed.</w:t>
      </w:r>
    </w:p>
    <w:p>
      <w:pPr/>
      <w:r>
        <w:rPr>
          <w:b/>
        </w:rPr>
        <w:t xml:space="preserve">6.5 Summary of findings.</w:t>
      </w:r>
      <w:r>
        <w:t xml:space="preserve"> A table: research question or objective, result in one line, met / partly met / not met.</w:t>
      </w:r>
    </w:p>
    <w:p>
      <w:pPr>
        <w:pStyle w:val="Heading2"/>
      </w:pPr>
      <w:r>
        <w:t xml:space="preserve">Chapter 7 Discussion</w:t>
      </w:r>
    </w:p>
    <w:p>
      <w:pPr/>
      <w:r>
        <w:t xml:space="preserve">Chapter 7 is where you explain your results and are honest about their weaknesses. Examiners weigh this chapter heavily.</w:t>
      </w:r>
    </w:p>
    <w:p>
      <w:pPr/>
      <w:r>
        <w:rPr>
          <w:b/>
        </w:rPr>
        <w:t xml:space="preserve">7.1 Interpretation of findings.</w:t>
      </w:r>
      <w:r>
        <w:t xml:space="preserve"> Go through the research questions one at a time: what the result means and why it happened. For example, why the moving average holds up at 3 to 6 months, where the damped trend helps, and how much seasonality adds once 24+ months exist.</w:t>
      </w:r>
    </w:p>
    <w:p>
      <w:pPr/>
      <w:r>
        <w:rPr>
          <w:b/>
        </w:rPr>
        <w:t xml:space="preserve">7.2 Comparison with literature, baselines and existing solutions.</w:t>
      </w:r>
      <w:r>
        <w:t xml:space="preserve"> Put your MAPE next to published restaurant and retail results, noting the differences in data. Relate it to the M4 and M5 finding that simple methods are competitive. Revisit your 2.4 product table: what SmartCost now offers that the products don't.</w:t>
      </w:r>
    </w:p>
    <w:p>
      <w:pPr/>
      <w:r>
        <w:rPr>
          <w:b/>
        </w:rPr>
        <w:t xml:space="preserve">7.3 Research contribution.</w:t>
      </w:r>
      <w:r>
        <w:t xml:space="preserve"> Two or three claims, each tied to evidence. For example: a data-size-aware ladder evaluated across history lengths; an empirical check of a simple residual-based prediction range on short SME series; a forecasting design aimed at owners who aren't analysts.</w:t>
      </w:r>
    </w:p>
    <w:p>
      <w:pPr/>
      <w:r>
        <w:rPr>
          <w:b/>
        </w:rPr>
        <w:t xml:space="preserve">7.4 Product contribution.</w:t>
      </w:r>
      <w:r>
        <w:t xml:space="preserve"> A working, integrated forecasting feature in a commercial-grade POS, and the reusable Node → Python analysis architecture adopted by the other three components.</w:t>
      </w:r>
    </w:p>
    <w:p>
      <w:pPr/>
      <w:r>
        <w:rPr>
          <w:b/>
        </w:rPr>
        <w:t xml:space="preserve">7.5 Limitations and threats to validity.</w:t>
      </w:r>
      <w:r>
        <w:t xml:space="preserve"> Name them before the examiner does: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Threat</w:t>
            </w:r>
          </w:p>
        </w:tc>
        <w:tc>
          <w:tcPr>
            <w:tcW w:w="4680" w:type="dxa"/>
            <w:shd w:val="clear" w:color="auto" w:fill="F2F2F2"/>
          </w:tcPr>
          <w:p>
            <w:pPr/>
            <w:r>
              <w:t xml:space="preserve">Source in your work</w:t>
            </w:r>
          </w:p>
        </w:tc>
      </w:tr>
      <w:tr>
        <w:tc>
          <w:tcPr>
            <w:tcW w:w="4680" w:type="dxa"/>
          </w:tcPr>
          <w:p>
            <w:pPr/>
            <w:r>
              <w:t xml:space="preserve">External validity</w:t>
            </w:r>
          </w:p>
        </w:tc>
        <w:tc>
          <w:tcPr>
            <w:tcW w:w="4680" w:type="dxa"/>
          </w:tcPr>
          <w:p>
            <w:pPr/>
            <w:r>
              <w:t xml:space="preserve">Mostly synthetic data from one generator; one Sri Lankan restaurant profile</w:t>
            </w:r>
          </w:p>
        </w:tc>
      </w:tr>
      <w:tr>
        <w:tc>
          <w:tcPr>
            <w:tcW w:w="4680" w:type="dxa"/>
          </w:tcPr>
          <w:p>
            <w:pPr/>
            <w:r>
              <w:t xml:space="preserve">Construct validity</w:t>
            </w:r>
          </w:p>
        </w:tc>
        <w:tc>
          <w:tcPr>
            <w:tcW w:w="4680" w:type="dxa"/>
          </w:tcPr>
          <w:p>
            <w:pPr/>
            <w:r>
              <w:t xml:space="preserve">Synthetic seasonality is additive-like by design, which may favour the additive model</w:t>
            </w:r>
          </w:p>
        </w:tc>
      </w:tr>
      <w:tr>
        <w:tc>
          <w:tcPr>
            <w:tcW w:w="4680" w:type="dxa"/>
          </w:tcPr>
          <w:p>
            <w:pPr/>
            <w:r>
              <w:t xml:space="preserve">Internal validity</w:t>
            </w:r>
          </w:p>
        </w:tc>
        <w:tc>
          <w:tcPr>
            <w:tcW w:w="4680" w:type="dxa"/>
          </w:tcPr>
          <w:p>
            <w:pPr/>
            <w:r>
              <w:t xml:space="preserve">Range uses in-sample residual spread × √h, not a model-based interval; summed bounds overstate horizon ranges</w:t>
            </w:r>
          </w:p>
        </w:tc>
      </w:tr>
      <w:tr>
        <w:tc>
          <w:tcPr>
            <w:tcW w:w="4680" w:type="dxa"/>
          </w:tcPr>
          <w:p>
            <w:pPr/>
            <w:r>
              <w:t xml:space="preserve">Statistical conclusion</w:t>
            </w:r>
          </w:p>
        </w:tc>
        <w:tc>
          <w:tcPr>
            <w:tcW w:w="4680" w:type="dxa"/>
          </w:tcPr>
          <w:p>
            <w:pPr/>
            <w:r>
              <w:t xml:space="preserve">Few folds at long horizons; small user-study sample</w:t>
            </w:r>
          </w:p>
        </w:tc>
      </w:tr>
      <w:tr>
        <w:tc>
          <w:tcPr>
            <w:tcW w:w="4680" w:type="dxa"/>
          </w:tcPr>
          <w:p>
            <w:pPr/>
            <w:r>
              <w:t xml:space="preserve">Design limits</w:t>
            </w:r>
          </w:p>
        </w:tc>
        <w:tc>
          <w:tcPr>
            <w:tcW w:w="4680" w:type="dxa"/>
          </w:tcPr>
          <w:p>
            <w:pPr/>
            <w:r>
              <w:t xml:space="preserve">No external drivers (holidays, weather, promotions); profit errors combine sales and cost errors; no fallback if Python is down; MAPE undefined in months with zero sales</w:t>
            </w:r>
          </w:p>
        </w:tc>
      </w:tr>
    </w:tbl>
    <w:p>
      <w:pPr/>
      <w:r>
        <w:rPr>
          <w:b/>
        </w:rPr>
        <w:t xml:space="preserve">7.6 Implications.</w:t>
      </w:r>
      <w:r>
        <w:t xml:space="preserve"> For owners: planning stock, staff and cash with a range rather than a guess. For POS vendors: forecasting is feasible on short histories without heavy ML. For researchers: SME forecasting should be evaluated across history lengths, not only on long series.</w:t>
      </w:r>
    </w:p>
    <w:p>
      <w:pPr>
        <w:pStyle w:val="Heading2"/>
      </w:pPr>
      <w:r>
        <w:t xml:space="preserve">Chapter 8 Commercialisation and sustainability</w:t>
      </w:r>
    </w:p>
    <w:p>
      <w:pPr/>
      <w:r>
        <w:t xml:space="preserve">You have to add this chapter's headings to the template yourself (see "Fix the template" above). Keep it to 4 to 6 pages, and make sure your commercial story fits the group's.</w:t>
      </w:r>
    </w:p>
    <w:p>
      <w:pPr/>
      <w:r>
        <w:rPr>
          <w:b/>
        </w:rPr>
        <w:t xml:space="preserve">8.1 Value proposition and target users.</w:t>
      </w:r>
      <w:r>
        <w:t xml:space="preserve"> Target users are owners and managers of small and medium Sri Lankan restaurants and cafés already recording sales in SmartCost. The value: a forward view of sales, costs and profit with a range, from data they already have, with no analyst and no extra data entry. Show it as a value-proposition canvas (customer jobs, pains, gains against your features).</w:t>
      </w:r>
    </w:p>
    <w:p>
      <w:pPr/>
      <w:r>
        <w:rPr>
          <w:b/>
        </w:rPr>
        <w:t xml:space="preserve">8.2 Market and competitive position.</w:t>
      </w:r>
      <w:r>
        <w:t xml:space="preserve"> Size the market with cited figures: the number of registered food-service SMEs in Sri Lanka from the Department of Census and Statistics or the Ministry of Industries. Then position SmartCost against the 2.4 products on a 2x2 (price × analytics depth).</w:t>
      </w:r>
    </w:p>
    <w:p>
      <w:pPr/>
      <w:r>
        <w:rPr>
          <w:b/>
        </w:rPr>
        <w:t xml:space="preserve">8.3 Business or sustainability model.</w:t>
      </w:r>
      <w:r>
        <w:t xml:space="preserve"> SmartCost already has subscriptions, trials and billing (the billing and trial cron jobs in </w:t>
      </w:r>
      <w:r>
        <w:rPr>
          <w:rStyle w:val="CodeChar"/>
        </w:rPr>
        <w:t xml:space="preserve">backend</w:t>
      </w:r>
      <w:r>
        <w:t xml:space="preserve">). Propose forecasting as a feature of a higher subscription tier, or as an add-on. Agree prices with your group rather than inventing them. Cover running costs (one small server for the Python service) and how they scale with shops.</w:t>
      </w:r>
    </w:p>
    <w:p>
      <w:pPr/>
      <w:r>
        <w:rPr>
          <w:b/>
        </w:rPr>
        <w:t xml:space="preserve">8.4 Scalability, intellectual property and compliance.</w:t>
      </w:r>
      <w:r>
        <w:t xml:space="preserve"> Scalability: the analysis service is stateless, so it scales horizontally, and each forecast is two small model fits on at most 35 points. IP: open-source licences of statsmodels (BSD), FastAPI (MIT) and NumPy (BSD) allow commercial use; say who owns the project code under SLIIT rules. Compliance: Sri Lanka's Personal Data Protection Act No. 9 of 2022 for any customer data, and the confidentiality of business financials.</w:t>
      </w:r>
    </w:p>
    <w:p>
      <w:pPr/>
      <w:r>
        <w:rPr>
          <w:b/>
        </w:rPr>
        <w:t xml:space="preserve">8.5 Contribution to the Sustainable Development Goals.</w:t>
      </w:r>
      <w:r>
        <w:t xml:space="preserve"> Pick 2 or 3 and justify each in two or three sentences:</w:t>
      </w:r>
    </w:p>
    <w:p>
      <w:pPr>
        <w:pStyle w:val="ListParagraph"/>
        <w:numPr>
          <w:ilvl w:val="0"/>
          <w:numId w:val="13"/>
        </w:numPr>
      </w:pPr>
      <w:r>
        <w:rPr>
          <w:b/>
        </w:rPr>
        <w:t xml:space="preserve">SDG 8</w:t>
      </w:r>
      <w:r>
        <w:t xml:space="preserve"> Decent work and economic growth: helps SMEs plan cash flow and stay in business.</w:t>
      </w:r>
    </w:p>
    <w:p>
      <w:pPr>
        <w:pStyle w:val="ListParagraph"/>
        <w:numPr>
          <w:ilvl w:val="0"/>
          <w:numId w:val="13"/>
        </w:numPr>
      </w:pPr>
      <w:r>
        <w:rPr>
          <w:b/>
        </w:rPr>
        <w:t xml:space="preserve">SDG 9</w:t>
      </w:r>
      <w:r>
        <w:t xml:space="preserve"> Industry, innovation and infrastructure: affordable analytics for small firms.</w:t>
      </w:r>
    </w:p>
    <w:p>
      <w:pPr>
        <w:pStyle w:val="ListParagraph"/>
        <w:numPr>
          <w:ilvl w:val="0"/>
          <w:numId w:val="13"/>
        </w:numPr>
      </w:pPr>
      <w:r>
        <w:rPr>
          <w:b/>
        </w:rPr>
        <w:t xml:space="preserve">SDG 12</w:t>
      </w:r>
      <w:r>
        <w:t xml:space="preserve"> Responsible consumption and production (target 12.3, food waste): better purchase planning reduces spoiled stock.</w:t>
      </w:r>
    </w:p>
    <w:p>
      <w:pPr>
        <w:pStyle w:val="Heading2"/>
      </w:pPr>
      <w:r>
        <w:t xml:space="preserve">Chapter 9 Conclusion, references, glossary and appendices</w:t>
      </w:r>
    </w:p>
    <w:p>
      <w:pPr/>
      <w:r>
        <w:t xml:space="preserve">The conclusion adds no new material. It closes each loop you opened in Chapter 1, in 3 to 4 pages.</w:t>
      </w:r>
    </w:p>
    <w:p>
      <w:pPr/>
      <w:r>
        <w:rPr>
          <w:b/>
        </w:rPr>
        <w:t xml:space="preserve">9.1 Conclusion.</w:t>
      </w:r>
      <w:r>
        <w:t xml:space="preserve"> Restate the problem, what you built, and the headline numbers, in about one page.</w:t>
      </w:r>
    </w:p>
    <w:p>
      <w:pPr/>
      <w:r>
        <w:rPr>
          <w:b/>
        </w:rPr>
        <w:t xml:space="preserve">9.2 Achievement of objectives.</w:t>
      </w:r>
      <w:r>
        <w:t xml:space="preserve"> A table with one row per objective from 1.5: objective, how it was achieved, evidence (section or figure number), status.</w:t>
      </w:r>
    </w:p>
    <w:p>
      <w:pPr/>
      <w:r>
        <w:rPr>
          <w:b/>
        </w:rPr>
        <w:t xml:space="preserve">9.3 Individual research and product contributions.</w:t>
      </w:r>
      <w:r>
        <w:t xml:space="preserve"> Repeat 7.3 and 7.4 as a short list, in first person, so the examiner can see your individual work at a glance.</w:t>
      </w:r>
    </w:p>
    <w:p>
      <w:pPr/>
      <w:r>
        <w:rPr>
          <w:b/>
        </w:rPr>
        <w:t xml:space="preserve">9.4 Future directions.</w:t>
      </w:r>
      <w:r>
        <w:t xml:space="preserve"> Concrete next steps grounded in your limitations:</w:t>
      </w:r>
    </w:p>
    <w:p>
      <w:pPr>
        <w:pStyle w:val="ListParagraph"/>
        <w:numPr>
          <w:ilvl w:val="0"/>
          <w:numId w:val="14"/>
        </w:numPr>
      </w:pPr>
      <w:r>
        <w:t xml:space="preserve">Add Sri Lankan holidays and promotions as regressors (ETS with covariates, or Prophet) and test whether they lower error.</w:t>
      </w:r>
    </w:p>
    <w:p>
      <w:pPr>
        <w:pStyle w:val="ListParagraph"/>
        <w:numPr>
          <w:ilvl w:val="0"/>
          <w:numId w:val="14"/>
        </w:numPr>
      </w:pPr>
      <w:r>
        <w:t xml:space="preserve">Replace the √h heuristic with model-based or bootstrap prediction intervals, then re-check coverage.</w:t>
      </w:r>
    </w:p>
    <w:p>
      <w:pPr>
        <w:pStyle w:val="ListParagraph"/>
        <w:numPr>
          <w:ilvl w:val="0"/>
          <w:numId w:val="14"/>
        </w:numPr>
      </w:pPr>
      <w:r>
        <w:t xml:space="preserve">Automatic selection among additive and multiplicative ETS using AICc.</w:t>
      </w:r>
    </w:p>
    <w:p>
      <w:pPr>
        <w:pStyle w:val="ListParagraph"/>
        <w:numPr>
          <w:ilvl w:val="0"/>
          <w:numId w:val="14"/>
        </w:numPr>
      </w:pPr>
      <w:r>
        <w:t xml:space="preserve">Daily and weekly forecasts for staffing, which need season length 7 (already supported by </w:t>
      </w:r>
      <w:r>
        <w:rPr>
          <w:rStyle w:val="CodeChar"/>
        </w:rPr>
        <w:t xml:space="preserve">seasonLength</w:t>
      </w:r>
      <w:r>
        <w:t xml:space="preserve">).</w:t>
      </w:r>
    </w:p>
    <w:p>
      <w:pPr>
        <w:pStyle w:val="ListParagraph"/>
        <w:numPr>
          <w:ilvl w:val="0"/>
          <w:numId w:val="14"/>
        </w:numPr>
      </w:pPr>
      <w:r>
        <w:t xml:space="preserve">Product-level forecasts, linking with Novelty 3, and purchase recommendations from forecast costs.</w:t>
      </w:r>
    </w:p>
    <w:p>
      <w:pPr>
        <w:pStyle w:val="ListParagraph"/>
        <w:numPr>
          <w:ilvl w:val="0"/>
          <w:numId w:val="14"/>
        </w:numPr>
      </w:pPr>
      <w:r>
        <w:t xml:space="preserve">A fallback or cached forecast when the analysis service is down.</w:t>
      </w:r>
    </w:p>
    <w:p>
      <w:pPr>
        <w:pStyle w:val="Heading3"/>
      </w:pPr>
      <w:r>
        <w:t xml:space="preserve">References</w:t>
      </w:r>
    </w:p>
    <w:p>
      <w:pPr/>
      <w:r>
        <w:t xml:space="preserve">Use IEEE style, numbered in order of first citation. Use Zotero or Mendeley with the IEEE style rather than formatting by hand. Every entry needs a DOI or a URL with an access date. Cite every source in the text, and include no uncited ones.</w:t>
      </w:r>
    </w:p>
    <w:p>
      <w:pPr>
        <w:pStyle w:val="Heading3"/>
      </w:pPr>
      <w:r>
        <w:t xml:space="preserve">Glossary</w:t>
      </w:r>
    </w:p>
    <w:p>
      <w:pPr/>
      <w:r>
        <w:t xml:space="preserve">Optional. Useful entries: backtesting, damped trend, exponential smoothing, forecast horizon, holdout, prediction interval, rolling origin, seasonal period, smoothing parameter.</w:t>
      </w:r>
    </w:p>
    <w:p>
      <w:pPr>
        <w:pStyle w:val="Heading3"/>
      </w:pPr>
      <w:r>
        <w:t xml:space="preserve">Appendices</w:t>
      </w:r>
    </w:p>
    <w:p>
      <w:pPr>
        <w:pStyle w:val="ListParagraph"/>
        <w:numPr>
          <w:ilvl w:val="0"/>
          <w:numId w:val="15"/>
        </w:numPr>
      </w:pPr>
      <w:r>
        <w:rPr>
          <w:b/>
        </w:rPr>
        <w:t xml:space="preserve">Appendix A Extended results:</w:t>
      </w:r>
      <w:r>
        <w:t xml:space="preserve"> the full per-fold evaluation CSV summary, extra charts, the full test-case table, the user-study questionnaire, consent form and interview guide.</w:t>
      </w:r>
    </w:p>
    <w:p>
      <w:pPr>
        <w:pStyle w:val="ListParagraph"/>
        <w:numPr>
          <w:ilvl w:val="0"/>
          <w:numId w:val="15"/>
        </w:numPr>
      </w:pPr>
      <w:r>
        <w:rPr>
          <w:b/>
        </w:rPr>
        <w:t xml:space="preserve">Appendix B AI-use disclosure:</w:t>
      </w:r>
      <w:r>
        <w:t xml:space="preserve"> a table of tool, purpose, representative prompt, how you verified the output, and the sections affected. Include this guide and any AI help with code or wording. Be complete; the declaration you sign depends on it.</w:t>
      </w:r>
    </w:p>
    <w:p>
      <w:pPr>
        <w:pStyle w:val="ListParagraph"/>
        <w:numPr>
          <w:ilvl w:val="0"/>
          <w:numId w:val="15"/>
        </w:numPr>
      </w:pPr>
      <w:r>
        <w:t xml:space="preserve">Optional </w:t>
      </w:r>
      <w:r>
        <w:rPr>
          <w:b/>
        </w:rPr>
        <w:t xml:space="preserve">Appendix C:</w:t>
      </w:r>
      <w:r>
        <w:t xml:space="preserve"> API request and response samples, the seed command and parameters.</w:t>
      </w:r>
    </w:p>
    <w:p>
      <w:pPr>
        <w:pStyle w:val="Heading2"/>
      </w:pPr>
      <w:r>
        <w:t xml:space="preserve">Evidence checklist</w:t>
      </w:r>
    </w:p>
    <w:p>
      <w:pPr/>
      <w:r>
        <w:t xml:space="preserve">The code is done; the thesis is blocked mainly on evidence. Collect these, roughly in this order:</w:t>
      </w:r>
    </w:p>
    <w:p>
      <w:pPr>
        <w:pStyle w:val="ListParagraph"/>
        <w:numPr>
          <w:ilvl w:val="0"/>
          <w:numId w:val="16"/>
        </w:numPr>
      </w:pPr>
      <w:r>
        <w:t xml:space="preserve">☐ Agree the group project title and confirm degree and specialisation wording</w:t>
      </w:r>
    </w:p>
    <w:p>
      <w:pPr>
        <w:pStyle w:val="ListParagraph"/>
        <w:numPr>
          <w:ilvl w:val="0"/>
          <w:numId w:val="16"/>
        </w:numPr>
      </w:pPr>
      <w:r>
        <w:t xml:space="preserve">☐ Request real, anonymised monthly sales and expense totals from at least one restaurant, with written consent</w:t>
      </w:r>
    </w:p>
    <w:p>
      <w:pPr>
        <w:pStyle w:val="ListParagraph"/>
        <w:numPr>
          <w:ilvl w:val="0"/>
          <w:numId w:val="16"/>
        </w:numPr>
      </w:pPr>
      <w:r>
        <w:t xml:space="preserve">☐ Seed evaluation datasets: </w:t>
      </w:r>
      <w:r>
        <w:rPr>
          <w:rStyle w:val="CodeChar"/>
        </w:rPr>
        <w:t xml:space="preserve">npm run seed:forecast -- --months=36 --reset</w:t>
      </w:r>
      <w:r>
        <w:t xml:space="preserve">, plus shorter runs for 6, 12 and 18 months</w:t>
      </w:r>
    </w:p>
    <w:p>
      <w:pPr>
        <w:pStyle w:val="ListParagraph"/>
        <w:numPr>
          <w:ilvl w:val="0"/>
          <w:numId w:val="16"/>
        </w:numPr>
      </w:pPr>
      <w:r>
        <w:t xml:space="preserve">☐ Write a rolling-origin evaluation script that imports </w:t>
      </w:r>
      <w:r>
        <w:rPr>
          <w:rStyle w:val="CodeChar"/>
        </w:rPr>
        <w:t xml:space="preserve">forecast_series</w:t>
      </w:r>
      <w:r>
        <w:t xml:space="preserve"> and adds a seasonal-naive baseline; save the results as CSV</w:t>
      </w:r>
    </w:p>
    <w:p>
      <w:pPr>
        <w:pStyle w:val="ListParagraph"/>
        <w:numPr>
          <w:ilvl w:val="0"/>
          <w:numId w:val="16"/>
        </w:numPr>
      </w:pPr>
      <w:r>
        <w:t xml:space="preserve">☐ Compute MAPE, MAE, RMSE, MASE, interval coverage and width per method, horizon and history length</w:t>
      </w:r>
    </w:p>
    <w:p>
      <w:pPr>
        <w:pStyle w:val="ListParagraph"/>
        <w:numPr>
          <w:ilvl w:val="0"/>
          <w:numId w:val="16"/>
        </w:numPr>
      </w:pPr>
      <w:r>
        <w:t xml:space="preserve">☐ Write pytest unit tests for </w:t>
      </w:r>
      <w:r>
        <w:rPr>
          <w:rStyle w:val="CodeChar"/>
        </w:rPr>
        <w:t xml:space="preserve">forecasting.py</w:t>
      </w:r>
      <w:r>
        <w:t xml:space="preserve"> and Jest tests for the controller and data service; record pass rates</w:t>
      </w:r>
    </w:p>
    <w:p>
      <w:pPr>
        <w:pStyle w:val="ListParagraph"/>
        <w:numPr>
          <w:ilvl w:val="0"/>
          <w:numId w:val="16"/>
        </w:numPr>
      </w:pPr>
      <w:r>
        <w:t xml:space="preserve">☐ Measure API latency over 50 requests</w:t>
      </w:r>
    </w:p>
    <w:p>
      <w:pPr>
        <w:pStyle w:val="ListParagraph"/>
        <w:numPr>
          <w:ilvl w:val="0"/>
          <w:numId w:val="16"/>
        </w:numPr>
      </w:pPr>
      <w:r>
        <w:t xml:space="preserve">☐ Take screenshots of every Forecast screen state and of the end-to-end flow</w:t>
      </w:r>
    </w:p>
    <w:p>
      <w:pPr>
        <w:pStyle w:val="ListParagraph"/>
        <w:numPr>
          <w:ilvl w:val="0"/>
          <w:numId w:val="16"/>
        </w:numPr>
      </w:pPr>
      <w:r>
        <w:t xml:space="preserve">☐ Prepare the user-study questionnaire (SUS + usefulness items), consent form and interview guide; check whether ethics approval is needed</w:t>
      </w:r>
    </w:p>
    <w:p>
      <w:pPr>
        <w:pStyle w:val="ListParagraph"/>
        <w:numPr>
          <w:ilvl w:val="0"/>
          <w:numId w:val="16"/>
        </w:numPr>
      </w:pPr>
      <w:r>
        <w:t xml:space="preserve">☐ Run the user study with 5 to 10 owners or managers; transcribe and code the interviews</w:t>
      </w:r>
    </w:p>
    <w:p>
      <w:pPr>
        <w:pStyle w:val="ListParagraph"/>
        <w:numPr>
          <w:ilvl w:val="0"/>
          <w:numId w:val="16"/>
        </w:numPr>
      </w:pPr>
      <w:r>
        <w:t xml:space="preserve">☐ Collect 25 to 40 sources, all verified, in Zotero or Mendeley</w:t>
      </w:r>
    </w:p>
    <w:p>
      <w:pPr>
        <w:pStyle w:val="ListParagraph"/>
        <w:numPr>
          <w:ilvl w:val="0"/>
          <w:numId w:val="16"/>
        </w:numPr>
      </w:pPr>
      <w:r>
        <w:t xml:space="preserve">☐ Draw the figures: overall system, component architecture, research cycle, sequence diagram, model-selection flowchart</w:t>
      </w:r>
    </w:p>
    <w:p>
      <w:pPr>
        <w:pStyle w:val="ListParagraph"/>
        <w:numPr>
          <w:ilvl w:val="0"/>
          <w:numId w:val="16"/>
        </w:numPr>
      </w:pPr>
      <w:r>
        <w:t xml:space="preserve">☐ Keep an AI-use log for Appendix B</w:t>
      </w:r>
    </w:p>
    <w:p>
      <w:pPr>
        <w:pStyle w:val="ListParagraph"/>
        <w:numPr>
          <w:ilvl w:val="0"/>
          <w:numId w:val="16"/>
        </w:numPr>
      </w:pPr>
      <w:r>
        <w:t xml:space="preserve">☐ Record the evaluated commit hash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Thesis Guide Novelty 1 Sales and Cost Forecasting</dc:title>
  <dc:description>Claude Docs node/6c46e869-044b@14 docx-w6</dc:description>
  <cp:revision>14</cp:revision>
</cp:coreProperties>
</file>