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714D2F" w14:textId="6FFFD0C5" w:rsidR="00746B67" w:rsidRDefault="00277496">
      <w:r>
        <w:t>ERW modeling questions:</w:t>
      </w:r>
    </w:p>
    <w:p w14:paraId="41724A07" w14:textId="3E0EF0B5" w:rsidR="00277496" w:rsidRDefault="00277496" w:rsidP="00277496">
      <w:pPr>
        <w:pStyle w:val="ListParagraph"/>
        <w:numPr>
          <w:ilvl w:val="0"/>
          <w:numId w:val="1"/>
        </w:numPr>
      </w:pPr>
      <w:r>
        <w:t>What is the source of data on the basalt feedstock locations? Any alternative datasets? What other assumptions should we consider?</w:t>
      </w:r>
    </w:p>
    <w:p w14:paraId="38BA5BB1" w14:textId="1D179104" w:rsidR="00277496" w:rsidRDefault="00277496" w:rsidP="00277496">
      <w:pPr>
        <w:pStyle w:val="ListParagraph"/>
        <w:numPr>
          <w:ilvl w:val="0"/>
          <w:numId w:val="1"/>
        </w:numPr>
      </w:pPr>
      <w:r>
        <w:t>What fixed and variable components of transportation costs?</w:t>
      </w:r>
    </w:p>
    <w:p w14:paraId="717F3C1B" w14:textId="6DB24DC9" w:rsidR="00277496" w:rsidRDefault="00277496" w:rsidP="00277496">
      <w:pPr>
        <w:pStyle w:val="ListParagraph"/>
        <w:numPr>
          <w:ilvl w:val="0"/>
          <w:numId w:val="1"/>
        </w:numPr>
      </w:pPr>
      <w:r>
        <w:t>Can we explicitly say what assumed other costs are (</w:t>
      </w:r>
      <w:r w:rsidRPr="00277496">
        <w:t>Grinding + feedstock + spreading</w:t>
      </w:r>
      <w:r>
        <w:t xml:space="preserve"> +?)? maybe a table</w:t>
      </w:r>
    </w:p>
    <w:p w14:paraId="56E339B9" w14:textId="5FD464B9" w:rsidR="00277496" w:rsidRDefault="00277496" w:rsidP="00277496">
      <w:pPr>
        <w:pStyle w:val="ListParagraph"/>
        <w:numPr>
          <w:ilvl w:val="0"/>
          <w:numId w:val="1"/>
        </w:numPr>
      </w:pPr>
      <w:r>
        <w:t>What is the MRV assumption, explicitly?</w:t>
      </w:r>
    </w:p>
    <w:p w14:paraId="2B5ECD8B" w14:textId="725E78C5" w:rsidR="00277496" w:rsidRDefault="00277496" w:rsidP="00277496">
      <w:pPr>
        <w:pStyle w:val="ListParagraph"/>
        <w:numPr>
          <w:ilvl w:val="0"/>
          <w:numId w:val="1"/>
        </w:numPr>
      </w:pPr>
      <w:r>
        <w:t>What is the definition of “durable” CDR here?</w:t>
      </w:r>
    </w:p>
    <w:p w14:paraId="5D18F4FC" w14:textId="2119A6E6" w:rsidR="00277496" w:rsidRDefault="00277496" w:rsidP="00277496">
      <w:pPr>
        <w:pStyle w:val="ListParagraph"/>
        <w:numPr>
          <w:ilvl w:val="0"/>
          <w:numId w:val="1"/>
        </w:numPr>
      </w:pPr>
      <w:r>
        <w:t xml:space="preserve">On slide 8: </w:t>
      </w:r>
      <w:r w:rsidRPr="00277496">
        <w:t>Durable CDR (Mt)</w:t>
      </w:r>
      <w:r>
        <w:t xml:space="preserve"> is the Millions of metric tons of carbon dioxide removed? </w:t>
      </w:r>
      <w:r w:rsidRPr="00277496">
        <w:t>% treated</w:t>
      </w:r>
      <w:r>
        <w:t xml:space="preserve"> is the percentage of what exactly?</w:t>
      </w:r>
    </w:p>
    <w:p w14:paraId="484BBA87" w14:textId="76F1B643" w:rsidR="00277496" w:rsidRDefault="00277496" w:rsidP="00277496">
      <w:pPr>
        <w:pStyle w:val="ListParagraph"/>
        <w:numPr>
          <w:ilvl w:val="0"/>
          <w:numId w:val="1"/>
        </w:numPr>
      </w:pPr>
      <w:r>
        <w:t xml:space="preserve">On slide 9: what is the reference for this assumption: </w:t>
      </w:r>
      <w:r w:rsidRPr="00277496">
        <w:t>durable CDR  =  max( gross CDR  −  F · S ,  0 )</w:t>
      </w:r>
      <w:r>
        <w:t>? Pls explain “</w:t>
      </w:r>
      <w:r w:rsidRPr="00277496">
        <w:rPr>
          <w:i/>
          <w:iCs/>
        </w:rPr>
        <w:t xml:space="preserve">F = 0.88 tCO₂ per tCaCO₂-eq    </w:t>
      </w:r>
      <w:r>
        <w:t>”</w:t>
      </w:r>
    </w:p>
    <w:p w14:paraId="3AE8F6C0" w14:textId="2D1CC870" w:rsidR="00277496" w:rsidRDefault="00442E3B" w:rsidP="00277496">
      <w:pPr>
        <w:pStyle w:val="ListParagraph"/>
        <w:numPr>
          <w:ilvl w:val="0"/>
          <w:numId w:val="1"/>
        </w:numPr>
      </w:pPr>
      <w:r>
        <w:t xml:space="preserve">Slide 10: </w:t>
      </w:r>
      <w:r w:rsidR="00277496">
        <w:t>Describe the Ecocrop model briefly.</w:t>
      </w:r>
      <w:r>
        <w:t xml:space="preserve"> What crops are we evaluating acidity responses to? Are we using pH or exchangeable acidity or something else?</w:t>
      </w:r>
    </w:p>
    <w:p w14:paraId="692C74D8" w14:textId="6E05EF9F" w:rsidR="00277496" w:rsidRDefault="00442E3B" w:rsidP="00442E3B">
      <w:pPr>
        <w:pStyle w:val="ListParagraph"/>
        <w:numPr>
          <w:ilvl w:val="0"/>
          <w:numId w:val="1"/>
        </w:numPr>
      </w:pPr>
      <w:r>
        <w:t xml:space="preserve">Slide 10: </w:t>
      </w:r>
      <w:r w:rsidR="00277496">
        <w:t>Explain buffered shift: “</w:t>
      </w:r>
      <w:r w:rsidR="00277496" w:rsidRPr="00277496">
        <w:t>pH change is damped by soil buffering (β = kβ·ECEC); reacted alkalinity A = gross CDR / F.</w:t>
      </w:r>
      <w:r w:rsidR="00277496">
        <w:t>”</w:t>
      </w:r>
      <w:r>
        <w:t xml:space="preserve"> Explain sensitivity: “</w:t>
      </w:r>
      <w:r w:rsidRPr="00442E3B">
        <w:t>Sensitivity</w:t>
      </w:r>
      <w:r>
        <w:t xml:space="preserve"> </w:t>
      </w:r>
      <w:r w:rsidRPr="00442E3B">
        <w:t>A low–high band over (kβ, realized-alkalinity) is carried — the uniform-50 case is where it bites hardest.</w:t>
      </w:r>
      <w:r>
        <w:t>”</w:t>
      </w:r>
    </w:p>
    <w:p w14:paraId="5425AF6F" w14:textId="78BDDE25" w:rsidR="00277496" w:rsidRDefault="00442E3B" w:rsidP="00277496">
      <w:pPr>
        <w:pStyle w:val="ListParagraph"/>
        <w:numPr>
          <w:ilvl w:val="0"/>
          <w:numId w:val="1"/>
        </w:numPr>
      </w:pPr>
      <w:r>
        <w:t>What is the source of our assumptions on kinetic saturation? What reference?</w:t>
      </w:r>
    </w:p>
    <w:p w14:paraId="4B77EFF7" w14:textId="43ECAC0A" w:rsidR="00442E3B" w:rsidRDefault="00442E3B" w:rsidP="00442E3B">
      <w:pPr>
        <w:pStyle w:val="ListParagraph"/>
        <w:numPr>
          <w:ilvl w:val="0"/>
          <w:numId w:val="1"/>
        </w:numPr>
      </w:pPr>
      <w:r>
        <w:t>Slide 12: explain “</w:t>
      </w:r>
      <w:r w:rsidRPr="00442E3B">
        <w:t>Equilibrium</w:t>
      </w:r>
      <w:r>
        <w:t xml:space="preserve"> - </w:t>
      </w:r>
      <w:r w:rsidRPr="00442E3B">
        <w:t>Steady-state durable removal — the headline regime.</w:t>
      </w:r>
      <w:r>
        <w:t>” this sounds like AI-speak</w:t>
      </w:r>
    </w:p>
    <w:p w14:paraId="23F8CD85" w14:textId="77777777" w:rsidR="00442E3B" w:rsidRDefault="00442E3B" w:rsidP="00442E3B"/>
    <w:p w14:paraId="5DE6E2D3" w14:textId="77777777" w:rsidR="00442E3B" w:rsidRPr="00442E3B" w:rsidRDefault="00442E3B" w:rsidP="00442E3B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839496"/>
          <w:kern w:val="36"/>
          <w:sz w:val="48"/>
          <w:szCs w:val="48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36"/>
          <w:sz w:val="48"/>
          <w:szCs w:val="48"/>
          <w14:ligatures w14:val="none"/>
        </w:rPr>
        <w:t>Prep for hard questions - ERW ex ante model</w:t>
      </w:r>
    </w:p>
    <w:p w14:paraId="7D989B68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Grounded in the committed code (</w:t>
      </w:r>
      <w:r w:rsidRPr="00442E3B">
        <w:rPr>
          <w:rFonts w:ascii="Menlo" w:eastAsia="Times New Roman" w:hAnsi="Menlo" w:cs="Menlo"/>
          <w:i/>
          <w:iCs/>
          <w:color w:val="D7BA7D"/>
          <w:kern w:val="0"/>
          <w:sz w:val="21"/>
          <w:szCs w:val="21"/>
          <w14:ligatures w14:val="none"/>
        </w:rPr>
        <w:t>erw/erw-*.R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, </w:t>
      </w:r>
      <w:r w:rsidRPr="00442E3B">
        <w:rPr>
          <w:rFonts w:ascii="Menlo" w:eastAsia="Times New Roman" w:hAnsi="Menlo" w:cs="Menlo"/>
          <w:i/>
          <w:iCs/>
          <w:color w:val="D7BA7D"/>
          <w:kern w:val="0"/>
          <w:sz w:val="21"/>
          <w:szCs w:val="21"/>
          <w14:ligatures w14:val="none"/>
        </w:rPr>
        <w:t>paper/analysis/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) and the manuscript. Each item gives the short answer, the specifics, and - where it matters - the honest weak spot and how I'd respond. Numbers are the equilibrium, targeted, net-export headline unless noted.</w:t>
      </w:r>
    </w:p>
    <w:p w14:paraId="628ECE0E" w14:textId="77777777" w:rsidR="00442E3B" w:rsidRPr="00442E3B" w:rsidRDefault="000169B3" w:rsidP="00442E3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69B3">
        <w:rPr>
          <w:rFonts w:ascii="Times New Roman" w:eastAsia="Times New Roman" w:hAnsi="Times New Roman" w:cs="Times New Roman"/>
          <w:noProof/>
          <w:kern w:val="0"/>
        </w:rPr>
        <w:pict w14:anchorId="367AD0A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83D0DF" w14:textId="77777777" w:rsidR="00442E3B" w:rsidRPr="00442E3B" w:rsidRDefault="00442E3B" w:rsidP="00442E3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  <w:t>A. Data and cost assumptions</w:t>
      </w:r>
    </w:p>
    <w:p w14:paraId="2AF0B010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1. Source of basalt feedstock locations; alternatives; other assumptions</w:t>
      </w:r>
    </w:p>
    <w:p w14:paraId="6E9F205D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lastRenderedPageBreak/>
        <w:t>Source.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Feedstock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source geology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comes from the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GLiM - Global Lithological Map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(Hartmann &amp; Moosdorf 2012; PANGAEA doi:10.1594/PANGAEA.788537). We rasterize three mafic classes as basalt-equivalent feedstock: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vb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basic volcanic (basalt s.s.),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py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pyroclastics (basaltic tuff), and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pb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basic plutonic (gabbro). Ultramafic classes are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deliberately excluded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for cropland use because of Ni/Cr leaching risk.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erw-basalt-access.R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/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erw-build-basalt-mask.R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</w:t>
      </w:r>
    </w:p>
    <w:p w14:paraId="69A985B8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These GLiM polygons are the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origin points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; delivered cost is then a cost-distance from every cropland pixel to the nearest source (see Q2).</w:t>
      </w:r>
    </w:p>
    <w:p w14:paraId="277BE04D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Alternatives we could/should offer.</w:t>
      </w:r>
    </w:p>
    <w:p w14:paraId="5658B87F" w14:textId="77777777" w:rsidR="00442E3B" w:rsidRPr="00442E3B" w:rsidRDefault="00442E3B" w:rsidP="00442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National / regional geological surveys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at finer resolution than GLiM (GLiM is coarse and lumps lithologies); would sharpen source locations, especially in the East African Rift.</w:t>
      </w:r>
    </w:p>
    <w:p w14:paraId="24AAC7C4" w14:textId="77777777" w:rsidR="00442E3B" w:rsidRPr="00442E3B" w:rsidRDefault="00442E3B" w:rsidP="00442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Active-quarry point inventories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(the code already supports an optional quarry-point mask). Real ERW would source from operating quarries with crushing capacity, not from every basalt outcrop - this is arguably the more economically honest source set.</w:t>
      </w:r>
    </w:p>
    <w:p w14:paraId="46BE65B2" w14:textId="77777777" w:rsidR="00442E3B" w:rsidRPr="00442E3B" w:rsidRDefault="00442E3B" w:rsidP="00442E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Mine-tailings / by-product silicate streams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(steel slag, mine waste) as alternative feedstocks - different chemistry, different geography.</w:t>
      </w:r>
    </w:p>
    <w:p w14:paraId="1150400C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Other assumptions worth stating up front.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 xml:space="preserve"> A </w:t>
      </w:r>
      <w:r w:rsidRPr="00F11E93">
        <w:rPr>
          <w:rFonts w:ascii="Segoe UI" w:eastAsia="Times New Roman" w:hAnsi="Segoe UI" w:cs="Segoe UI"/>
          <w:color w:val="839496"/>
          <w:kern w:val="0"/>
          <w:sz w:val="21"/>
          <w:szCs w:val="21"/>
          <w:highlight w:val="yellow"/>
          <w14:ligatures w14:val="none"/>
        </w:rPr>
        <w:t>single "representative basalt" chemistry (CaO 10%, MgO 7%, plus K/Na/P; Ni 100 ppm, Cr 200 ppm) is applied everywhere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 xml:space="preserve"> - we do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not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 xml:space="preserve"> vary feedstock chemistry by source. </w:t>
      </w:r>
      <w:r w:rsidRPr="00F11E93">
        <w:rPr>
          <w:rFonts w:ascii="Segoe UI" w:eastAsia="Times New Roman" w:hAnsi="Segoe UI" w:cs="Segoe UI"/>
          <w:color w:val="839496"/>
          <w:kern w:val="0"/>
          <w:sz w:val="21"/>
          <w:szCs w:val="21"/>
          <w:highlight w:val="yellow"/>
          <w14:ligatures w14:val="none"/>
        </w:rPr>
        <w:t>Grain size is fixed at 50 µm.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 xml:space="preserve"> Both are decision levers we hold constant in the headline and could sweep.</w:t>
      </w:r>
    </w:p>
    <w:p w14:paraId="4EB5D2CB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Weak spot / response.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 xml:space="preserve"> "GLiM outcrops ≠ deliverable supply." True - </w:t>
      </w:r>
      <w:r w:rsidRPr="00F11E93">
        <w:rPr>
          <w:rFonts w:ascii="Segoe UI" w:eastAsia="Times New Roman" w:hAnsi="Segoe UI" w:cs="Segoe UI"/>
          <w:color w:val="839496"/>
          <w:kern w:val="0"/>
          <w:sz w:val="21"/>
          <w:szCs w:val="21"/>
          <w:highlight w:val="yellow"/>
          <w14:ligatures w14:val="none"/>
        </w:rPr>
        <w:t>we map </w:t>
      </w:r>
      <w:r w:rsidRPr="00F11E93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:highlight w:val="yellow"/>
          <w14:ligatures w14:val="none"/>
        </w:rPr>
        <w:t>geological availability</w:t>
      </w:r>
      <w:r w:rsidRPr="00F11E93">
        <w:rPr>
          <w:rFonts w:ascii="Segoe UI" w:eastAsia="Times New Roman" w:hAnsi="Segoe UI" w:cs="Segoe UI"/>
          <w:color w:val="839496"/>
          <w:kern w:val="0"/>
          <w:sz w:val="21"/>
          <w:szCs w:val="21"/>
          <w:highlight w:val="yellow"/>
          <w14:ligatures w14:val="none"/>
        </w:rPr>
        <w:t>, not </w:t>
      </w:r>
      <w:r w:rsidRPr="00F11E93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:highlight w:val="yellow"/>
          <w14:ligatures w14:val="none"/>
        </w:rPr>
        <w:t>quarry capacity or permitting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 The transport layer partly compensates (remote sources are expensive), but a production version should intersect with an active-quarry inventory. Frame the current map as an upper bound on feedstock access.</w:t>
      </w:r>
    </w:p>
    <w:p w14:paraId="306485B2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2. Fixed vs variable components of transportation cost</w:t>
      </w:r>
    </w:p>
    <w:p w14:paraId="1B69D03D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Transport is modeled as purely </w:t>
      </w:r>
      <w:r w:rsidRPr="00442E3B">
        <w:rPr>
          <w:rFonts w:ascii="Segoe UI" w:eastAsia="Times New Roman" w:hAnsi="Segoe UI" w:cs="Segoe UI"/>
          <w:b/>
          <w:bCs/>
          <w:i/>
          <w:iCs/>
          <w:color w:val="839496"/>
          <w:kern w:val="0"/>
          <w:sz w:val="21"/>
          <w:szCs w:val="21"/>
          <w14:ligatures w14:val="none"/>
        </w:rPr>
        <w:t>variable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 (distance/time-proportional):</w:t>
      </w:r>
    </w:p>
    <w:p w14:paraId="45666E14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transport_cost ($/t) = travel_time(min) × $0.04/min/t</w:t>
      </w:r>
    </w:p>
    <w:p w14:paraId="0599DEC5" w14:textId="77777777" w:rsidR="00442E3B" w:rsidRPr="00442E3B" w:rsidRDefault="00442E3B" w:rsidP="00442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F11E93">
        <w:rPr>
          <w:rFonts w:ascii="Menlo" w:eastAsia="Times New Roman" w:hAnsi="Menlo" w:cs="Menlo"/>
          <w:color w:val="D7BA7D"/>
          <w:kern w:val="0"/>
          <w:sz w:val="21"/>
          <w:szCs w:val="21"/>
          <w:highlight w:val="yellow"/>
          <w14:ligatures w14:val="none"/>
        </w:rPr>
        <w:t>$0.04/min/t</w:t>
      </w:r>
      <w:r w:rsidRPr="00F11E93">
        <w:rPr>
          <w:rFonts w:ascii="Segoe UI" w:eastAsia="Times New Roman" w:hAnsi="Segoe UI" w:cs="Segoe UI"/>
          <w:color w:val="839496"/>
          <w:kern w:val="0"/>
          <w:sz w:val="21"/>
          <w:szCs w:val="21"/>
          <w:highlight w:val="yellow"/>
          <w14:ligatures w14:val="none"/>
        </w:rPr>
        <w:t> = a 30-tonne truck at ~$80/hr operating cost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 xml:space="preserve">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USD_PER_MIN_PER_T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).</w:t>
      </w:r>
    </w:p>
    <w:p w14:paraId="7B03D573" w14:textId="77777777" w:rsidR="00442E3B" w:rsidRPr="00442E3B" w:rsidRDefault="00442E3B" w:rsidP="00442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travel_time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= accumulated cost-distance from the nearest basalt source over the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Malaria Atlas Project friction surface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(Weiss et al. 2020, nominal 2019), which folds in roads, terrain, rivers, urban slow-downs.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terra::costDist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</w:t>
      </w:r>
    </w:p>
    <w:p w14:paraId="5D208B38" w14:textId="77777777" w:rsidR="00442E3B" w:rsidRPr="00442E3B" w:rsidRDefault="00442E3B" w:rsidP="00442E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Haul distance for the LCA is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travel_time × 0.5 km/min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(≈30 km/h effective). Pixels beyond a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1,000 km cap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are treated as unreachable.</w:t>
      </w:r>
    </w:p>
    <w:p w14:paraId="4489D981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The genuinely fixed (per-tonne, location-independent) costs live elsewhere in the stack: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quarry-gate feedstock ($10/t), grinding (set by grain size and local power price), and spreading ($8/t). See the Q3 table.</w:t>
      </w:r>
    </w:p>
    <w:p w14:paraId="776A14DC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lastRenderedPageBreak/>
        <w:t>Weak spot / response.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There is </w:t>
      </w:r>
      <w:r w:rsidRPr="00F11E93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:highlight w:val="yellow"/>
          <w14:ligatures w14:val="none"/>
        </w:rPr>
        <w:t>no separate fixed loading/handling charge, no backhaul/return-trip accounting, no rail option, and no trucking economies of scale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- it's a linear per-tonne-per-minute haulage cost. That likely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overstates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marginal cost for long, high-volume, road- or rail-served hauls and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understates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the fixed cost of short hauls. Honest framing: a transparent first-order haulage proxy; the sensitivity analysis should sweep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$/min/t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because delivered cost is the dominant swing variable.</w:t>
      </w:r>
    </w:p>
    <w:p w14:paraId="3BAF2473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3. Explicit "other costs" (grinding + feedstock + spreading + ?) - table</w:t>
      </w:r>
    </w:p>
    <w:p w14:paraId="4916123D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Delivered basalt cost is decomposed per tonne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erw-7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erw-3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erw-basalt-access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810"/>
        <w:gridCol w:w="1520"/>
        <w:gridCol w:w="3358"/>
      </w:tblGrid>
      <w:tr w:rsidR="00442E3B" w:rsidRPr="00442E3B" w14:paraId="6679635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68C6B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5D20A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Value (reference)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7BC7F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73F6E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Basis / source</w:t>
            </w:r>
          </w:p>
        </w:tc>
      </w:tr>
      <w:tr w:rsidR="00442E3B" w:rsidRPr="00442E3B" w14:paraId="1327610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598C3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Ex-quarry feedstock (quarry gate)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25099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$10 / 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ADCAB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fixed per 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7052DA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basalt-fines aggregate by-product price (</w:t>
            </w:r>
            <w:r w:rsidRPr="00442E3B">
              <w:rPr>
                <w:rFonts w:ascii="Menlo" w:eastAsia="Times New Roman" w:hAnsi="Menlo" w:cs="Menlo"/>
                <w:color w:val="D7BA7D"/>
                <w:kern w:val="0"/>
                <w:sz w:val="21"/>
                <w:szCs w:val="21"/>
                <w14:ligatures w14:val="none"/>
              </w:rPr>
              <w:t>QUARRY_GATE_USD_T</w:t>
            </w: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442E3B" w:rsidRPr="00442E3B" w14:paraId="5E6B2D1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1BEFA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Grinding to 50 µm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86591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≈$1.94 / t</w:t>
            </w: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 at $0.10/kWh; per-pixel = </w:t>
            </w: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19.4 kWh/t × local electricity 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D6956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fixed per t (varies by country power price)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EACE3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Strefler et al. 2018 grinding-energy curve; 0.07 GJ/t = 19.4 kWh/t at 50 µm</w:t>
            </w:r>
          </w:p>
        </w:tc>
      </w:tr>
      <w:tr w:rsidR="00442E3B" w:rsidRPr="00442E3B" w14:paraId="6405CB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EF8FC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Transport (haulage)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2BA54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travel_time × $0.04/min/t</w:t>
            </w: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 (spatial)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3201B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variable (distance)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35B64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30-t truck @ ~$80/hr over MAP friction surface (Q2)</w:t>
            </w:r>
          </w:p>
        </w:tc>
      </w:tr>
      <w:tr w:rsidR="00442E3B" w:rsidRPr="00442E3B" w14:paraId="2AB89E5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CBFE0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Spreading (on-farm application)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9D57B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$8 / 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4FB91B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fixed per 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D3074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Menlo" w:eastAsia="Times New Roman" w:hAnsi="Menlo" w:cs="Menlo"/>
                <w:color w:val="D7BA7D"/>
                <w:kern w:val="0"/>
                <w:sz w:val="21"/>
                <w:szCs w:val="21"/>
                <w14:ligatures w14:val="none"/>
              </w:rPr>
              <w:t>SPREADING_USD_T</w:t>
            </w:r>
          </w:p>
        </w:tc>
      </w:tr>
      <w:tr w:rsidR="00442E3B" w:rsidRPr="00442E3B" w14:paraId="2F85EF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F6566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= Delivered cost / t basalt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19BDA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quarry + grind + transport + spread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4AA9A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19676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consumed by </w:t>
            </w:r>
            <w:r w:rsidRPr="00442E3B">
              <w:rPr>
                <w:rFonts w:ascii="Menlo" w:eastAsia="Times New Roman" w:hAnsi="Menlo" w:cs="Menlo"/>
                <w:color w:val="D7BA7D"/>
                <w:kern w:val="0"/>
                <w:sz w:val="21"/>
                <w:szCs w:val="21"/>
                <w14:ligatures w14:val="none"/>
              </w:rPr>
              <w:t>erw-7</w:t>
            </w: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 as </w:t>
            </w:r>
            <w:r w:rsidRPr="00442E3B">
              <w:rPr>
                <w:rFonts w:ascii="Menlo" w:eastAsia="Times New Roman" w:hAnsi="Menlo" w:cs="Menlo"/>
                <w:color w:val="D7BA7D"/>
                <w:kern w:val="0"/>
                <w:sz w:val="21"/>
                <w:szCs w:val="21"/>
                <w14:ligatures w14:val="none"/>
              </w:rPr>
              <w:t>basalt_cost_per_t</w:t>
            </w:r>
          </w:p>
        </w:tc>
      </w:tr>
      <w:tr w:rsidR="00442E3B" w:rsidRPr="00442E3B" w14:paraId="5927CE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E27A5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MRV (separate)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3CDFE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b/>
                <w:bCs/>
                <w:color w:val="839496"/>
                <w:kern w:val="0"/>
                <w:sz w:val="21"/>
                <w:szCs w:val="21"/>
                <w14:ligatures w14:val="none"/>
              </w:rPr>
              <w:t>$20 / tCO₂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25612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per tCO₂, netted from carbon price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CF7B5" w14:textId="77777777" w:rsidR="00442E3B" w:rsidRPr="00442E3B" w:rsidRDefault="00442E3B" w:rsidP="00442E3B">
            <w:pPr>
              <w:spacing w:after="168" w:line="240" w:lineRule="auto"/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</w:pPr>
            <w:r w:rsidRPr="00442E3B">
              <w:rPr>
                <w:rFonts w:ascii="Segoe UI" w:eastAsia="Times New Roman" w:hAnsi="Segoe UI" w:cs="Segoe UI"/>
                <w:color w:val="839496"/>
                <w:kern w:val="0"/>
                <w:sz w:val="21"/>
                <w:szCs w:val="21"/>
                <w14:ligatures w14:val="none"/>
              </w:rPr>
              <w:t>see Q4</w:t>
            </w:r>
          </w:p>
        </w:tc>
      </w:tr>
    </w:tbl>
    <w:p w14:paraId="67304FF5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Two things are handled as CO₂, not dollars, and are subtracted from gross removal (lifecycle emissions, kg CO₂/t basalt): grinding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kWh/t × grid carbon intensity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country raster; fallback 0.60 kgCO₂/kWh), transport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km × 0.12 kgCO₂/t-km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diesel truck), and spreading (0.5 kgCO₂/t).</w:t>
      </w:r>
    </w:p>
    <w:p w14:paraId="4378620A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A cost table like this belongs in the paper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(or SI) - it's the clearest way to preempt Q2-Q4 and it's currently only in prose/comments.</w:t>
      </w:r>
    </w:p>
    <w:p w14:paraId="7C55F305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lastRenderedPageBreak/>
        <w:t>Weak spot.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Grinding-plant capex, quarry royalties, storage, and financing are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not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itemized - they are implicitly inside the $10 quarry gate and the energy-based grinding proxy. The $10/t is optimistic (assumes fines are a cheap by-product); worth a sensitivity row.</w:t>
      </w:r>
    </w:p>
    <w:p w14:paraId="0858FB69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4. The MRV assumption, explicitly</w:t>
      </w:r>
    </w:p>
    <w:p w14:paraId="58B19088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MRV = $20 per tCO₂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subtracted directly from the carbon price so revenue =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net_CDR × (carbon_price − MRV) = net_CDR × ($150 − $20)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MRV_COST_USD_T_CO2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in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erw-7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</w:t>
      </w:r>
    </w:p>
    <w:p w14:paraId="2F02A3C0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The stack it represents: field sampling, lab analysis, verification, and registry fees. Code comment records the reasoning: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$30/tCO₂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the first-of-kind pilot benchmark (Levy et al. 2024);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$20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the at-scale aggregator/pooling target (Isometric/Puro-type protocols, 2027+). We use the optimistic-but-defensible $20 in the headline.</w:t>
      </w:r>
    </w:p>
    <w:p w14:paraId="1350B746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Weak spot / response.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Real early-market ERW MRV (dense soil/water sampling, uncertain reactive-transport models) can run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far above $20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- some estimates put first-mover MRV at $50-100+/tCO₂. Since MRV enters one-for-one with price, it's a first-order lever. Response: hold it explicit, sweep $20/$30/$50, and note the headline uses the mature-market value.</w:t>
      </w:r>
    </w:p>
    <w:p w14:paraId="1A93A697" w14:textId="77777777" w:rsidR="00442E3B" w:rsidRPr="00442E3B" w:rsidRDefault="000169B3" w:rsidP="00442E3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69B3">
        <w:rPr>
          <w:rFonts w:ascii="Times New Roman" w:eastAsia="Times New Roman" w:hAnsi="Times New Roman" w:cs="Times New Roman"/>
          <w:noProof/>
          <w:kern w:val="0"/>
        </w:rPr>
        <w:pict w14:anchorId="6F3AF7E6">
          <v:rect id="_x0000_i1028" style="width:0;height:.75pt" o:hralign="center" o:hrstd="t" o:hr="t" fillcolor="#a0a0a0" stroked="f"/>
        </w:pict>
      </w:r>
    </w:p>
    <w:p w14:paraId="2D6A9E23" w14:textId="77777777" w:rsidR="00442E3B" w:rsidRPr="00442E3B" w:rsidRDefault="00442E3B" w:rsidP="00442E3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  <w:t>B. Carbon accounting (slides 8-9)</w:t>
      </w:r>
    </w:p>
    <w:p w14:paraId="6E416FCA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5. Definition of "durable" CDR</w:t>
      </w:r>
    </w:p>
    <w:p w14:paraId="5F6A98BC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Two deductions, applied in sequence, define what we credit:</w:t>
      </w:r>
    </w:p>
    <w:p w14:paraId="177243FC" w14:textId="77777777" w:rsidR="00442E3B" w:rsidRPr="00442E3B" w:rsidRDefault="00442E3B" w:rsidP="00442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Gross CDR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- CO₂ consumed by basalt weathering, scaled by a climate (temperature/precipitation) factor and a small pedogenic-carbonate loss in arid zones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erw-9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).</w:t>
      </w:r>
    </w:p>
    <w:p w14:paraId="15A6CC4D" w14:textId="77777777" w:rsidR="00442E3B" w:rsidRPr="00442E3B" w:rsidRDefault="00442E3B" w:rsidP="00442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Net-export CDR = max(gross − F·S, 0)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- subtract the alkalinity consumed neutralizing soil acidity, which re-releases its CO₂ (Q7).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This is the "durable" quantity: alkalinity that leaves the field as bicarbonate (HCO₃⁻) with drainage and is stored in rivers/ocean for &gt;10,000 years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(Renforth 2019; Kanzaki et al. 2023). It is durable in the geochemical-permanence sense.</w:t>
      </w:r>
    </w:p>
    <w:p w14:paraId="3AF870D4" w14:textId="77777777" w:rsidR="00442E3B" w:rsidRPr="00442E3B" w:rsidRDefault="00442E3B" w:rsidP="00442E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Net (creditable) CDR = net-export − lifecycle supply-chain emissions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(grinding/transport/spreading CO₂). Revenue is on this figure.</w:t>
      </w:r>
    </w:p>
    <w:p w14:paraId="680D3A19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So "durable" = removal that survives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both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the acidity re-release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and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the supply-chain emissions - carbon that is actually gone for millennia.</w:t>
      </w:r>
    </w:p>
    <w:p w14:paraId="5E7ABD0D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Weak spot.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"&gt;10,000 years" is the ocean-alkalinity permanence argument; it assumes the bicarbonate reaches and stays in drainage/ocean. Riverine/estuarine CO₂ evasion (some HCO₃⁻ degasses en route) is not modeled and would trim durability further.</w:t>
      </w:r>
    </w:p>
    <w:p w14:paraId="25B3921C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lastRenderedPageBreak/>
        <w:t>6. Slide 8 - units of "Durable CDR (Mt)" and "% treated"</w:t>
      </w:r>
    </w:p>
    <w:p w14:paraId="74F915B5" w14:textId="77777777" w:rsidR="00442E3B" w:rsidRPr="00442E3B" w:rsidRDefault="00442E3B" w:rsidP="00442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Durable CDR (Mt)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= millions of tonnes of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CO₂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durably removed per year (net-export basis, equilibrium regime), summed over the area that is public-viable at that carbon price. Metric tonnes CO₂, not tonnes C.</w:t>
      </w:r>
    </w:p>
    <w:p w14:paraId="12C2C348" w14:textId="77777777" w:rsidR="00442E3B" w:rsidRPr="00442E3B" w:rsidRDefault="00442E3B" w:rsidP="00442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% treated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= share of the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17.6 Mha of "treated cropland"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- the acid-eligible cropland that receives the targeted (lime-equivalent) dose (defined in Q12). It is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not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all cropland. The manuscript also reports the all-cropland share (of 146 Mha, ~one-eighth of the treated share) for reference. So "$150 → 9.4% treated" means 1.65 Mha of the 17.6 Mha treated base, ≈1.1% of all SSA cropland.</w:t>
      </w:r>
    </w:p>
    <w:p w14:paraId="54CA64AA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7. Slide 9 - reference for </w:t>
      </w:r>
      <w:r w:rsidRPr="00442E3B">
        <w:rPr>
          <w:rFonts w:ascii="Menlo" w:eastAsia="Times New Roman" w:hAnsi="Menlo" w:cs="Menlo"/>
          <w:b/>
          <w:bCs/>
          <w:color w:val="D7BA7D"/>
          <w:kern w:val="0"/>
          <w:sz w:val="30"/>
          <w:szCs w:val="30"/>
          <w14:ligatures w14:val="none"/>
        </w:rPr>
        <w:t>durable = max(gross − F·S, 0)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, and F = 0.88</w:t>
      </w:r>
    </w:p>
    <w:p w14:paraId="7384C0D8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The equation is mass balance, not a fitted parameter.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It's our own derivation (documented in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paper/netexport-cdr-memo.md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), resting on the standard geochemistry that neutralizing acidity re-releases CO₂ exactly as agricultural lime does (Hartmann et al. 2013; the lime analogy is textbook). The acidity sink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the soil's lime requirement in t CaCO₃/ha, computed by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erw-3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via the LiTAS/Kamprath method (Aramburu-Merlos et al. 2023).</w:t>
      </w:r>
    </w:p>
    <w:p w14:paraId="46E71EAC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F = 0.88 tCO₂ per t CaCO₃-equivalent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falls straight out of the feedstock's own constants:</w:t>
      </w:r>
    </w:p>
    <w:p w14:paraId="2B907E3C" w14:textId="77777777" w:rsidR="00442E3B" w:rsidRPr="00442E3B" w:rsidRDefault="00442E3B" w:rsidP="00442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Menlo" w:eastAsia="Times New Roman" w:hAnsi="Menlo" w:cs="Menlo"/>
          <w:color w:val="839496"/>
          <w:kern w:val="0"/>
          <w:sz w:val="21"/>
          <w:szCs w:val="21"/>
          <w14:ligatures w14:val="none"/>
        </w:rPr>
        <w:t>F = CDR_eff / effective_NV</w:t>
      </w:r>
    </w:p>
    <w:p w14:paraId="61477DCA" w14:textId="77777777" w:rsidR="00442E3B" w:rsidRPr="00442E3B" w:rsidRDefault="00442E3B" w:rsidP="00442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Menlo" w:eastAsia="Times New Roman" w:hAnsi="Menlo" w:cs="Menlo"/>
          <w:color w:val="839496"/>
          <w:kern w:val="0"/>
          <w:sz w:val="21"/>
          <w:szCs w:val="21"/>
          <w14:ligatures w14:val="none"/>
        </w:rPr>
        <w:t xml:space="preserve">  = 87.6 kg CO2 per t basalt  ÷  99.6 kg CaCO3-eq per t basalt</w:t>
      </w:r>
    </w:p>
    <w:p w14:paraId="0EB19EDA" w14:textId="77777777" w:rsidR="00442E3B" w:rsidRPr="00442E3B" w:rsidRDefault="00442E3B" w:rsidP="00442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Menlo" w:eastAsia="Times New Roman" w:hAnsi="Menlo" w:cs="Menlo"/>
          <w:color w:val="839496"/>
          <w:kern w:val="0"/>
          <w:sz w:val="21"/>
          <w:szCs w:val="21"/>
          <w14:ligatures w14:val="none"/>
        </w:rPr>
        <w:t xml:space="preserve">  = 0.88 tCO2 / tCaCO3-eq</w:t>
      </w:r>
    </w:p>
    <w:p w14:paraId="4F27DD52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Plainly: one tonne of our basalt removes 87.6 kg CO₂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and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supplies 99.6 kg of acid-neutralizing capacity. So each unit of neutralizing capacity "carries" 0.88 units of CO₂ - and when that capacity is spent fighting soil acidity instead of exporting, that 0.88 is re-released.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per-regime: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standing exchangeable acidity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caco3_kamprath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 for year-1/NPV,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annual maintenance acidity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caco3_merlos_maintenance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 for equilibrium.</w:t>
      </w:r>
    </w:p>
    <w:p w14:paraId="4762819C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Important reproducibility note (be ready for this).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erw-9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writes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both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gross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cdr_yield_*.tif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 and net-export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cdr_yield_*_netexport.tif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 rasters. The headline net-export envelopes were produced by the analysis engine that applies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max(gross − F·S,0)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directly; </w:t>
      </w:r>
      <w:r w:rsidRPr="00442E3B">
        <w:rPr>
          <w:rFonts w:ascii="Menlo" w:eastAsia="Times New Roman" w:hAnsi="Menlo" w:cs="Menlo"/>
          <w:b/>
          <w:bCs/>
          <w:color w:val="D7BA7D"/>
          <w:kern w:val="0"/>
          <w:sz w:val="21"/>
          <w:szCs w:val="21"/>
          <w14:ligatures w14:val="none"/>
        </w:rPr>
        <w:t>erw-7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 as currently committed reads the gross rasters.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Before submission we should repoint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erw-7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/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erw-11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at the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_netexport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layers so the R pipeline reproduces the headline end-to-end. If asked "does the committed pipeline produce the net-export numbers in one run?" - the honest answer is "the deduction is implemented in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erw-9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and the analysis engine; wiring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erw-7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to consume it is a cleanup item on the reproducibility checklist."</w:t>
      </w:r>
    </w:p>
    <w:p w14:paraId="291309F3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Weak spot we already flag (memo §6).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This is a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first-order sequential bound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- it assumes the acidity sink is fully paid down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before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any alkalinity exports. Reality is simultaneous: some carbon exports even on acid soils, and re-acidification keeps regenerating the sink. Truth lies between "gross" (old) and "net" (this). We present both as bounds and lead the carbon case on equilibrium, where they converge.</w:t>
      </w:r>
    </w:p>
    <w:p w14:paraId="5A7185AB" w14:textId="77777777" w:rsidR="00442E3B" w:rsidRPr="00442E3B" w:rsidRDefault="000169B3" w:rsidP="00442E3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69B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26EDB25">
          <v:rect id="_x0000_i1027" style="width:0;height:.75pt" o:hralign="center" o:hrstd="t" o:hr="t" fillcolor="#a0a0a0" stroked="f"/>
        </w:pict>
      </w:r>
    </w:p>
    <w:p w14:paraId="5021DB85" w14:textId="77777777" w:rsidR="00442E3B" w:rsidRPr="00442E3B" w:rsidRDefault="00442E3B" w:rsidP="00442E3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  <w:t>C. Agronomic response (slide 10) and kinetics (slides 10-11)</w:t>
      </w:r>
    </w:p>
    <w:p w14:paraId="3DEF5475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8. The EcoCrop model; which crops; pH vs exchangeable acidity</w:t>
      </w:r>
    </w:p>
    <w:p w14:paraId="2187EFDC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EcoCrop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FAO's crop environmental-requirements database; we run it through the R package </w:t>
      </w:r>
      <w:r w:rsidRPr="00442E3B">
        <w:rPr>
          <w:rFonts w:ascii="Menlo" w:eastAsia="Times New Roman" w:hAnsi="Menlo" w:cs="Menlo"/>
          <w:b/>
          <w:bCs/>
          <w:color w:val="D7BA7D"/>
          <w:kern w:val="0"/>
          <w:sz w:val="21"/>
          <w:szCs w:val="21"/>
          <w14:ligatures w14:val="none"/>
        </w:rPr>
        <w:t>Recocrop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 It maps an environmental variable to a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relative yield (0-1)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using a piecewise-linear/trapezoidal response defined by breakpoints (absolute min, optimum-lower, optimum-upper, absolute max).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erw-4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erw-5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</w:t>
      </w:r>
    </w:p>
    <w:p w14:paraId="77099F37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Crops (23, all SPAM):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maize, sorghum, common bean, chickpea, lentil, wheat, barley, arabica &amp; robusta coffee, pearl &amp; finger millet, potato, sweet potato, cassava, cowpea, pigeon pea, soybean, groundnut, sugarcane, cotton, cocoa, tea, tobacco.</w:t>
      </w:r>
    </w:p>
    <w:p w14:paraId="472DE815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Which variable - the key point: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the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headline model runs on </w:t>
      </w:r>
      <w:r w:rsidRPr="00442E3B">
        <w:rPr>
          <w:rFonts w:ascii="Segoe UI" w:eastAsia="Times New Roman" w:hAnsi="Segoe UI" w:cs="Segoe UI"/>
          <w:b/>
          <w:bCs/>
          <w:i/>
          <w:iCs/>
          <w:color w:val="839496"/>
          <w:kern w:val="0"/>
          <w:sz w:val="21"/>
          <w:szCs w:val="21"/>
          <w14:ligatures w14:val="none"/>
        </w:rPr>
        <w:t>acidity saturation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 (exchangeable acidity as % of ECEC - effectively aluminum saturation), not pH.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This is the mechanistically correct driver of acid-soil yield loss (Al³⁺ toxicity), and it's what the targeting and yield-loss layers use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resp_hp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soil$hp_sat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vs per-crop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ac_sat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tolerance). We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also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compute a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pH-based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response as an alternative/robustness layer. Yield loss is clamped to [0.2, 1] (we never let ERW "create" more than a 5× yield or a full crop failure).</w:t>
      </w:r>
    </w:p>
    <w:p w14:paraId="472D4512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Weak spot / response (a sharp coauthor may catch this).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The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over-liming penalty prototype (Refinement 1) was built on the EcoCrop </w:t>
      </w:r>
      <w:r w:rsidRPr="00442E3B">
        <w:rPr>
          <w:rFonts w:ascii="Segoe UI" w:eastAsia="Times New Roman" w:hAnsi="Segoe UI" w:cs="Segoe UI"/>
          <w:b/>
          <w:bCs/>
          <w:i/>
          <w:iCs/>
          <w:color w:val="839496"/>
          <w:kern w:val="0"/>
          <w:sz w:val="21"/>
          <w:szCs w:val="21"/>
          <w14:ligatures w14:val="none"/>
        </w:rPr>
        <w:t>pH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 ceiling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(post-application pH pushed past the crop optimum), whereas the core envelope model runs on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acidity saturation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 That's a mild internal inconsistency of variable. Defensible response: over-liming (raising pH past optimum, inducing micronutrient lock-up) is genuinely a pH phenomenon, so using the pH ceiling for the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penalty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appropriate even though the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baseline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yield gain is driven by relieving Al saturation - but we should state this explicitly and, ideally, express both on a common axis.</w:t>
      </w:r>
    </w:p>
    <w:p w14:paraId="2EBF9C68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9. Slide 10 - buffered shift and the sensitivity band (Refinement 1)</w:t>
      </w:r>
    </w:p>
    <w:p w14:paraId="07E00598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Buffered shift.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How far pH moves for a given dose of reacted alkalinity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A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:</w:t>
      </w:r>
    </w:p>
    <w:p w14:paraId="38435A75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final_pH ≈ pH0 + A / β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where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β = kβ · ECEC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and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A = gross_CDR / F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</w:t>
      </w:r>
    </w:p>
    <w:p w14:paraId="0AF203DD" w14:textId="77777777" w:rsidR="00442E3B" w:rsidRPr="00442E3B" w:rsidRDefault="00442E3B" w:rsidP="00442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A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= reacted alkalinity (t CaCO₃-eq/ha), backed out of gross CDR by the same factor F.</w:t>
      </w:r>
    </w:p>
    <w:p w14:paraId="018AE219" w14:textId="77777777" w:rsidR="00442E3B" w:rsidRPr="00442E3B" w:rsidRDefault="00442E3B" w:rsidP="00442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β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= the soil's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buffering capacity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- how much alkalinity it takes to move pH one unit. Higher ECEC (cation exchange capacity) → more buffered → smaller pH move per tonne.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kβ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the (uncertain) proportionality between ECEC and buffering.</w:t>
      </w:r>
    </w:p>
    <w:p w14:paraId="48107E06" w14:textId="77777777" w:rsidR="00442E3B" w:rsidRPr="00442E3B" w:rsidRDefault="00442E3B" w:rsidP="00442E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Once the acidity demand is met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A &gt; 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), extra alkalinity pushes pH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above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neutral toward the crop's ceiling; the EcoCrop pH response then applies a yield haircut past the optimum. That's the over-liming penalty.</w:t>
      </w:r>
    </w:p>
    <w:p w14:paraId="3BBF74B6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lastRenderedPageBreak/>
        <w:t>Sensitivity band.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Because both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kβ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(buffering) and the realized-alkalinity multiplier on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A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are uncertain, we carry a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low-high band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over them: low penalty =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(mA=0.5, kβ=2.0)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central =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(1.0, 1.0)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high =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(1.5, 0.5)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. "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Uniform-50 is where it bites hardest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" because a blanket 50 t/ha dose massively over-applies relative to the lime requirement on most pixels, so pH is driven far past the optimum: the private return there falls from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$997M (no penalty) to $814M central and ~$8M in the high scenario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- i.e., aggressive uniform over-liming can erase the private return, while the targeted dose is barely touched (4.31 → 4.02 Mha, −7%). This is the intended message: moderate, targeted doses are robust; blanket-high doses are fragile.</w:t>
      </w:r>
    </w:p>
    <w:p w14:paraId="3AED48D4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Weak spot.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kβ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not calibrated to SSA soils - it's a plausible range, not a measured relationship. Say so.</w:t>
      </w:r>
    </w:p>
    <w:p w14:paraId="3C0FB745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10. Source of the kinetic-saturation assumption (Refinement 2)</w:t>
      </w:r>
    </w:p>
    <w:p w14:paraId="41F6AC21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Honest answer: this is a functional-form stress test, not a calibrated relationship.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The multiplier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sat(D) = (Kd + 50)/(Kd + D)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encodes the well-documented qualitative finding that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per-tonne weathering efficiency declines as application rate rises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(a given soil column, moisture, and CO₂ supply can only weather so much rock per year). It is anchored to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Lewis et al. (2021)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whose ~50 t/ha experiment we use as the reference dose where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sat = 1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and to the general saturation behavior seen in mesocosm/column studies (e.g., Strefler et al. 2018 on grain-size/rate trade-offs).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The half-saturation constant </w:t>
      </w:r>
      <w:r w:rsidRPr="00442E3B">
        <w:rPr>
          <w:rFonts w:ascii="Menlo" w:eastAsia="Times New Roman" w:hAnsi="Menlo" w:cs="Menlo"/>
          <w:b/>
          <w:bCs/>
          <w:color w:val="D7BA7D"/>
          <w:kern w:val="0"/>
          <w:sz w:val="21"/>
          <w:szCs w:val="21"/>
          <w14:ligatures w14:val="none"/>
        </w:rPr>
        <w:t>Kd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 itself is uncalibrated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which is exactly why we report a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band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Kd = ∞/60/30/15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 rather than a point estimate.</w:t>
      </w:r>
    </w:p>
    <w:p w14:paraId="2F365491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Why this matters for the story (and the likely follow-up).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We show that saturation makes CDR concave in dose (creating an interior optimum) but does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not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drive the public envelope to zero - below the 50 t/ha reference, normalized per-tonne reactivity is actually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higher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so at targeted doses durable CDR rises. The binding constraint on the carbon case is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MAC &gt; price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(median MAC $446/tCO₂ vs $150 price),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not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kinetics. If pushed - "so you can't cite a number for Kd?" - concede it's uncalibrated and frame it as sensitivity, then pivot to the MAC point, which does not depend on it.</w:t>
      </w:r>
    </w:p>
    <w:p w14:paraId="52570BB4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11. Slide 12 - "Equilibrium: steady-state durable removal" in plain language</w:t>
      </w:r>
    </w:p>
    <w:p w14:paraId="7068C7BD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Yes, that bullet reads like jargon. Here's the plain version to use:</w:t>
      </w:r>
    </w:p>
    <w:p w14:paraId="7EC38535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The model runs three timeframes.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Year-1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the first application on soil that still carries its full historical acidity load.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Equilibrium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is the long-run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maintenance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phase: picture a field whose acidity has already been neutralized (by past liming or earlier ERW), so each year you only add enough basalt to offset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that year's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fresh acidification - from fertilizer, crop removal, and rainfall. In that maintenance state, very little of the weathering is "spent" fighting a backlog of acidity, so most of the alkalinity exports as bicarbonate and counts as durable carbon removal.</w:t>
      </w:r>
    </w:p>
    <w:p w14:paraId="2DDA4382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We headline equilibrium because year-1 CDR is dominated by paying down a one-time acidity debt (mostly re-released, per Q7), whereas the maintenance/steady state is what an ongoing ERW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program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actually looks like. Retention illustrates it: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 xml:space="preserve">year-1/NPV retains only ~19-23% of gross 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lastRenderedPageBreak/>
        <w:t>CDR as durable; equilibrium retains ~73-87%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(net-export memo §4). Swap the slide wording to: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"the ongoing maintenance phase, once soils are already at target - when most weathering goes to carbon rather than to clearing an acidity backlog."</w:t>
      </w:r>
    </w:p>
    <w:p w14:paraId="295C9271" w14:textId="77777777" w:rsidR="00442E3B" w:rsidRPr="00442E3B" w:rsidRDefault="000169B3" w:rsidP="00442E3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69B3">
        <w:rPr>
          <w:rFonts w:ascii="Times New Roman" w:eastAsia="Times New Roman" w:hAnsi="Times New Roman" w:cs="Times New Roman"/>
          <w:noProof/>
          <w:kern w:val="0"/>
        </w:rPr>
        <w:pict w14:anchorId="3A4E17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6AC613" w14:textId="77777777" w:rsidR="00442E3B" w:rsidRPr="00442E3B" w:rsidRDefault="00442E3B" w:rsidP="00442E3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  <w:t>D. The typology map (slide 14)</w:t>
      </w:r>
    </w:p>
    <w:p w14:paraId="1E3DBC9E" w14:textId="77777777" w:rsidR="00442E3B" w:rsidRPr="00442E3B" w:rsidRDefault="00442E3B" w:rsidP="00442E3B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0"/>
          <w:szCs w:val="30"/>
          <w14:ligatures w14:val="none"/>
        </w:rPr>
        <w:t>12. The universe of candidate (non-white) pixels</w:t>
      </w:r>
    </w:p>
    <w:p w14:paraId="4179BA96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Non-white pixels = the ~17.6 Mha of "treated cropland": acid-eligible cropland that receives the targeted dose.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Precisely, a pixel is in the universe if, for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at least one of the 23 SPAM crops grown there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, both:</w:t>
      </w:r>
    </w:p>
    <w:p w14:paraId="75F7E761" w14:textId="77777777" w:rsidR="00442E3B" w:rsidRPr="00442E3B" w:rsidRDefault="00442E3B" w:rsidP="00442E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SPAM harvested area &gt; 0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(the crop is actually grown on that pixel),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and</w:t>
      </w:r>
    </w:p>
    <w:p w14:paraId="42745ABE" w14:textId="77777777" w:rsidR="00442E3B" w:rsidRPr="00442E3B" w:rsidRDefault="00442E3B" w:rsidP="00442E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soil acidity saturation exceeds that crop's tolerance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soil$hp_sat &gt; crop ac_sat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 - i.e., the soil is acid enough that liming/ERW is agronomically indicated, so a LiTAS lime-equivalent dose is prescribed.</w:t>
      </w:r>
    </w:p>
    <w:p w14:paraId="04C9F116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erw-7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builds the per-crop mask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area_mask × acid_mask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);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erw-11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then keeps every pixel where the area-weighted combined margin is defined (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wsum &gt; 0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) and classifies it into private / public / intersection / combined-only / neither. Values are area-weighted across the crops sharing the pixel.</w:t>
      </w:r>
    </w:p>
    <w:p w14:paraId="52328619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White pixels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are therefore: non-cropland; cropland that is not acid enough to trigger the targeted dose for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any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crop it grows; or pixels with no defined economics (missing price/soil/CDR). White ≠ "ERW fails" - most white is simply "not acid-eligible" or "not cropland."</w:t>
      </w:r>
    </w:p>
    <w:p w14:paraId="774F5441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Contrast with the uniform-rate maps: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under uniform 10/20/50 the universe is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all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cropland regardless of acidity (matching the Beerling/Baek convention), so those maps have a larger non-white footprint. Slide 14 is the </w:t>
      </w: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targeted, equilibrium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map, so its universe is the acid-eligible 17.6 Mha.</w:t>
      </w:r>
    </w:p>
    <w:p w14:paraId="39604663" w14:textId="77777777" w:rsidR="00442E3B" w:rsidRPr="00442E3B" w:rsidRDefault="00442E3B" w:rsidP="00442E3B">
      <w:pPr>
        <w:spacing w:after="240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Weak spot / response.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The acid-eligibility threshold is crop-specific and depends on the SoilGrids acidity-saturation layer and the EcoCrop </w:t>
      </w:r>
      <w:r w:rsidRPr="00442E3B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ac_sat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tolerances - both uncertain. A reviewer could argue the 17.6 Mha denominator is itself a modeling choice. Fair; it's why we always report shares of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both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treated (17.6 Mha) and all cropland (146 Mha).</w:t>
      </w:r>
    </w:p>
    <w:p w14:paraId="3D7918B6" w14:textId="77777777" w:rsidR="00442E3B" w:rsidRPr="00442E3B" w:rsidRDefault="000169B3" w:rsidP="00442E3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69B3">
        <w:rPr>
          <w:rFonts w:ascii="Times New Roman" w:eastAsia="Times New Roman" w:hAnsi="Times New Roman" w:cs="Times New Roman"/>
          <w:noProof/>
          <w:kern w:val="0"/>
        </w:rPr>
        <w:pict w14:anchorId="48FED932">
          <v:rect id="_x0000_i1025" style="width:0;height:.75pt" o:hralign="center" o:hrstd="t" o:hr="t" fillcolor="#a0a0a0" stroked="f"/>
        </w:pict>
      </w:r>
    </w:p>
    <w:p w14:paraId="69B5C24D" w14:textId="77777777" w:rsidR="00442E3B" w:rsidRPr="00442E3B" w:rsidRDefault="00442E3B" w:rsidP="00442E3B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36"/>
          <w:szCs w:val="36"/>
          <w14:ligatures w14:val="none"/>
        </w:rPr>
        <w:t>Two cross-cutting points to have ready</w:t>
      </w:r>
    </w:p>
    <w:p w14:paraId="7CEBE90C" w14:textId="77777777" w:rsidR="00442E3B" w:rsidRPr="00442E3B" w:rsidRDefault="00442E3B" w:rsidP="00442E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lastRenderedPageBreak/>
        <w:t>Everything is per-pixel and area-weighted across co-located crops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- there is no single "representative farm"; farm </w:t>
      </w:r>
      <w:r w:rsidRPr="00442E3B">
        <w:rPr>
          <w:rFonts w:ascii="Segoe UI" w:eastAsia="Times New Roman" w:hAnsi="Segoe UI" w:cs="Segoe UI"/>
          <w:i/>
          <w:iCs/>
          <w:color w:val="839496"/>
          <w:kern w:val="0"/>
          <w:sz w:val="21"/>
          <w:szCs w:val="21"/>
          <w14:ligatures w14:val="none"/>
        </w:rPr>
        <w:t>counts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are a coarse post-hoc conversion using national average holding sizes (order-of-magnitude only).</w:t>
      </w:r>
    </w:p>
    <w:p w14:paraId="015872D7" w14:textId="77777777" w:rsidR="00442E3B" w:rsidRPr="00442E3B" w:rsidRDefault="00442E3B" w:rsidP="00442E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</w:pPr>
      <w:r w:rsidRPr="00442E3B">
        <w:rPr>
          <w:rFonts w:ascii="Segoe UI" w:eastAsia="Times New Roman" w:hAnsi="Segoe UI" w:cs="Segoe UI"/>
          <w:b/>
          <w:bCs/>
          <w:color w:val="839496"/>
          <w:kern w:val="0"/>
          <w:sz w:val="21"/>
          <w:szCs w:val="21"/>
          <w14:ligatures w14:val="none"/>
        </w:rPr>
        <w:t>The three levers that actually move the public envelope</w:t>
      </w:r>
      <w:r w:rsidRPr="00442E3B">
        <w:rPr>
          <w:rFonts w:ascii="Segoe UI" w:eastAsia="Times New Roman" w:hAnsi="Segoe UI" w:cs="Segoe UI"/>
          <w:color w:val="839496"/>
          <w:kern w:val="0"/>
          <w:sz w:val="21"/>
          <w:szCs w:val="21"/>
          <w14:ligatures w14:val="none"/>
        </w:rPr>
        <w:t> are carbon price, delivered cost, and durable-CDR-per-tonne (MAC = cost ÷ durable CDR). Net-export accounting and MAC &gt; price - not kinetic saturation - are what keep the carbon-only case small at today's $150. This is the line to return to whenever a carbon question gets into the weeds.</w:t>
      </w:r>
    </w:p>
    <w:p w14:paraId="6CD858C5" w14:textId="77777777" w:rsidR="00442E3B" w:rsidRDefault="00442E3B" w:rsidP="00442E3B"/>
    <w:sectPr w:rsidR="00442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7F2B03"/>
    <w:multiLevelType w:val="multilevel"/>
    <w:tmpl w:val="AFE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4391"/>
    <w:multiLevelType w:val="multilevel"/>
    <w:tmpl w:val="8BB6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7178"/>
    <w:multiLevelType w:val="multilevel"/>
    <w:tmpl w:val="A3AC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02E50"/>
    <w:multiLevelType w:val="multilevel"/>
    <w:tmpl w:val="D55E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763B6"/>
    <w:multiLevelType w:val="multilevel"/>
    <w:tmpl w:val="130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95805"/>
    <w:multiLevelType w:val="hybridMultilevel"/>
    <w:tmpl w:val="AA608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AA2993"/>
    <w:multiLevelType w:val="multilevel"/>
    <w:tmpl w:val="40A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70144"/>
    <w:multiLevelType w:val="multilevel"/>
    <w:tmpl w:val="882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763364">
    <w:abstractNumId w:val="5"/>
  </w:num>
  <w:num w:numId="2" w16cid:durableId="666597524">
    <w:abstractNumId w:val="6"/>
  </w:num>
  <w:num w:numId="3" w16cid:durableId="37097505">
    <w:abstractNumId w:val="0"/>
  </w:num>
  <w:num w:numId="4" w16cid:durableId="300697221">
    <w:abstractNumId w:val="3"/>
  </w:num>
  <w:num w:numId="5" w16cid:durableId="1306010684">
    <w:abstractNumId w:val="1"/>
  </w:num>
  <w:num w:numId="6" w16cid:durableId="1261645844">
    <w:abstractNumId w:val="4"/>
  </w:num>
  <w:num w:numId="7" w16cid:durableId="1749498639">
    <w:abstractNumId w:val="2"/>
  </w:num>
  <w:num w:numId="8" w16cid:durableId="154829449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96"/>
    <w:rsid w:val="000169B3"/>
    <w:rsid w:val="001676F3"/>
    <w:rsid w:val="00277496"/>
    <w:rsid w:val="002A19F6"/>
    <w:rsid w:val="003C2484"/>
    <w:rsid w:val="00442E3B"/>
    <w:rsid w:val="00446F0C"/>
    <w:rsid w:val="00746B67"/>
    <w:rsid w:val="00D93886"/>
    <w:rsid w:val="00DF52AD"/>
    <w:rsid w:val="00F1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811A"/>
  <w15:chartTrackingRefBased/>
  <w15:docId w15:val="{BC4009BF-2C22-4B4B-8003-683A4ADA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7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96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442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42E3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42E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2E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2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2E3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2962</Words>
  <Characters>16886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Chamberlin</dc:creator>
  <cp:keywords/>
  <dc:description/>
  <cp:lastModifiedBy>Jordan Chamberlin</cp:lastModifiedBy>
  <cp:revision>1</cp:revision>
  <dcterms:created xsi:type="dcterms:W3CDTF">2026-07-06T11:54:00Z</dcterms:created>
  <dcterms:modified xsi:type="dcterms:W3CDTF">2026-07-06T12:26:00Z</dcterms:modified>
</cp:coreProperties>
</file>