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f89bd0cdf40f82746ab6c79e85a591a4e31843a"/>
      <w:r>
        <w:t xml:space="preserve">Variable Provenance &amp; Construction Reference</w:t>
      </w:r>
      <w:bookmarkEnd w:id="20"/>
    </w:p>
    <w:p>
      <w:pPr>
        <w:pStyle w:val="Heading3"/>
      </w:pPr>
      <w:bookmarkStart w:id="21" w:name="X95377a68067cc4a126f2a0f0e0b451d4906b060"/>
      <w:r>
        <w:t xml:space="preserve">LSMS-ISA land-tenure / rental-market descriptives (parcel level)</w:t>
      </w:r>
      <w:bookmarkEnd w:id="21"/>
    </w:p>
    <w:p>
      <w:pPr>
        <w:pStyle w:val="FirstParagraph"/>
      </w:pPr>
      <w:r>
        <w:rPr>
          <w:b/>
        </w:rPr>
        <w:t xml:space="preserve">Project:</w:t>
      </w:r>
      <w:r>
        <w:t xml:space="preserve"> </w:t>
      </w:r>
      <w:r>
        <w:rPr>
          <w:rStyle w:val="VerbatimChar"/>
        </w:rPr>
        <w:t xml:space="preserve">Reproduction_rental_260615</w:t>
      </w:r>
      <w:r>
        <w:t xml:space="preserve"> </w:t>
      </w:r>
      <w:r>
        <w:t xml:space="preserve">— slim parcel-level extractor for the</w:t>
      </w:r>
      <w:r>
        <w:t xml:space="preserve"> </w:t>
      </w:r>
      <w:r>
        <w:t xml:space="preserve">land-tenure descriptives in the invited</w:t>
      </w:r>
      <w:r>
        <w:t xml:space="preserve"> </w:t>
      </w:r>
      <w:r>
        <w:rPr>
          <w:i/>
        </w:rPr>
        <w:t xml:space="preserve">Annual Review of Resource Economics</w:t>
      </w:r>
      <w:r>
        <w:t xml:space="preserve"> </w:t>
      </w:r>
      <w:r>
        <w:t xml:space="preserve">(ARRE) paper.</w:t>
      </w:r>
      <w:r>
        <w:t xml:space="preserve"> </w:t>
      </w:r>
      <w:r>
        <w:rPr>
          <w:b/>
        </w:rPr>
        <w:t xml:space="preserve">Purpose of this document:</w:t>
      </w:r>
      <w:r>
        <w:t xml:space="preserve"> </w:t>
      </w:r>
      <w:r>
        <w:t xml:space="preserve">for every final variable, record the exact source</w:t>
      </w:r>
      <w:r>
        <w:t xml:space="preserve"> </w:t>
      </w:r>
      <w:r>
        <w:t xml:space="preserve">data file and source variable(s), by country and wave, plus the construction</w:t>
      </w:r>
      <w:r>
        <w:t xml:space="preserve"> </w:t>
      </w:r>
      <w:r>
        <w:t xml:space="preserve">rule, so any number can be traced back to the questionnaire / raw data and the</w:t>
      </w:r>
      <w:r>
        <w:t xml:space="preserve"> </w:t>
      </w:r>
      <w:r>
        <w:t xml:space="preserve">workflow is fully reproducible.</w:t>
      </w:r>
    </w:p>
    <w:p>
      <w:pPr>
        <w:pStyle w:val="BodyText"/>
      </w:pPr>
      <w:r>
        <w:rPr>
          <w:b/>
        </w:rPr>
        <w:t xml:space="preserve">How to read it.</w:t>
      </w:r>
      <w:r>
        <w:t xml:space="preserve"> </w:t>
      </w:r>
      <w:r>
        <w:t xml:space="preserve">Each country has (1) a survey/wave key, (2) a provenance</w:t>
      </w:r>
      <w:r>
        <w:t xml:space="preserve"> </w:t>
      </w:r>
      <w:r>
        <w:t xml:space="preserve">table for the four tenure indicators, (3) a sub-table for parcel area, (4) tables</w:t>
      </w:r>
      <w:r>
        <w:t xml:space="preserve"> </w:t>
      </w:r>
      <w:r>
        <w:t xml:space="preserve">for the design variables (weight, PSU, strata) and identifiers, (5) the value</w:t>
      </w:r>
      <w:r>
        <w:t xml:space="preserve"> </w:t>
      </w:r>
      <w:r>
        <w:t xml:space="preserve">labels of the key categorical source variables, and (6) the harmonization</w:t>
      </w:r>
      <w:r>
        <w:t xml:space="preserve"> </w:t>
      </w:r>
      <w:r>
        <w:t xml:space="preserve">decisions that the descriptive statistics depend on. Source files are named as</w:t>
      </w:r>
      <w:r>
        <w:t xml:space="preserve"> </w:t>
      </w:r>
      <w:r>
        <w:t xml:space="preserve">they appear in</w:t>
      </w:r>
      <w:r>
        <w:t xml:space="preserve"> </w:t>
      </w:r>
      <w:r>
        <w:rPr>
          <w:rStyle w:val="VerbatimChar"/>
        </w:rPr>
        <w:t xml:space="preserve">Reproduction_v2/Folder_structures/Input data/&lt;Country&gt;/&lt;round&gt;/</w:t>
      </w:r>
      <w:r>
        <w:t xml:space="preserve">.</w:t>
      </w:r>
    </w:p>
    <w:p>
      <w:pPr>
        <w:pStyle w:val="BodyText"/>
      </w:pPr>
      <w:r>
        <w:rPr>
          <w:b/>
        </w:rPr>
        <w:t xml:space="preserve">Final variables (unit = parcel):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 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Parcel rented or sharecropped IN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Parcel rented or sharecropped OUT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Parcel has a land certificate / document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Parcel acquired through purchase</w:t>
            </w:r>
          </w:p>
        </w:tc>
        <w:tc>
          <w:p>
            <w:pPr>
              <w:pStyle w:val="Compact"/>
              <w:jc w:val="left"/>
            </w:pPr>
            <w:r>
              <w:t xml:space="preserve">0/1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if not asked)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parcel_area_ha</w:t>
            </w:r>
          </w:p>
        </w:tc>
        <w:tc>
          <w:p>
            <w:pPr>
              <w:pStyle w:val="Compact"/>
              <w:jc w:val="left"/>
            </w:pPr>
            <w:r>
              <w:t xml:space="preserve">Cultivated parcel area (Σ field GPS, else self-reported)</w:t>
            </w:r>
          </w:p>
        </w:tc>
        <w:tc>
          <w:p>
            <w:pPr>
              <w:pStyle w:val="Compact"/>
              <w:jc w:val="left"/>
            </w:pPr>
            <w:r>
              <w:t xml:space="preserve">hectares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n_fields</w:t>
            </w:r>
          </w:p>
        </w:tc>
        <w:tc>
          <w:p>
            <w:pPr>
              <w:pStyle w:val="Compact"/>
              <w:jc w:val="left"/>
            </w:pPr>
            <w:r>
              <w:t xml:space="preserve">Number of cultivated fields on the parcel</w:t>
            </w:r>
          </w:p>
        </w:tc>
        <w:tc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Household survey weight</w:t>
            </w:r>
          </w:p>
        </w:tc>
        <w:tc>
          <w:p>
            <w:pPr>
              <w:pStyle w:val="Compact"/>
              <w:jc w:val="left"/>
            </w:pPr>
            <w:r>
              <w:t xml:space="preserve">analytic/probability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Enumeration area (survey PSU)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Survey design stratum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  <w:r>
              <w:t xml:space="preserve"> </w:t>
            </w:r>
            <w:r>
              <w:rPr>
                <w:rStyle w:val="VerbatimChar"/>
              </w:rPr>
              <w:t xml:space="preserve">wave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rPr>
                <w:rStyle w:val="VerbatimChar"/>
              </w:rPr>
              <w:t xml:space="preserve">holder_id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Identifiers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00728ba8d2160b74857f05f98b30c703885711f"/>
      <w:r>
        <w:t xml:space="preserve">ETHIOPIA — Ethiopia Socioeconomic Survey (ESS)</w:t>
      </w:r>
      <w:bookmarkEnd w:id="22"/>
    </w:p>
    <w:p>
      <w:pPr>
        <w:pStyle w:val="Heading3"/>
      </w:pPr>
      <w:bookmarkStart w:id="23" w:name="survey-wave-key"/>
      <w:r>
        <w:t xml:space="preserve">1. Survey &amp; wave key</w:t>
      </w:r>
      <w:bookmarkEnd w:id="23"/>
    </w:p>
    <w:tbl>
      <w:tblPr>
        <w:tblStyle w:val="Table"/>
        <w:tblW w:type="pct" w:w="5000.0"/>
        <w:tblLook w:firstRow="1"/>
      </w:tblPr>
      <w:tblGrid>
        <w:gridCol w:w="579"/>
        <w:gridCol w:w="772"/>
        <w:gridCol w:w="772"/>
        <w:gridCol w:w="1545"/>
        <w:gridCol w:w="1545"/>
        <w:gridCol w:w="1545"/>
        <w:gridCol w:w="115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 (assigned)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cover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ESS 11</w:t>
            </w:r>
          </w:p>
        </w:tc>
        <w:tc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ESS 13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ESS 15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ESS 18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ESS 21</w:t>
            </w:r>
          </w:p>
        </w:tc>
        <w:tc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</w:tbl>
    <w:p>
      <w:pPr>
        <w:pStyle w:val="BodyText"/>
      </w:pPr>
      <w:r>
        <w:t xml:space="preserve">Land-unit conversion file (for self-reported area):</w:t>
      </w:r>
      <w:r>
        <w:t xml:space="preserve"> </w:t>
      </w:r>
      <w:r>
        <w:rPr>
          <w:rStyle w:val="VerbatimChar"/>
        </w:rPr>
        <w:t xml:space="preserve">ET_local_area_unit_conversion.dta</w:t>
      </w:r>
      <w:r>
        <w:t xml:space="preserve">,</w:t>
      </w:r>
      <w:r>
        <w:t xml:space="preserve"> </w:t>
      </w:r>
      <w:r>
        <w:t xml:space="preserve">present in ESS 11/13/15/18;</w:t>
      </w:r>
      <w:r>
        <w:t xml:space="preserve"> </w:t>
      </w:r>
      <w:r>
        <w:rPr>
          <w:b/>
        </w:rPr>
        <w:t xml:space="preserve">wave 5 reuses the ESS 18 copy</w:t>
      </w:r>
      <w:r>
        <w:t xml:space="preserve"> </w:t>
      </w:r>
      <w:r>
        <w:t xml:space="preserve">(none ships with ESS 21).</w:t>
      </w:r>
    </w:p>
    <w:p>
      <w:pPr>
        <w:pStyle w:val="Heading3"/>
      </w:pPr>
      <w:bookmarkStart w:id="24" w:name="tenure-indicators"/>
      <w:r>
        <w:t xml:space="preserve">2. Tenure indicators</w:t>
      </w:r>
      <w:bookmarkEnd w:id="24"/>
    </w:p>
    <w:p>
      <w:pPr>
        <w:pStyle w:val="FirstParagraph"/>
      </w:pPr>
      <w:r>
        <w:t xml:space="preserve">All four are built on the</w:t>
      </w:r>
      <w:r>
        <w:t xml:space="preserve"> </w:t>
      </w:r>
      <w:r>
        <w:rPr>
          <w:b/>
        </w:rPr>
        <w:t xml:space="preserve">parcel 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sect2_pp_w*.dta</w:t>
      </w:r>
      <w:r>
        <w:t xml:space="preserve">); key =</w:t>
      </w:r>
      <w:r>
        <w:t xml:space="preserve"> </w:t>
      </w:r>
      <w:r>
        <w:rPr>
          <w:rStyle w:val="VerbatimChar"/>
        </w:rPr>
        <w:t xml:space="preserve">holder_id parcel_id</w:t>
      </w:r>
      <w:r>
        <w:t xml:space="preserve">.</w:t>
      </w:r>
      <w:r>
        <w:t xml:space="preserve"> </w:t>
      </w:r>
      <w:r>
        <w:t xml:space="preserve">“</w:t>
      </w:r>
      <w:r>
        <w:t xml:space="preserve">Acquisition</w:t>
      </w:r>
      <w:r>
        <w:t xml:space="preserve">”</w:t>
      </w:r>
      <w:r>
        <w:t xml:space="preserve"> </w:t>
      </w:r>
      <w:r>
        <w:t xml:space="preserve">= the parcel-acquisition question; its value labels are in §5.</w:t>
      </w:r>
    </w:p>
    <w:tbl>
      <w:tblPr>
        <w:tblStyle w:val="Table"/>
        <w:tblW w:type="pct" w:w="5000.0"/>
        <w:tblLook w:firstRow="1"/>
      </w:tblPr>
      <w:tblGrid>
        <w:gridCol w:w="1657"/>
        <w:gridCol w:w="552"/>
        <w:gridCol w:w="1473"/>
        <w:gridCol w:w="1289"/>
        <w:gridCol w:w="29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inlist(pp_s2q03,3)</w:t>
            </w:r>
            <w:r>
              <w:t xml:space="preserve"> </w:t>
            </w:r>
            <w:r>
              <w:t xml:space="preserve">— 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inlist(pp_s2q03,3)</w:t>
            </w:r>
            <w:r>
              <w:t xml:space="preserve"> </w:t>
            </w:r>
            <w:r>
              <w:t xml:space="preserve">— 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inlist(s2q05,3,6)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inlist(s2q05,3,6)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  <w:r>
              <w:t xml:space="preserve"> </w:t>
            </w:r>
            <w:r>
              <w:t xml:space="preserve">— any fields rented out (Yes/No)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inlist(s2q13,1,2)</w:t>
            </w:r>
            <w:r>
              <w:t xml:space="preserve"> </w:t>
            </w:r>
            <w:r>
              <w:t xml:space="preserve">— all rented out / all sharecropped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inlist(s2q13,1,2)</w:t>
            </w:r>
            <w:r>
              <w:t xml:space="preserve"> </w:t>
            </w:r>
            <w:r>
              <w:t xml:space="preserve">— all rented out / all sharecropped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  <w:r>
              <w:t xml:space="preserve">: 1→1, 2→0 (document)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  <w:r>
              <w:t xml:space="preserve">: 1→1, 2→0 (document)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 purchase category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 purchase category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pp_s2q03==7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s2q05==7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s2q05==7</w:t>
            </w:r>
            <w:r>
              <w:t xml:space="preserve"> </w:t>
            </w:r>
            <w:r>
              <w:t xml:space="preserve">— Purchased</w:t>
            </w:r>
          </w:p>
        </w:tc>
      </w:tr>
    </w:tbl>
    <w:p>
      <w:pPr>
        <w:pStyle w:val="Heading3"/>
      </w:pPr>
      <w:bookmarkStart w:id="25" w:name="parcel-area-parcel_area_ha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25"/>
    </w:p>
    <w:p>
      <w:pPr>
        <w:pStyle w:val="FirstParagraph"/>
      </w:pPr>
      <w:r>
        <w:t xml:space="preserve">Built on the</w:t>
      </w:r>
      <w:r>
        <w:t xml:space="preserve"> </w:t>
      </w:r>
      <w:r>
        <w:rPr>
          <w:b/>
        </w:rPr>
        <w:t xml:space="preserve">field 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sect3_pp_w*.dta</w:t>
      </w:r>
      <w:r>
        <w:t xml:space="preserve">) at field level, then summed to the</w:t>
      </w:r>
      <w:r>
        <w:t xml:space="preserve"> </w:t>
      </w:r>
      <w:r>
        <w:t xml:space="preserve">parcel (</w:t>
      </w:r>
      <w:r>
        <w:rPr>
          <w:rStyle w:val="VerbatimChar"/>
        </w:rPr>
        <w:t xml:space="preserve">collapse (sum) … by(holder_id parcel_id)</w:t>
      </w:r>
      <w:r>
        <w:t xml:space="preserve">). Field area =</w:t>
      </w:r>
      <w:r>
        <w:t xml:space="preserve"> </w:t>
      </w:r>
      <w:r>
        <w:rPr>
          <w:b/>
        </w:rPr>
        <w:t xml:space="preserve">GPS where</w:t>
      </w:r>
      <w:r>
        <w:rPr>
          <w:b/>
        </w:rPr>
        <w:t xml:space="preserve"> </w:t>
      </w:r>
      <w:r>
        <w:rPr>
          <w:b/>
        </w:rPr>
        <w:t xml:space="preserve">measured, else self-reported</w:t>
      </w:r>
      <w:r>
        <w:t xml:space="preserve"> </w:t>
      </w:r>
      <w:r>
        <w:t xml:space="preserve">(both in ha); no model-based imputation, so the measure</w:t>
      </w:r>
      <w:r>
        <w:t xml:space="preserve"> </w:t>
      </w:r>
      <w:r>
        <w:t xml:space="preserve">is deterministic and reproducible across languages.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count of fields with a</w:t>
      </w:r>
      <w:r>
        <w:t xml:space="preserve"> </w:t>
      </w:r>
      <w:r>
        <w:t xml:space="preserve">non-missing area. Parcels with no cultivated field (e.g. fully rented out) have missing</w:t>
      </w:r>
      <w:r>
        <w:t xml:space="preserve"> </w:t>
      </w:r>
      <w:r>
        <w:t xml:space="preserve">area and</w:t>
      </w:r>
      <w:r>
        <w:t xml:space="preserve"> </w:t>
      </w:r>
      <w:r>
        <w:rPr>
          <w:rStyle w:val="VerbatimChar"/>
        </w:rPr>
        <w:t xml:space="preserve">n_fields==0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1697"/>
        <w:gridCol w:w="565"/>
        <w:gridCol w:w="1508"/>
        <w:gridCol w:w="1508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ha; keep if &gt;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s3q08</w:t>
            </w:r>
            <w:r>
              <w:t xml:space="preserve"> </w:t>
            </w:r>
            <w:r>
              <w:t xml:space="preserve">(flag</w:t>
            </w:r>
            <w:r>
              <w:t xml:space="preserve"> </w:t>
            </w:r>
            <w:r>
              <w:rPr>
                <w:rStyle w:val="VerbatimChar"/>
              </w:rPr>
              <w:t xml:space="preserve">s3q07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× 0.0001 if</w:t>
            </w:r>
            <w:r>
              <w:t xml:space="preserve"> </w:t>
            </w:r>
            <w:r>
              <w:rPr>
                <w:rStyle w:val="VerbatimChar"/>
              </w:rPr>
              <w:t xml:space="preserve">s3q07==1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s3q08</w:t>
            </w:r>
            <w:r>
              <w:t xml:space="preserve"> </w:t>
            </w:r>
            <w:r>
              <w:t xml:space="preserve">(flag</w:t>
            </w:r>
            <w:r>
              <w:t xml:space="preserve"> </w:t>
            </w:r>
            <w:r>
              <w:rPr>
                <w:rStyle w:val="VerbatimChar"/>
              </w:rPr>
              <w:t xml:space="preserve">s3q07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× 0.0001 if</w:t>
            </w:r>
            <w:r>
              <w:t xml:space="preserve"> </w:t>
            </w:r>
            <w:r>
              <w:rPr>
                <w:rStyle w:val="VerbatimChar"/>
              </w:rPr>
              <w:t xml:space="preserve">s3q07∈{1,2}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Self-reported area (fallback when GPS missing)</w:t>
            </w:r>
          </w:p>
        </w:tc>
        <w:tc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pp_s3q02_a</w:t>
            </w:r>
            <w:r>
              <w:t xml:space="preserve">, unit</w:t>
            </w:r>
            <w:r>
              <w:t xml:space="preserve"> </w:t>
            </w:r>
            <w:r>
              <w:rPr>
                <w:rStyle w:val="VerbatimChar"/>
              </w:rPr>
              <w:t xml:space="preserve">pp_s3q02_c</w:t>
            </w:r>
          </w:p>
        </w:tc>
        <w:tc>
          <w:p>
            <w:pPr>
              <w:pStyle w:val="Compact"/>
              <w:jc w:val="left"/>
            </w:pPr>
            <w:r>
              <w:t xml:space="preserve">converted to ha via</w:t>
            </w:r>
            <w:r>
              <w:t xml:space="preserve"> </w:t>
            </w:r>
            <w:r>
              <w:rPr>
                <w:rStyle w:val="VerbatimChar"/>
              </w:rPr>
              <w:t xml:space="preserve">ET_local_area_unit_conversion.dta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Self-reported area (fallback when GPS missing)</w:t>
            </w:r>
          </w:p>
        </w:tc>
        <w:tc>
          <w:p>
            <w:pPr>
              <w:pStyle w:val="Compact"/>
              <w:jc w:val="left"/>
            </w:pPr>
            <w:r>
              <w:t xml:space="preserve">4–5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s3q02a</w:t>
            </w:r>
            <w:r>
              <w:t xml:space="preserve">, unit</w:t>
            </w:r>
            <w:r>
              <w:t xml:space="preserve"> </w:t>
            </w:r>
            <w:r>
              <w:rPr>
                <w:rStyle w:val="VerbatimChar"/>
              </w:rPr>
              <w:t xml:space="preserve">s3q02b</w:t>
            </w:r>
          </w:p>
        </w:tc>
        <w:tc>
          <w:p>
            <w:pPr>
              <w:pStyle w:val="Compact"/>
              <w:jc w:val="left"/>
            </w:pPr>
            <w:r>
              <w:t xml:space="preserve">converted to ha (w5 uses ESS 18 conversion file)</w:t>
            </w:r>
          </w:p>
        </w:tc>
      </w:tr>
    </w:tbl>
    <w:p>
      <w:pPr>
        <w:pStyle w:val="Heading3"/>
      </w:pPr>
      <w:bookmarkStart w:id="26" w:name="design-variables-identifiers"/>
      <w:r>
        <w:t xml:space="preserve">4. Design variables &amp; identifiers</w:t>
      </w:r>
      <w:bookmarkEnd w:id="26"/>
    </w:p>
    <w:tbl>
      <w:tblPr>
        <w:tblStyle w:val="Table"/>
        <w:tblW w:type="pct" w:w="5000.0"/>
        <w:tblLook w:firstRow="1"/>
      </w:tblPr>
      <w:tblGrid>
        <w:gridCol w:w="1508"/>
        <w:gridCol w:w="565"/>
        <w:gridCol w:w="1508"/>
        <w:gridCol w:w="1508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pw2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pw_w3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pw_w4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pw_w5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  <w:r>
              <w:t xml:space="preserve"> </w:t>
            </w:r>
            <w:r>
              <w:t xml:space="preserve">(PSU)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carried raw from 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group(rural region2)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region2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saq01∈{2,6,12,13,15}</w:t>
            </w:r>
            <w:r>
              <w:t xml:space="preserve">→99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  <w:r>
              <w:t xml:space="preserve"> </w:t>
            </w:r>
            <w:r>
              <w:t xml:space="preserve">(+ w1 strata)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chained from w1; new urban (</w:t>
            </w:r>
            <w:r>
              <w:rPr>
                <w:rStyle w:val="VerbatimChar"/>
              </w:rPr>
              <w:t xml:space="preserve">rural==3</w:t>
            </w:r>
            <w:r>
              <w:t xml:space="preserve">) strata added (+10)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  <w:r>
              <w:t xml:space="preserve"> </w:t>
            </w:r>
            <w:r>
              <w:t xml:space="preserve">(+ w2 strata)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chained from w2; new HHs = max strata within</w:t>
            </w:r>
            <w:r>
              <w:t xml:space="preserve"> </w:t>
            </w:r>
            <w:r>
              <w:rPr>
                <w:rStyle w:val="VerbatimChar"/>
              </w:rPr>
              <w:t xml:space="preserve">saq01×rural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explicit region×rural/urban recode (codes 1–32, 99)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explicit region×rural/urban recode (codes 1–32, 99)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parcel key (also present on field roster)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parcel roster / cover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  <w:r>
              <w:t xml:space="preserve"> </w:t>
            </w:r>
            <w:r>
              <w:t xml:space="preserve">(w1,4,5) /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  <w:r>
              <w:t xml:space="preserve"> </w:t>
            </w:r>
            <w:r>
              <w:t xml:space="preserve">(w2,3)</w:t>
            </w:r>
          </w:p>
        </w:tc>
        <w:tc>
          <w:p>
            <w:pPr>
              <w:pStyle w:val="Compact"/>
              <w:jc w:val="left"/>
            </w:pPr>
            <w:r>
              <w:t xml:space="preserve">renamed</w:t>
            </w:r>
            <w:r>
              <w:t xml:space="preserve"> </w:t>
            </w:r>
            <w:r>
              <w:rPr>
                <w:rStyle w:val="VerbatimChar"/>
              </w:rPr>
              <w:t xml:space="preserve">hh_id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assigned: 2012/2014/2016/2019/2022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assigned</w:t>
            </w:r>
            <w:r>
              <w:t xml:space="preserve"> </w:t>
            </w:r>
            <w:r>
              <w:rPr>
                <w:rStyle w:val="VerbatimChar"/>
              </w:rPr>
              <w:t xml:space="preserve">"Ethiopia"</w:t>
            </w:r>
          </w:p>
        </w:tc>
      </w:tr>
    </w:tbl>
    <w:p>
      <w:pPr>
        <w:pStyle w:val="Heading3"/>
      </w:pPr>
      <w:bookmarkStart w:id="27" w:name="Xd42d4af8211bb53ced3c89549c738c863b0b1f0"/>
      <w:r>
        <w:t xml:space="preserve">5. Value labels of key source variables (verified against the raw rosters)</w:t>
      </w:r>
      <w:bookmarkEnd w:id="27"/>
    </w:p>
    <w:p>
      <w:pPr>
        <w:pStyle w:val="FirstParagraph"/>
      </w:pPr>
      <w:r>
        <w:rPr>
          <w:b/>
        </w:rPr>
        <w:t xml:space="preserve">Parcel acquisition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pp_s2q03</w:t>
      </w:r>
      <w:r>
        <w:t xml:space="preserve"> </w:t>
      </w:r>
      <w:r>
        <w:t xml:space="preserve">(w1–3) /</w:t>
      </w:r>
      <w:r>
        <w:t xml:space="preserve"> </w:t>
      </w:r>
      <w:r>
        <w:rPr>
          <w:rStyle w:val="VerbatimChar"/>
        </w:rPr>
        <w:t xml:space="preserve">s2q05</w:t>
      </w:r>
      <w:r>
        <w:t xml:space="preserve"> </w:t>
      </w:r>
      <w:r>
        <w:t xml:space="preserve">(w4–5),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did your household acquire [PARCEL]?</w:t>
      </w:r>
      <w:r>
        <w:rPr>
          <w:i/>
        </w:rPr>
        <w:t xml:space="preserve">”</w:t>
      </w:r>
    </w:p>
    <w:tbl>
      <w:tblPr>
        <w:tblStyle w:val="Table"/>
        <w:tblW w:type="pct" w:w="5000.0"/>
        <w:tblLook w:firstRow="1"/>
      </w:tblPr>
      <w:tblGrid>
        <w:gridCol w:w="1005"/>
        <w:gridCol w:w="1382"/>
        <w:gridCol w:w="1382"/>
        <w:gridCol w:w="1382"/>
        <w:gridCol w:w="1382"/>
        <w:gridCol w:w="138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w1 (ESS11)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w2 (ESS13)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w3 (ESS15)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w4 (ESS18)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w5 (ESS21)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Gift / 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10/11/12</w:t>
            </w:r>
          </w:p>
        </w:tc>
        <w:tc>
          <w:p>
            <w:pPr>
              <w:pStyle w:val="Compact"/>
              <w:jc w:val="left"/>
            </w:pPr>
            <w:r>
              <w:t xml:space="preserve">Moved-in / Other variants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</w:rPr>
        <w:t xml:space="preserve">Rented out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pp_s2q10</w:t>
      </w:r>
      <w:r>
        <w:t xml:space="preserve"> </w:t>
      </w:r>
      <w:r>
        <w:t xml:space="preserve">(w1–3):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 </w:t>
      </w:r>
      <w:r>
        <w:t xml:space="preserve">(any fields rented out),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rPr>
          <w:rStyle w:val="VerbatimChar"/>
        </w:rPr>
        <w:t xml:space="preserve">s2q13</w:t>
      </w:r>
      <w:r>
        <w:t xml:space="preserve"> </w:t>
      </w:r>
      <w:r>
        <w:t xml:space="preserve">(w4–5):</w:t>
      </w:r>
      <w:r>
        <w:t xml:space="preserve"> </w:t>
      </w:r>
      <w:r>
        <w:rPr>
          <w:rStyle w:val="VerbatimChar"/>
        </w:rPr>
        <w:t xml:space="preserve">1 = all rented out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all sharecropped out</w:t>
      </w:r>
      <w:r>
        <w:t xml:space="preserve">,</w:t>
      </w:r>
      <w:r>
        <w:t xml:space="preserve"> </w:t>
      </w:r>
      <w:r>
        <w:rPr>
          <w:rStyle w:val="VerbatimChar"/>
        </w:rPr>
        <w:t xml:space="preserve">3 = all given out 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4 = No</w:t>
      </w:r>
      <w:r>
        <w:t xml:space="preserve">.</w:t>
      </w:r>
    </w:p>
    <w:p>
      <w:pPr>
        <w:pStyle w:val="BodyText"/>
      </w:pPr>
      <w:r>
        <w:rPr>
          <w:b/>
        </w:rPr>
        <w:t xml:space="preserve">Certificate / document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pp_s2q04</w:t>
      </w:r>
      <w:r>
        <w:t xml:space="preserve"> </w:t>
      </w:r>
      <w:r>
        <w:t xml:space="preserve">(w1–3,</w:t>
      </w:r>
      <w:r>
        <w:t xml:space="preserve"> </w:t>
      </w:r>
      <w:r>
        <w:t xml:space="preserve">“</w:t>
      </w:r>
      <w:r>
        <w:t xml:space="preserve">certificate</w:t>
      </w:r>
      <w:r>
        <w:t xml:space="preserve">”</w:t>
      </w:r>
      <w:r>
        <w:t xml:space="preserve">) /</w:t>
      </w:r>
      <w:r>
        <w:t xml:space="preserve"> </w:t>
      </w:r>
      <w:r>
        <w:rPr>
          <w:rStyle w:val="VerbatimChar"/>
        </w:rPr>
        <w:t xml:space="preserve">s2q03</w:t>
      </w:r>
      <w:r>
        <w:t xml:space="preserve"> </w:t>
      </w:r>
      <w:r>
        <w:t xml:space="preserve">(w4–5,</w:t>
      </w:r>
      <w:r>
        <w:t xml:space="preserve"> </w:t>
      </w:r>
      <w:r>
        <w:t xml:space="preserve">“</w:t>
      </w:r>
      <w:r>
        <w:t xml:space="preserve">document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</w:p>
    <w:p>
      <w:pPr>
        <w:pStyle w:val="BodyText"/>
      </w:pPr>
      <w:r>
        <w:rPr>
          <w:b/>
        </w:rPr>
        <w:t xml:space="preserve">Rural/urban for strata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rural</w:t>
      </w:r>
      <w:r>
        <w:t xml:space="preserve"> </w:t>
      </w:r>
      <w:r>
        <w:t xml:space="preserve">(w1–3) and</w:t>
      </w:r>
      <w:r>
        <w:t xml:space="preserve"> </w:t>
      </w:r>
      <w:r>
        <w:rPr>
          <w:rStyle w:val="VerbatimChar"/>
        </w:rPr>
        <w:t xml:space="preserve">saq14</w:t>
      </w:r>
      <w:r>
        <w:t xml:space="preserve"> </w:t>
      </w:r>
      <w:r>
        <w:t xml:space="preserve">(w4–5,</w:t>
      </w:r>
      <w:r>
        <w:t xml:space="preserve"> </w:t>
      </w:r>
      <w:r>
        <w:rPr>
          <w:rStyle w:val="VerbatimChar"/>
        </w:rPr>
        <w:t xml:space="preserve">1 = rural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urban</w:t>
      </w:r>
      <w:r>
        <w:t xml:space="preserve">, small-town categories per round).</w:t>
      </w:r>
    </w:p>
    <w:p>
      <w:pPr>
        <w:pStyle w:val="Heading3"/>
      </w:pPr>
      <w:bookmarkStart w:id="28" w:name="harmonization-decisions-caveats-ethiopia"/>
      <w:r>
        <w:t xml:space="preserve">6. Harmonization decisions &amp; caveats (Ethiopia)</w:t>
      </w:r>
      <w:bookmarkEnd w:id="28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Unit = parcel.</w:t>
      </w:r>
      <w:r>
        <w:t xml:space="preserve"> </w:t>
      </w:r>
      <w:r>
        <w:t xml:space="preserve">The universe is every parcel in the parcel roster, so parcels</w:t>
      </w:r>
      <w:r>
        <w:t xml:space="preserve"> </w:t>
      </w:r>
      <w:r>
        <w:t xml:space="preserve">entirely rented/sharecropped out are retained even though they have no cultivated</w:t>
      </w:r>
      <w:r>
        <w:t xml:space="preserve"> </w:t>
      </w:r>
      <w:r>
        <w:t xml:space="preserve">fields. (Basing on the field roster zeroed out rented-out in w4–5 — see project notes.)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parcel_purchased</w:t>
      </w:r>
      <w:r>
        <w:rPr>
          <w:b/>
        </w:rPr>
        <w:t xml:space="preserve"> </w:t>
      </w:r>
      <w:r>
        <w:rPr>
          <w:b/>
        </w:rPr>
        <w:t xml:space="preserve">is missing in w1–w2.</w:t>
      </w:r>
      <w:r>
        <w:t xml:space="preserve"> </w:t>
      </w:r>
      <w:r>
        <w:t xml:space="preserve">ESS11/ESS13 offered no</w:t>
      </w:r>
      <w:r>
        <w:t xml:space="preserve"> </w:t>
      </w:r>
      <w:r>
        <w:t xml:space="preserve">“</w:t>
      </w:r>
      <w:r>
        <w:t xml:space="preserve">Purchased</w:t>
      </w:r>
      <w:r>
        <w:t xml:space="preserve">”</w:t>
      </w:r>
      <w:r>
        <w:t xml:space="preserve"> </w:t>
      </w:r>
      <w:r>
        <w:t xml:space="preserve">acquisition category, so purchase is unmeasured (</w:t>
      </w:r>
      <w:r>
        <w:rPr>
          <w:rStyle w:val="VerbatimChar"/>
        </w:rPr>
        <w:t xml:space="preserve">.</w:t>
      </w:r>
      <w:r>
        <w:t xml:space="preserve">), not a structural zero.</w:t>
      </w:r>
      <w:r>
        <w:t xml:space="preserve"> </w:t>
      </w:r>
      <w:r>
        <w:rPr>
          <w:i/>
        </w:rPr>
        <w:t xml:space="preserve">Estimate this variable separately:</w:t>
      </w:r>
      <w:r>
        <w:t xml:space="preserve"> </w:t>
      </w:r>
      <w:r>
        <w:t xml:space="preserve">a joint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/</w:t>
      </w:r>
      <w:r>
        <w:rPr>
          <w:rStyle w:val="VerbatimChar"/>
        </w:rPr>
        <w:t xml:space="preserve">svy: mean</w:t>
      </w:r>
      <w:r>
        <w:t xml:space="preserve"> </w:t>
      </w:r>
      <w:r>
        <w:t xml:space="preserve">with the other</w:t>
      </w:r>
      <w:r>
        <w:t xml:space="preserve"> </w:t>
      </w:r>
      <w:r>
        <w:t xml:space="preserve">variables uses casewise deletion and silently drops all of 2012–2014.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Rental scope: both cash/fixed rental AND sharecropping are counted - read with</w:t>
      </w:r>
      <w:r>
        <w:rPr>
          <w:b/>
        </w:rPr>
        <w:t xml:space="preserve"> </w:t>
      </w:r>
      <w:r>
        <w:rPr>
          <w:b/>
        </w:rPr>
        <w:t xml:space="preserve">care across waves.</w:t>
      </w:r>
      <w:r>
        <w:t xml:space="preserve"> </w:t>
      </w:r>
      <w:r>
        <w:t xml:space="preserve">Rented-in is built from the parcel-acquisition question, where</w:t>
      </w:r>
      <w:r>
        <w:t xml:space="preserve"> </w:t>
      </w:r>
      <w:r>
        <w:t xml:space="preserve">“</w:t>
      </w:r>
      <w:r>
        <w:t xml:space="preserve">Rent</w:t>
      </w:r>
      <w:r>
        <w:t xml:space="preserve">”</w:t>
      </w:r>
      <w:r>
        <w:t xml:space="preserve"> </w:t>
      </w:r>
      <w:r>
        <w:t xml:space="preserve">(code 3) and</w:t>
      </w:r>
      <w:r>
        <w:t xml:space="preserve"> </w:t>
      </w:r>
      <w:r>
        <w:t xml:space="preserve">“</w:t>
      </w:r>
      <w:r>
        <w:t xml:space="preserve">Shared crop in</w:t>
      </w:r>
      <w:r>
        <w:t xml:space="preserve">”</w:t>
      </w:r>
      <w:r>
        <w:t xml:space="preserve"> </w:t>
      </w:r>
      <w:r>
        <w:t xml:space="preserve">(code 6) are separate categories; we include</w:t>
      </w:r>
      <w:r>
        <w:t xml:space="preserve"> </w:t>
      </w:r>
      <w:r>
        <w:t xml:space="preserve">both. But the</w:t>
      </w:r>
      <w:r>
        <w:t xml:space="preserve"> </w:t>
      </w:r>
      <w:r>
        <w:t xml:space="preserve">“</w:t>
      </w:r>
      <w:r>
        <w:t xml:space="preserve">shared crop in</w:t>
      </w:r>
      <w:r>
        <w:t xml:space="preserve">”</w:t>
      </w:r>
      <w:r>
        <w:t xml:space="preserve"> </w:t>
      </w:r>
      <w:r>
        <w:t xml:space="preserve">category only existed from wave 3 (2016) onward - in</w:t>
      </w:r>
      <w:r>
        <w:t xml:space="preserve"> </w:t>
      </w:r>
      <w:r>
        <w:t xml:space="preserve">waves 1-2 (2012, 2014) the questionnaire had no separate sharecropping-in option, so</w:t>
      </w:r>
      <w:r>
        <w:t xml:space="preserve"> </w:t>
      </w:r>
      <w:r>
        <w:t xml:space="preserve">those years capture rent only (any sharecropping-in fell under</w:t>
      </w:r>
      <w:r>
        <w:t xml:space="preserve"> </w:t>
      </w:r>
      <w:r>
        <w:t xml:space="preserve">“</w:t>
      </w:r>
      <w:r>
        <w:t xml:space="preserve">Other</w:t>
      </w:r>
      <w:r>
        <w:t xml:space="preserve">”</w:t>
      </w:r>
      <w:r>
        <w:t xml:space="preserve">). This is part</w:t>
      </w:r>
      <w:r>
        <w:t xml:space="preserve"> </w:t>
      </w:r>
      <w:r>
        <w:t xml:space="preserve">of why rented-in ticks up from 2014 to 2016.</w:t>
      </w:r>
      <w:r>
        <w:t xml:space="preserve"> </w:t>
      </w:r>
      <w:r>
        <w:t xml:space="preserve">Rented-out also includes both, but the explicit split appears only from wave 4 (2019):</w:t>
      </w:r>
      <w:r>
        <w:t xml:space="preserve"> </w:t>
      </w:r>
      <w:r>
        <w:rPr>
          <w:rStyle w:val="VerbatimChar"/>
        </w:rPr>
        <w:t xml:space="preserve">s2q13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</w:t>
      </w:r>
      <w:r>
        <w:t xml:space="preserve">all rented out</w:t>
      </w:r>
      <w:r>
        <w:t xml:space="preserve">”</w:t>
      </w:r>
      <w:r>
        <w:t xml:space="preserve"> </w:t>
      </w:r>
      <w:r>
        <w:t xml:space="preserve">(1) vs</w:t>
      </w:r>
      <w:r>
        <w:t xml:space="preserve"> </w:t>
      </w:r>
      <w:r>
        <w:t xml:space="preserve">“</w:t>
      </w:r>
      <w:r>
        <w:t xml:space="preserve">all sharecropped out</w:t>
      </w:r>
      <w:r>
        <w:t xml:space="preserve">”</w:t>
      </w:r>
      <w:r>
        <w:t xml:space="preserve"> </w:t>
      </w:r>
      <w:r>
        <w:t xml:space="preserve">(2), and we count</w:t>
      </w:r>
      <w:r>
        <w:t xml:space="preserve"> </w:t>
      </w:r>
      <w:r>
        <w:t xml:space="preserve">both. In waves 1-3 (2012-2016) rented-out comes from a single yes/no item (</w:t>
      </w:r>
      <w:r>
        <w:t xml:space="preserve">“</w:t>
      </w:r>
      <w:r>
        <w:t xml:space="preserve">were any</w:t>
      </w:r>
      <w:r>
        <w:t xml:space="preserve"> </w:t>
      </w:r>
      <w:r>
        <w:t xml:space="preserve">fields rented out?</w:t>
      </w:r>
      <w:r>
        <w:t xml:space="preserve">”</w:t>
      </w:r>
      <w:r>
        <w:t xml:space="preserve">) that does not separately label sharecropping, so it is captured</w:t>
      </w:r>
      <w:r>
        <w:t xml:space="preserve"> </w:t>
      </w:r>
      <w:r>
        <w:t xml:space="preserve">broadly rather than itemized.</w:t>
      </w:r>
      <w:r>
        <w:t xml:space="preserve"> </w:t>
      </w:r>
      <w:r>
        <w:t xml:space="preserve">Excluded on both sides:</w:t>
      </w:r>
      <w:r>
        <w:t xml:space="preserve"> </w:t>
      </w:r>
      <w:r>
        <w:t xml:space="preserve">“</w:t>
      </w:r>
      <w:r>
        <w:t xml:space="preserve">borrowed for free</w:t>
      </w:r>
      <w:r>
        <w:t xml:space="preserve">”</w:t>
      </w:r>
      <w:r>
        <w:t xml:space="preserve"> </w:t>
      </w:r>
      <w:r>
        <w:t xml:space="preserve">(acquisition code 4) and</w:t>
      </w:r>
      <w:r>
        <w:t xml:space="preserve"> </w:t>
      </w:r>
      <w:r>
        <w:t xml:space="preserve">“</w:t>
      </w:r>
      <w:r>
        <w:t xml:space="preserve">given out for</w:t>
      </w:r>
      <w:r>
        <w:t xml:space="preserve"> </w:t>
      </w:r>
      <w:r>
        <w:t xml:space="preserve">free</w:t>
      </w:r>
      <w:r>
        <w:t xml:space="preserve">”</w:t>
      </w:r>
      <w:r>
        <w:t xml:space="preserve"> </w:t>
      </w:r>
      <w:r>
        <w:t xml:space="preserve">(disposal code 3 in 2019/2022) - i.e., free / non-market transfers are not</w:t>
      </w:r>
      <w:r>
        <w:t xml:space="preserve"> </w:t>
      </w:r>
      <w:r>
        <w:t xml:space="preserve">counted as renting. And because</w:t>
      </w:r>
      <w:r>
        <w:t xml:space="preserve"> </w:t>
      </w:r>
      <w:r>
        <w:t xml:space="preserve">“</w:t>
      </w:r>
      <w:r>
        <w:t xml:space="preserve">Rent</w:t>
      </w:r>
      <w:r>
        <w:t xml:space="preserve">”</w:t>
      </w:r>
      <w:r>
        <w:t xml:space="preserve"> </w:t>
      </w:r>
      <w:r>
        <w:t xml:space="preserve">(code 3) is not itself split into cash vs fixed</w:t>
      </w:r>
      <w:r>
        <w:t xml:space="preserve"> </w:t>
      </w:r>
      <w:r>
        <w:t xml:space="preserve">in-kind rent,</w:t>
      </w:r>
      <w:r>
        <w:t xml:space="preserve"> </w:t>
      </w:r>
      <w:r>
        <w:t xml:space="preserve">“</w:t>
      </w:r>
      <w:r>
        <w:t xml:space="preserve">rented in/out</w:t>
      </w:r>
      <w:r>
        <w:t xml:space="preserve">”</w:t>
      </w:r>
      <w:r>
        <w:t xml:space="preserve"> </w:t>
      </w:r>
      <w:r>
        <w:t xml:space="preserve">here means cash-or-fixed rental plus sharecropping, not</w:t>
      </w:r>
      <w:r>
        <w:t xml:space="preserve"> </w:t>
      </w:r>
      <w:r>
        <w:t xml:space="preserve">cash-only.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Area</w:t>
      </w:r>
      <w:r>
        <w:t xml:space="preserve"> </w:t>
      </w:r>
      <w:r>
        <w:t xml:space="preserve">is cultivated field area summed to the parcel, using GPS where measured and</w:t>
      </w:r>
      <w:r>
        <w:t xml:space="preserve"> </w:t>
      </w:r>
      <w:r>
        <w:t xml:space="preserve">self-reported area as a fallback where GPS is missing. The published pipeline instead</w:t>
      </w:r>
      <w:r>
        <w:t xml:space="preserve"> </w:t>
      </w:r>
      <w:r>
        <w:t xml:space="preserve">model-imputes missing GPS (pmm); we use the deterministic GPS-else-self-reported</w:t>
      </w:r>
      <w:r>
        <w:t xml:space="preserve"> </w:t>
      </w:r>
      <w:r>
        <w:t xml:space="preserve">measure so area reproduces exactly across Stata/R/Python. Tenure variables are unaffected.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ESS21 area</w:t>
      </w:r>
      <w:r>
        <w:t xml:space="preserve"> </w:t>
      </w:r>
      <w:r>
        <w:t xml:space="preserve">omits the</w:t>
      </w:r>
      <w:r>
        <w:t xml:space="preserve"> </w:t>
      </w:r>
      <w:r>
        <w:rPr>
          <w:rStyle w:val="VerbatimChar"/>
        </w:rPr>
        <w:t xml:space="preserve">sect12c</w:t>
      </w:r>
      <w:r>
        <w:t xml:space="preserve"> </w:t>
      </w:r>
      <w:r>
        <w:t xml:space="preserve">ag-extension self-reported supplement used in the</w:t>
      </w:r>
      <w:r>
        <w:t xml:space="preserve"> </w:t>
      </w:r>
      <w:r>
        <w:t xml:space="preserve">full pipeline, because its source merge key is inconsistent (</w:t>
      </w:r>
      <w:r>
        <w:rPr>
          <w:rStyle w:val="VerbatimChar"/>
        </w:rPr>
        <w:t xml:space="preserve">household_id+field_id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holder_id+parcel_id+field_id</w:t>
      </w:r>
      <w:r>
        <w:t xml:space="preserve">). w5 area uses the field-roster GPS-else-self-reported measure.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Weights</w:t>
      </w:r>
      <w:r>
        <w:t xml:space="preserve"> </w:t>
      </w:r>
      <w:r>
        <w:t xml:space="preserve">are taken from the household cover file; design-based estimates use</w:t>
      </w:r>
      <w:r>
        <w:t xml:space="preserve"> </w:t>
      </w:r>
      <w:r>
        <w:rPr>
          <w:rStyle w:val="VerbatimChar"/>
        </w:rPr>
        <w:t xml:space="preserve">svyset ea_id [pw=weight], strata(strataid)</w:t>
      </w:r>
      <w:r>
        <w:t xml:space="preserve"> </w:t>
      </w:r>
      <w:r>
        <w:t xml:space="preserve">(PSU/strata interacted with wave when pooling).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58e7c7fc58aa400ad0a6aeef83d98534c48a47f"/>
      <w:r>
        <w:t xml:space="preserve">MALAWI — Integrated Household Panel Survey (IHPS)</w:t>
      </w:r>
      <w:bookmarkEnd w:id="29"/>
    </w:p>
    <w:p>
      <w:pPr>
        <w:pStyle w:val="FirstParagraph"/>
      </w:pPr>
      <w:r>
        <w:t xml:space="preserve">Source: the four-wave IHPS</w:t>
      </w:r>
      <w:r>
        <w:t xml:space="preserve"> </w:t>
      </w:r>
      <w:r>
        <w:rPr>
          <w:b/>
        </w:rPr>
        <w:t xml:space="preserve">panel</w:t>
      </w:r>
      <w:r>
        <w:t xml:space="preserve"> </w:t>
      </w:r>
      <w:r>
        <w:t xml:space="preserve">release</w:t>
      </w:r>
      <w:r>
        <w:t xml:space="preserve"> </w:t>
      </w:r>
      <w:r>
        <w:rPr>
          <w:rStyle w:val="VerbatimChar"/>
        </w:rPr>
        <w:t xml:space="preserve">MWI_2010-2019_IHPS_v06</w:t>
      </w:r>
      <w:r>
        <w:t xml:space="preserve">, extracted</w:t>
      </w:r>
      <w:r>
        <w:t xml:space="preserve"> </w:t>
      </w:r>
      <w:r>
        <w:t xml:space="preserve">flat to</w:t>
      </w:r>
      <w:r>
        <w:t xml:space="preserve"> </w:t>
      </w:r>
      <w:r>
        <w:rPr>
          <w:rStyle w:val="VerbatimChar"/>
        </w:rPr>
        <w:t xml:space="preserve">Malawi/IHPS_panel_v6/MWI_2010-2019_IHPS_v06_M_Stata/</w:t>
      </w:r>
      <w:r>
        <w:t xml:space="preserve"> </w:t>
      </w:r>
      <w:r>
        <w:t xml:space="preserve">(all waves point at</w:t>
      </w:r>
      <w:r>
        <w:t xml:space="preserve"> </w:t>
      </w:r>
      <w:r>
        <w:t xml:space="preserve">this one folder; filenames carry the year suffix).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The survey’s land unit changed: in 2010/2013 tenure is asked at the</w:t>
      </w:r>
      <w:r>
        <w:t xml:space="preserve"> </w:t>
      </w:r>
      <w:r>
        <w:rPr>
          <w:b/>
        </w:rPr>
        <w:t xml:space="preserve">plot</w:t>
      </w:r>
      <w:r>
        <w:t xml:space="preserve"> </w:t>
      </w:r>
      <w:r>
        <w:t xml:space="preserve">level (no garden grouping), so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:= plot; in 2016/2019 tenure is</w:t>
      </w:r>
      <w:r>
        <w:t xml:space="preserve"> </w:t>
      </w:r>
      <w:r>
        <w:t xml:space="preserve">asked at the</w:t>
      </w:r>
      <w:r>
        <w:t xml:space="preserve"> </w:t>
      </w:r>
      <w:r>
        <w:rPr>
          <w:b/>
        </w:rPr>
        <w:t xml:space="preserve">garden</w:t>
      </w:r>
      <w:r>
        <w:t xml:space="preserve"> </w:t>
      </w:r>
      <w:r>
        <w:t xml:space="preserve">level and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:= garden (area summed from its plots).</w:t>
      </w:r>
    </w:p>
    <w:p>
      <w:pPr>
        <w:pStyle w:val="Heading3"/>
      </w:pPr>
      <w:bookmarkStart w:id="30" w:name="survey-wave-key-1"/>
      <w:r>
        <w:t xml:space="preserve">1. Survey &amp; wave key</w:t>
      </w:r>
      <w:bookmarkEnd w:id="3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Tenure module (unit)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Area module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IHS3/IHPS</w:t>
            </w:r>
          </w:p>
        </w:tc>
        <w:tc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ag_mod_d_10</w:t>
            </w:r>
            <w:r>
              <w:t xml:space="preserve"> </w:t>
            </w:r>
            <w:r>
              <w:t xml:space="preserve">(plot)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  <w:r>
              <w:t xml:space="preserve"> </w:t>
            </w:r>
            <w:r>
              <w:t xml:space="preserve">(plot)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  <w:r>
              <w:t xml:space="preserve"> </w:t>
            </w:r>
            <w:r>
              <w:t xml:space="preserve">(garden)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2019/20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y4_hhid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  <w:r>
              <w:t xml:space="preserve"> </w:t>
            </w:r>
            <w:r>
              <w:t xml:space="preserve">(garden)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ag_mod_o2_19</w:t>
            </w:r>
          </w:p>
        </w:tc>
      </w:tr>
    </w:tbl>
    <w:p>
      <w:pPr>
        <w:pStyle w:val="BodyText"/>
      </w:pPr>
      <w:r>
        <w:t xml:space="preserve">Household cover (weight,</w:t>
      </w:r>
      <w:r>
        <w:t xml:space="preserve"> </w:t>
      </w:r>
      <w:r>
        <w:rPr>
          <w:rStyle w:val="VerbatimChar"/>
        </w:rPr>
        <w:t xml:space="preserve">ea_id</w:t>
      </w:r>
      <w:r>
        <w:t xml:space="preserve">, strata):</w:t>
      </w:r>
      <w:r>
        <w:t xml:space="preserve"> </w:t>
      </w:r>
      <w:r>
        <w:rPr>
          <w:rStyle w:val="VerbatimChar"/>
        </w:rPr>
        <w:t xml:space="preserve">hh_mod_a_filt_&lt;yy&gt;.dta</w:t>
      </w:r>
      <w:r>
        <w:t xml:space="preserve">.</w:t>
      </w:r>
    </w:p>
    <w:p>
      <w:pPr>
        <w:pStyle w:val="Heading3"/>
      </w:pPr>
      <w:bookmarkStart w:id="31" w:name="tenure-indicators-1"/>
      <w:r>
        <w:t xml:space="preserve">2. Tenure indicators</w:t>
      </w:r>
      <w:bookmarkEnd w:id="31"/>
    </w:p>
    <w:tbl>
      <w:tblPr>
        <w:tblStyle w:val="Table"/>
        <w:tblW w:type="pct" w:w="5000.0"/>
        <w:tblLook w:firstRow="1"/>
      </w:tblPr>
      <w:tblGrid>
        <w:gridCol w:w="1657"/>
        <w:gridCol w:w="552"/>
        <w:gridCol w:w="1473"/>
        <w:gridCol w:w="1289"/>
        <w:gridCol w:w="29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inlist(ag_d03,6,7,8)</w:t>
            </w:r>
            <w:r>
              <w:t xml:space="preserve"> </w:t>
            </w:r>
            <w:r>
              <w:t xml:space="preserve">— leasehold/rent/tenant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inlist(ag_d03,6,7,8)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inlist(ag_b203,6,7,8)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ag_b211a/b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ag_brentedin==1</w:t>
            </w:r>
            <w:r>
              <w:t xml:space="preserve"> </w:t>
            </w:r>
            <w:r>
              <w:t xml:space="preserve">OR paid owner</w:t>
            </w:r>
            <w:r>
              <w:t xml:space="preserve"> </w:t>
            </w:r>
            <w:r>
              <w:rPr>
                <w:rStyle w:val="VerbatimChar"/>
              </w:rPr>
              <w:t xml:space="preserve">ag_b211a/b&gt;0</w:t>
            </w:r>
            <w:r>
              <w:t xml:space="preserve"> </w:t>
            </w:r>
            <w:r>
              <w:t xml:space="preserve">(no acq. question in 2019)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ag_d19a-d</w:t>
            </w:r>
          </w:p>
        </w:tc>
        <w:tc>
          <w:p>
            <w:pPr>
              <w:pStyle w:val="Compact"/>
              <w:jc w:val="left"/>
            </w:pPr>
            <w:r>
              <w:t xml:space="preserve">rent received &gt;0 (cash/in-kind, already/still)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ag_b219a-d</w:t>
            </w:r>
          </w:p>
        </w:tc>
        <w:tc>
          <w:p>
            <w:pPr>
              <w:pStyle w:val="Compact"/>
              <w:jc w:val="left"/>
            </w:pPr>
            <w:r>
              <w:t xml:space="preserve">rent received &gt;0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ag_b219a-d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ag_brentedout==1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ag_b219a-d&gt;0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ag_d03_1==1</w:t>
            </w:r>
            <w:r>
              <w:t xml:space="preserve"> </w:t>
            </w:r>
            <w:r>
              <w:t xml:space="preserve">(has title)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ag_b204_1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inlist(ag_b204_1,1,2,3)</w:t>
            </w:r>
            <w:r>
              <w:t xml:space="preserve"> </w:t>
            </w:r>
            <w:r>
              <w:t xml:space="preserve">(lease offer / title deed / lease cert)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inlist(ag_d03,4,5)</w:t>
            </w:r>
            <w:r>
              <w:t xml:space="preserve"> </w:t>
            </w:r>
            <w:r>
              <w:t xml:space="preserve">— purchased w/ or w/o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ag_b203==4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acquisition question dropped in 2019</w:t>
            </w:r>
          </w:p>
        </w:tc>
      </w:tr>
    </w:tbl>
    <w:p>
      <w:pPr>
        <w:pStyle w:val="Heading3"/>
      </w:pPr>
      <w:bookmarkStart w:id="32" w:name="parcel-area-parcel_area_ha-1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32"/>
    </w:p>
    <w:p>
      <w:pPr>
        <w:pStyle w:val="FirstParagraph"/>
      </w:pPr>
      <w:r>
        <w:t xml:space="preserve">Field roster</w:t>
      </w:r>
      <w:r>
        <w:t xml:space="preserve"> </w:t>
      </w:r>
      <w:r>
        <w:rPr>
          <w:rStyle w:val="VerbatimChar"/>
        </w:rPr>
        <w:t xml:space="preserve">ag_mod_c_&lt;yy&gt;</w:t>
      </w:r>
      <w:r>
        <w:t xml:space="preserve"> </w:t>
      </w:r>
      <w:r>
        <w:t xml:space="preserve">(+ perennial</w:t>
      </w:r>
      <w:r>
        <w:t xml:space="preserve"> </w:t>
      </w:r>
      <w:r>
        <w:rPr>
          <w:rStyle w:val="VerbatimChar"/>
        </w:rPr>
        <w:t xml:space="preserve">ag_mod_o2_&lt;yy&gt;</w:t>
      </w:r>
      <w:r>
        <w:t xml:space="preserve"> </w:t>
      </w:r>
      <w:r>
        <w:t xml:space="preserve">for w2-4). Field area =</w:t>
      </w:r>
      <w:r>
        <w:t xml:space="preserve"> </w:t>
      </w:r>
      <w:r>
        <w:t xml:space="preserve">GPS (</w:t>
      </w:r>
      <w:r>
        <w:rPr>
          <w:rStyle w:val="VerbatimChar"/>
        </w:rPr>
        <w:t xml:space="preserve">ag_c04c</w:t>
      </w:r>
      <w:r>
        <w:t xml:space="preserve">) where measured, else self-reported (</w:t>
      </w:r>
      <w:r>
        <w:rPr>
          <w:rStyle w:val="VerbatimChar"/>
        </w:rPr>
        <w:t xml:space="preserve">ag_c04a</w:t>
      </w:r>
      <w:r>
        <w:t xml:space="preserve">, unit</w:t>
      </w:r>
      <w:r>
        <w:t xml:space="preserve"> </w:t>
      </w:r>
      <w:r>
        <w:rPr>
          <w:rStyle w:val="VerbatimChar"/>
        </w:rPr>
        <w:t xml:space="preserve">ag_c04b</w:t>
      </w:r>
      <w:r>
        <w:t xml:space="preserve">:</w:t>
      </w:r>
      <w:r>
        <w:t xml:space="preserve"> </w:t>
      </w:r>
      <w:r>
        <w:t xml:space="preserve">1=acre, 2=ha, 3=m²); acres→ha via ×0.404686. No model-based imputation (the published</w:t>
      </w:r>
      <w:r>
        <w:t xml:space="preserve"> </w:t>
      </w:r>
      <w:r>
        <w:t xml:space="preserve">pipeline pmm-imputes missing GPS; we use the deterministic GPS-else-self-reported</w:t>
      </w:r>
      <w:r>
        <w:t xml:space="preserve"> </w:t>
      </w:r>
      <w:r>
        <w:t xml:space="preserve">measure for cross-language reproducibility). Summed to the parcel: garden in w3-4;</w:t>
      </w:r>
      <w:r>
        <w:t xml:space="preserve"> </w:t>
      </w:r>
      <w:r>
        <w:t xml:space="preserve">in w1-2 each plot is its own parcel.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cultivated fields per parcel.</w:t>
      </w:r>
    </w:p>
    <w:p>
      <w:pPr>
        <w:pStyle w:val="Heading3"/>
      </w:pPr>
      <w:bookmarkStart w:id="33" w:name="design-variables-identifiers-1"/>
      <w:r>
        <w:t xml:space="preserve">4. Design variables &amp; identifiers</w:t>
      </w:r>
      <w:bookmarkEnd w:id="33"/>
    </w:p>
    <w:tbl>
      <w:tblPr>
        <w:tblStyle w:val="Table"/>
        <w:tblW w:type="pct" w:w="5000.0"/>
        <w:tblLook w:firstRow="1"/>
      </w:tblPr>
      <w:tblGrid>
        <w:gridCol w:w="1508"/>
        <w:gridCol w:w="565"/>
        <w:gridCol w:w="1508"/>
        <w:gridCol w:w="1508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hh_wgt</w:t>
            </w:r>
          </w:p>
        </w:tc>
        <w:tc>
          <w:p>
            <w:pPr>
              <w:pStyle w:val="Compact"/>
              <w:jc w:val="left"/>
            </w:pPr>
            <w:r>
              <w:t xml:space="preserve">baseline sampling 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panelweight_2016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panelweight_2019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enumeration area (PSU)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stratum</w:t>
            </w:r>
          </w:p>
        </w:tc>
        <w:tc>
          <w:p>
            <w:pPr>
              <w:pStyle w:val="Compact"/>
              <w:jc w:val="left"/>
            </w:pPr>
            <w:r>
              <w:t xml:space="preserve">baseline stratum (region × urban/rural)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group(region reside)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stratum</w:t>
            </w:r>
            <w:r>
              <w:t xml:space="preserve"> </w:t>
            </w:r>
            <w:r>
              <w:t xml:space="preserve">in cover)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t xml:space="preserve">+ plot no. (</w:t>
            </w:r>
            <w:r>
              <w:rPr>
                <w:rStyle w:val="VerbatimChar"/>
              </w:rPr>
              <w:t xml:space="preserve">ag_d00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concatenated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gardenid</w:t>
            </w:r>
          </w:p>
        </w:tc>
        <w:tc>
          <w:p>
            <w:pPr>
              <w:pStyle w:val="Compact"/>
              <w:jc w:val="left"/>
            </w:pPr>
            <w:r>
              <w:t xml:space="preserve">concatenated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2010 / 2013 / 2016 / 2019</w:t>
            </w:r>
          </w:p>
        </w:tc>
      </w:tr>
    </w:tbl>
    <w:p>
      <w:pPr>
        <w:pStyle w:val="Heading3"/>
      </w:pPr>
      <w:bookmarkStart w:id="34" w:name="X3c195f35add181f24126d1dac89a38fd1df1287"/>
      <w:r>
        <w:t xml:space="preserve">5. Value labels of key source variables (verified)</w:t>
      </w:r>
      <w:bookmarkEnd w:id="34"/>
    </w:p>
    <w:p>
      <w:pPr>
        <w:pStyle w:val="FirstParagraph"/>
      </w:pPr>
      <w:r>
        <w:rPr>
          <w:b/>
        </w:rPr>
        <w:t xml:space="preserve">Acquisition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ag_d03</w:t>
      </w:r>
      <w:r>
        <w:t xml:space="preserve"> </w:t>
      </w:r>
      <w:r>
        <w:t xml:space="preserve">(w1-2) /</w:t>
      </w:r>
      <w:r>
        <w:t xml:space="preserve"> </w:t>
      </w:r>
      <w:r>
        <w:rPr>
          <w:rStyle w:val="VerbatimChar"/>
        </w:rPr>
        <w:t xml:space="preserve">ag_b203</w:t>
      </w:r>
      <w:r>
        <w:t xml:space="preserve"> </w:t>
      </w:r>
      <w:r>
        <w:t xml:space="preserve">(w3):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did your household acquire this [plot/garden]?</w:t>
      </w:r>
      <w:r>
        <w:rPr>
          <w:i/>
        </w:rPr>
        <w:t xml:space="preserve">”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w1-2 (ag_d03)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w3 (ag_b203)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Bride price</w:t>
            </w:r>
          </w:p>
        </w:tc>
        <w:tc>
          <w:p>
            <w:pPr>
              <w:pStyle w:val="Compact"/>
              <w:jc w:val="left"/>
            </w:pPr>
            <w:r>
              <w:t xml:space="preserve">Bride price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 (with title)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 (no title)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Leasehold</w:t>
            </w:r>
          </w:p>
        </w:tc>
        <w:tc>
          <w:p>
            <w:pPr>
              <w:pStyle w:val="Compact"/>
              <w:jc w:val="left"/>
            </w:pPr>
            <w:r>
              <w:t xml:space="preserve">Leasehold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Rent short-term</w:t>
            </w:r>
          </w:p>
        </w:tc>
        <w:tc>
          <w:p>
            <w:pPr>
              <w:pStyle w:val="Compact"/>
              <w:jc w:val="left"/>
            </w:pPr>
            <w:r>
              <w:t xml:space="preserve">Rent short-term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Farming as a tenant</w:t>
            </w:r>
          </w:p>
        </w:tc>
        <w:tc>
          <w:p>
            <w:pPr>
              <w:pStyle w:val="Compact"/>
              <w:jc w:val="left"/>
            </w:pPr>
            <w:r>
              <w:t xml:space="preserve">Farming as a tenant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 / 13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Allocated by family / Gift from non-HH</w:t>
            </w:r>
          </w:p>
        </w:tc>
      </w:tr>
    </w:tbl>
    <w:p>
      <w:pPr>
        <w:pStyle w:val="BodyText"/>
      </w:pPr>
      <w:r>
        <w:rPr>
          <w:i/>
        </w:rPr>
        <w:t xml:space="preserve">(Wave 4 has no acquisition-method question — only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from whom</w:t>
      </w:r>
      <w:r>
        <w:rPr>
          <w:i/>
        </w:rPr>
        <w:t xml:space="preserve">”</w:t>
      </w:r>
      <w:r>
        <w:rPr>
          <w:i/>
        </w:rPr>
        <w:t xml:space="preserve"> </w:t>
      </w:r>
      <w:r>
        <w:rPr>
          <w:i/>
        </w:rPr>
        <w:t xml:space="preserve">and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year acquired</w:t>
      </w:r>
      <w:r>
        <w:rPr>
          <w:i/>
        </w:rPr>
        <w:t xml:space="preserve">”</w:t>
      </w:r>
      <w:r>
        <w:rPr>
          <w:i/>
        </w:rPr>
        <w:t xml:space="preserve">.)</w:t>
      </w:r>
    </w:p>
    <w:p>
      <w:pPr>
        <w:pStyle w:val="BodyText"/>
      </w:pPr>
      <w:r>
        <w:rPr>
          <w:b/>
        </w:rPr>
        <w:t xml:space="preserve">Rented out / in (w4 flags)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ag_brentedin</w:t>
      </w:r>
      <w:r>
        <w:t xml:space="preserve"> </w:t>
      </w:r>
      <w:r>
        <w:t xml:space="preserve">(</w:t>
      </w:r>
      <w:r>
        <w:t xml:space="preserve">“</w:t>
      </w:r>
      <w:r>
        <w:t xml:space="preserve">gave output as rent</w:t>
      </w:r>
      <w:r>
        <w:t xml:space="preserve">”</w:t>
      </w:r>
      <w:r>
        <w:t xml:space="preserve"> </w:t>
      </w:r>
      <w:r>
        <w:t xml:space="preserve">→ rented in),</w:t>
      </w:r>
      <w:r>
        <w:t xml:space="preserve"> </w:t>
      </w:r>
      <w:r>
        <w:rPr>
          <w:rStyle w:val="VerbatimChar"/>
        </w:rPr>
        <w:t xml:space="preserve">ag_brentedout</w:t>
      </w:r>
      <w:r>
        <w:t xml:space="preserve"> </w:t>
      </w:r>
      <w:r>
        <w:t xml:space="preserve">(</w:t>
      </w:r>
      <w:r>
        <w:t xml:space="preserve">“</w:t>
      </w:r>
      <w:r>
        <w:t xml:space="preserve">received output as rent</w:t>
      </w:r>
      <w:r>
        <w:t xml:space="preserve">”</w:t>
      </w:r>
      <w:r>
        <w:t xml:space="preserve"> </w:t>
      </w:r>
      <w:r>
        <w:t xml:space="preserve">→ rented out):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t xml:space="preserve">Rent amounts</w:t>
      </w:r>
      <w:r>
        <w:t xml:space="preserve"> </w:t>
      </w:r>
      <w:r>
        <w:rPr>
          <w:rStyle w:val="VerbatimChar"/>
        </w:rPr>
        <w:t xml:space="preserve">ag_d19a-d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ag_b219a-d</w:t>
      </w:r>
      <w:r>
        <w:t xml:space="preserve"> </w:t>
      </w:r>
      <w:r>
        <w:t xml:space="preserve">= cash/in-kind received (already / still due).</w:t>
      </w:r>
    </w:p>
    <w:p>
      <w:pPr>
        <w:pStyle w:val="BodyText"/>
      </w:pPr>
      <w:r>
        <w:rPr>
          <w:b/>
        </w:rPr>
        <w:t xml:space="preserve">Certificate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ag_d03_1</w:t>
      </w:r>
      <w:r>
        <w:t xml:space="preserve"> </w:t>
      </w:r>
      <w:r>
        <w:t xml:space="preserve">(w2, has title):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rPr>
          <w:rStyle w:val="VerbatimChar"/>
        </w:rPr>
        <w:t xml:space="preserve">ag_b204_1</w:t>
      </w:r>
      <w:r>
        <w:t xml:space="preserve"> </w:t>
      </w:r>
      <w:r>
        <w:t xml:space="preserve">(w3):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offer of lease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title deed ·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certificate of lease ·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no ·</w:t>
      </w:r>
      <w:r>
        <w:t xml:space="preserve"> </w:t>
      </w:r>
      <w:r>
        <w:rPr>
          <w:rStyle w:val="VerbatimChar"/>
        </w:rPr>
        <w:t xml:space="preserve">96</w:t>
      </w:r>
      <w:r>
        <w:t xml:space="preserve"> </w:t>
      </w:r>
      <w:r>
        <w:t xml:space="preserve">other.</w:t>
      </w:r>
    </w:p>
    <w:p>
      <w:pPr>
        <w:pStyle w:val="Heading3"/>
      </w:pPr>
      <w:bookmarkStart w:id="35" w:name="harmonization-decisions-caveats-malawi"/>
      <w:r>
        <w:t xml:space="preserve">6. Harmonization decisions &amp; caveats (Malawi)</w:t>
      </w:r>
      <w:bookmarkEnd w:id="35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Rental variables were derived here, not inherited</w:t>
      </w:r>
      <w:r>
        <w:t xml:space="preserve"> </w:t>
      </w:r>
      <w:r>
        <w:t xml:space="preserve">— the upstream pipeline never</w:t>
      </w:r>
      <w:r>
        <w:t xml:space="preserve"> </w:t>
      </w:r>
      <w:r>
        <w:t xml:space="preserve">built</w:t>
      </w:r>
      <w:r>
        <w:t xml:space="preserve"> </w:t>
      </w:r>
      <w:r>
        <w:rPr>
          <w:rStyle w:val="VerbatimChar"/>
        </w:rPr>
        <w:t xml:space="preserve">plot_rentedin/out</w:t>
      </w:r>
      <w:r>
        <w:t xml:space="preserve"> </w:t>
      </w:r>
      <w:r>
        <w:t xml:space="preserve">for Malawi. They are constructed from the acquisition</w:t>
      </w:r>
      <w:r>
        <w:t xml:space="preserve"> </w:t>
      </w:r>
      <w:r>
        <w:t xml:space="preserve">question (rented-in) and the rent-received variables (rented-out).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Land unit changes across waves</w:t>
      </w:r>
      <w:r>
        <w:t xml:space="preserve"> </w:t>
      </w:r>
      <w:r>
        <w:t xml:space="preserve">— plot (2010/2013) vs garden (2016/2019). Counts</w:t>
      </w:r>
      <w:r>
        <w:t xml:space="preserve"> </w:t>
      </w:r>
      <w:r>
        <w:t xml:space="preserve">and mean areas are not strictly unit-comparable across that break.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Wave 4 (2019)</w:t>
      </w:r>
      <w:r>
        <w:t xml:space="preserve">: the categorical acquisition question was dropped, so</w:t>
      </w:r>
      <w:r>
        <w:t xml:space="preserve"> </w:t>
      </w:r>
      <w:r>
        <w:rPr>
          <w:rStyle w:val="VerbatimChar"/>
        </w:rPr>
        <w:t xml:space="preserve">parcel_purchased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parcel_certificate</w:t>
      </w:r>
      <w:r>
        <w:t xml:space="preserve"> </w:t>
      </w:r>
      <w:r>
        <w:t xml:space="preserve">are</w:t>
      </w:r>
      <w:r>
        <w:t xml:space="preserve"> </w:t>
      </w:r>
      <w:r>
        <w:rPr>
          <w:b/>
        </w:rPr>
        <w:t xml:space="preserve">missing</w:t>
      </w:r>
      <w:r>
        <w:t xml:space="preserve"> </w:t>
      </w:r>
      <w:r>
        <w:t xml:space="preserve">in 2019, and rented-in</w:t>
      </w:r>
      <w:r>
        <w:t xml:space="preserve"> </w:t>
      </w:r>
      <w:r>
        <w:t xml:space="preserve">uses a payment-based proxy (</w:t>
      </w:r>
      <w:r>
        <w:rPr>
          <w:rStyle w:val="VerbatimChar"/>
        </w:rPr>
        <w:t xml:space="preserve">ag_brentedin</w:t>
      </w:r>
      <w:r>
        <w:t xml:space="preserve"> </w:t>
      </w:r>
      <w:r>
        <w:t xml:space="preserve">/ paid-owner) rather than an acquisition code.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Rented-in</w:t>
      </w:r>
      <w:r>
        <w:t xml:space="preserve"> </w:t>
      </w:r>
      <w:r>
        <w:t xml:space="preserve">= leasehold/rent/tenant (codes 6,7,8);</w:t>
      </w:r>
      <w:r>
        <w:t xml:space="preserve"> </w:t>
      </w:r>
      <w:r>
        <w:t xml:space="preserve">“</w:t>
      </w:r>
      <w:r>
        <w:t xml:space="preserve">borrowed for free</w:t>
      </w:r>
      <w:r>
        <w:t xml:space="preserve">”</w:t>
      </w:r>
      <w:r>
        <w:t xml:space="preserve"> </w:t>
      </w:r>
      <w:r>
        <w:t xml:space="preserve">(9) is</w:t>
      </w:r>
      <w:r>
        <w:t xml:space="preserve"> </w:t>
      </w:r>
      <w:r>
        <w:t xml:space="preserve">excluded as non-market access.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Rented-out is NOT comparable across waves - do not read the trend.</w:t>
      </w:r>
      <w:r>
        <w:t xml:space="preserve"> </w:t>
      </w:r>
      <w:r>
        <w:t xml:space="preserve">It is captured</w:t>
      </w:r>
      <w:r>
        <w:t xml:space="preserve"> </w:t>
      </w:r>
      <w:r>
        <w:t xml:space="preserve">differently by wave: 2010 and 2013 identify rented-out only via positive rent</w:t>
      </w:r>
      <w:r>
        <w:t xml:space="preserve"> </w:t>
      </w:r>
      <w:r>
        <w:rPr>
          <w:i/>
        </w:rPr>
        <w:t xml:space="preserve">received</w:t>
      </w:r>
      <w:r>
        <w:t xml:space="preserve"> </w:t>
      </w:r>
      <w:r>
        <w:t xml:space="preserve">(</w:t>
      </w:r>
      <w:r>
        <w:rPr>
          <w:rStyle w:val="VerbatimChar"/>
        </w:rPr>
        <w:t xml:space="preserve">ag_d19a-d</w:t>
      </w:r>
      <w:r>
        <w:t xml:space="preserve">), with heavy skip/missing on those amount items, whereas 2019</w:t>
      </w:r>
      <w:r>
        <w:t xml:space="preserve"> </w:t>
      </w:r>
      <w:r>
        <w:t xml:space="preserve">has an explicit yes/no flag (</w:t>
      </w:r>
      <w:r>
        <w:rPr>
          <w:rStyle w:val="VerbatimChar"/>
        </w:rPr>
        <w:t xml:space="preserve">ag_brentedout</w:t>
      </w:r>
      <w:r>
        <w:t xml:space="preserve">). As a result the weighted rate is ~0.2%</w:t>
      </w:r>
      <w:r>
        <w:t xml:space="preserve"> </w:t>
      </w:r>
      <w:r>
        <w:t xml:space="preserve">in 2010 versus ~1.3-1.5% in 2016/2019. The early levels almost certainly understate</w:t>
      </w:r>
      <w:r>
        <w:t xml:space="preserve"> </w:t>
      </w:r>
      <w:r>
        <w:t xml:space="preserve">rented-out, so the apparent increase over time is largely a measurement artifact</w:t>
      </w:r>
      <w:r>
        <w:t xml:space="preserve"> </w:t>
      </w:r>
      <w:r>
        <w:t xml:space="preserve">rather than a real change in behavior.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Purchase</w:t>
      </w:r>
      <w:r>
        <w:t xml:space="preserve"> </w:t>
      </w:r>
      <w:r>
        <w:t xml:space="preserve">is genuinely measurable here (codes 4-5), unlike Ethiopia w1-2.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Strata</w:t>
      </w:r>
      <w:r>
        <w:t xml:space="preserve">: baseline</w:t>
      </w:r>
      <w:r>
        <w:t xml:space="preserve"> </w:t>
      </w:r>
      <w:r>
        <w:rPr>
          <w:rStyle w:val="VerbatimChar"/>
        </w:rPr>
        <w:t xml:space="preserve">stratum</w:t>
      </w:r>
      <w:r>
        <w:t xml:space="preserve"> </w:t>
      </w:r>
      <w:r>
        <w:t xml:space="preserve">(w1-2) vs</w:t>
      </w:r>
      <w:r>
        <w:t xml:space="preserve"> </w:t>
      </w:r>
      <w:r>
        <w:rPr>
          <w:rStyle w:val="VerbatimChar"/>
        </w:rPr>
        <w:t xml:space="preserve">group(region reside)</w:t>
      </w:r>
      <w:r>
        <w:t xml:space="preserve"> </w:t>
      </w:r>
      <w:r>
        <w:t xml:space="preserve">(w3-4).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Year map</w:t>
      </w:r>
      <w:r>
        <w:t xml:space="preserve"> </w:t>
      </w:r>
      <w:r>
        <w:t xml:space="preserve">follows the IHPS rounds (2010/2013/2016/2019); the shocks do-file used</w:t>
      </w:r>
      <w:r>
        <w:t xml:space="preserve"> </w:t>
      </w:r>
      <w:r>
        <w:t xml:space="preserve">2017/2020 for w3/w4 — change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extract_MWI.do</w:t>
      </w:r>
      <w:r>
        <w:t xml:space="preserve"> </w:t>
      </w:r>
      <w:r>
        <w:t xml:space="preserve">if you prefer that labeling.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Built from</w:t>
      </w:r>
      <w:r>
        <w:rPr>
          <w:i/>
        </w:rPr>
        <w:t xml:space="preserve"> </w:t>
      </w:r>
      <w:r>
        <w:rPr>
          <w:rStyle w:val="VerbatimChar"/>
          <w:i/>
        </w:rPr>
        <w:t xml:space="preserve">Reproduction_v2/Code/Cleaning_code/ETH_ESS1–5.do</w:t>
      </w:r>
      <w:r>
        <w:rPr>
          <w:i/>
        </w:rPr>
        <w:t xml:space="preserve"> </w:t>
      </w:r>
      <w:r>
        <w:rPr>
          <w:i/>
        </w:rPr>
        <w:t xml:space="preserve">and the IHPS v06 raw</w:t>
      </w:r>
      <w:r>
        <w:rPr>
          <w:i/>
        </w:rPr>
        <w:t xml:space="preserve"> </w:t>
      </w:r>
      <w:r>
        <w:rPr>
          <w:i/>
        </w:rPr>
        <w:t xml:space="preserve">modules (Malawi), with all source variables, codes, and value labels verified against</w:t>
      </w:r>
      <w:r>
        <w:rPr>
          <w:i/>
        </w:rPr>
        <w:t xml:space="preserve"> </w:t>
      </w:r>
      <w:r>
        <w:rPr>
          <w:i/>
        </w:rPr>
        <w:t xml:space="preserve">the raw data. Extend with one new country section (1–6) per country as the workflow grows.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2026-06-15T17:44:34Z</dcterms:created>
  <dcterms:modified xsi:type="dcterms:W3CDTF">2026-06-15T17:44:34Z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