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p>
            <w:pPr>
              <w:pStyle w:val="Compact"/>
              <w:jc w:val="left"/>
            </w:pPr>
            <w:r>
              <w:t xml:space="preserve">Cropping season (1 = single-season country / Uganda season 1; 2 = Uganda season 2)</w:t>
            </w:r>
          </w:p>
        </w:tc>
        <w:tc>
          <w:p>
            <w:pPr>
              <w:pStyle w:val="Compact"/>
              <w:jc w:val="left"/>
            </w:pPr>
            <w:r>
              <w:t xml:space="preserve">1/2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Area cleaning.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top-coded</w:t>
      </w:r>
      <w:r>
        <w:t xml:space="preserve">: values above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(40 ha,</w:t>
      </w:r>
      <w:r>
        <w:t xml:space="preserve"> </w:t>
      </w:r>
      <w:r>
        <w:t xml:space="preserve">set 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) are treated as data-entry errors and set missing. Smallholder</w:t>
      </w:r>
      <w:r>
        <w:t xml:space="preserve"> </w:t>
      </w:r>
      <w:r>
        <w:t xml:space="preserve">parcels rarely exceed this, but the raw self-reported areas carry unit-entry outliers</w:t>
      </w:r>
      <w:r>
        <w:t xml:space="preserve"> </w:t>
      </w:r>
      <w:r>
        <w:t xml:space="preserve">(e.g. tens of thousands of</w:t>
      </w:r>
      <w:r>
        <w:t xml:space="preserve"> </w:t>
      </w:r>
      <w:r>
        <w:t xml:space="preserve">“</w:t>
      </w:r>
      <w:r>
        <w:t xml:space="preserve">acres</w:t>
      </w:r>
      <w:r>
        <w:t xml:space="preserve">”</w:t>
      </w:r>
      <w:r>
        <w:t xml:space="preserve">) that otherwise inflate the</w:t>
      </w:r>
      <w:r>
        <w:t xml:space="preserve"> </w:t>
      </w:r>
      <w:r>
        <w:rPr>
          <w:i/>
        </w:rPr>
        <w:t xml:space="preserve">mean</w:t>
      </w:r>
      <w:r>
        <w:t xml:space="preserve"> </w:t>
      </w:r>
      <w:r>
        <w:t xml:space="preserve">(the median is</w:t>
      </w:r>
      <w:r>
        <w:t xml:space="preserve"> </w:t>
      </w:r>
      <w:r>
        <w:t xml:space="preserve">unaffected). This matters most where a parcel falls back to self-reported area because</w:t>
      </w:r>
      <w:r>
        <w:t xml:space="preserve"> </w:t>
      </w:r>
      <w:r>
        <w:t xml:space="preserve">GPS is missing; GPS-measured areas are well-behaved.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t xml:space="preserve">GHS wave 1 has</w:t>
            </w:r>
            <w:r>
              <w:t xml:space="preserve"> </w:t>
            </w:r>
            <w:r>
              <w:rPr>
                <w:b/>
              </w:rPr>
              <w:t xml:space="preserve">no certificate-of-occupancy question</w:t>
            </w:r>
            <w:r>
              <w:t xml:space="preserve"> </w:t>
            </w:r>
            <w:r>
              <w:t xml:space="preserve">in the tenure module (added from wave 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Tanzania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2009, 2011, 2013</w:t>
            </w:r>
          </w:p>
        </w:tc>
        <w:tc>
          <w:p>
            <w:pPr>
              <w:pStyle w:val="Compact"/>
              <w:jc w:val="left"/>
            </w:pPr>
            <w:r>
              <w:t xml:space="preserve">The early NPS</w:t>
            </w:r>
            <w:r>
              <w:t xml:space="preserve"> </w:t>
            </w:r>
            <w:r>
              <w:t xml:space="preserve">“</w:t>
            </w:r>
            <w:r>
              <w:t xml:space="preserve">ownership status</w:t>
            </w:r>
            <w:r>
              <w:t xml:space="preserve">”</w:t>
            </w:r>
            <w:r>
              <w:t xml:space="preserve"> </w:t>
            </w:r>
            <w:r>
              <w:t xml:space="preserve">question has</w:t>
            </w:r>
            <w:r>
              <w:t xml:space="preserve"> </w:t>
            </w:r>
            <w:r>
              <w:rPr>
                <w:b/>
              </w:rPr>
              <w:t xml:space="preserve">no acquisition-mode / purchase category</w:t>
            </w:r>
            <w:r>
              <w:t xml:space="preserve"> </w:t>
            </w:r>
            <w:r>
              <w:t xml:space="preserve">(added when the question was redesigned to</w:t>
            </w:r>
            <w:r>
              <w:t xml:space="preserve"> </w:t>
            </w:r>
            <w:r>
              <w:t xml:space="preserve">“</w:t>
            </w:r>
            <w:r>
              <w:t xml:space="preserve">how was this plot acquired?</w:t>
            </w:r>
            <w:r>
              <w:t xml:space="preserve">”</w:t>
            </w:r>
            <w:r>
              <w:t xml:space="preserve"> </w:t>
            </w:r>
            <w:r>
              <w:t xml:space="preserve">in NPS4, 2015).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t xml:space="preserve">UNPS7 (2018/19) did</w:t>
            </w:r>
            <w:r>
              <w:t xml:space="preserve"> </w:t>
            </w:r>
            <w:r>
              <w:rPr>
                <w:b/>
              </w:rPr>
              <w:t xml:space="preserve">not record the owned-parcel acquisition 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s2aq8</w:t>
            </w:r>
            <w:r>
              <w:t xml:space="preserve"> </w:t>
            </w:r>
            <w:r>
              <w:t xml:space="preserve">is entirely empty), so acquisition mode - including purchase - is unidentifiable that round.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14eb90961d7c4eda69428154c7d8401e18ed92a"/>
      <w:r>
        <w:t xml:space="preserve">NIGER — Enquete Nationale sur les Conditions de Vie (ECVMA)</w:t>
      </w:r>
      <w:bookmarkEnd w:id="44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5" w:name="survey-wave-key-3"/>
      <w:r>
        <w:t xml:space="preserve">1. Survey &amp; wave key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6" w:name="tenure-indicators-3"/>
      <w:r>
        <w:t xml:space="preserve">2. Tenure indicators</w:t>
      </w:r>
      <w:bookmarkEnd w:id="46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7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7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48" w:name="design-variables-identifiers-3"/>
      <w:r>
        <w:t xml:space="preserve">4. Design variables &amp; identifiers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49" w:name="X646e8461e11ea76f2f34efa79915905fa78ad77"/>
      <w:r>
        <w:t xml:space="preserve">5. Value labels of key source variables (verified)</w:t>
      </w:r>
      <w:bookmarkEnd w:id="49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0" w:name="harmonization-decisions-caveats-niger"/>
      <w:r>
        <w:t xml:space="preserve">6. Harmonization decisions &amp; caveats (Niger)</w:t>
      </w:r>
      <w:bookmarkEnd w:id="50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4370d6f7e22f04e7f2986bdcf7fe062ac53545f"/>
      <w:r>
        <w:t xml:space="preserve">NIGERIA — General Household Survey-Panel (GHS)</w:t>
      </w:r>
      <w:bookmarkEnd w:id="51"/>
    </w:p>
    <w:p>
      <w:pPr>
        <w:pStyle w:val="FirstParagraph"/>
      </w:pPr>
      <w:r>
        <w:t xml:space="preserve">Five GHS-Panel waves (2010/11, 2012/13, 2015/16, 2018/19, 2023). Plot id =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 Tenure (acquisition, rented-out, certificate) is in the tenure</w:t>
      </w:r>
      <w:r>
        <w:t xml:space="preserve"> </w:t>
      </w:r>
      <w:r>
        <w:t xml:space="preserve">module; area is in the plot roster - the two are merged on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the plot record. Tenure variable names shift:</w:t>
      </w:r>
      <w:r>
        <w:t xml:space="preserve"> </w:t>
      </w:r>
      <w:r>
        <w:t xml:space="preserve">wave 1 uses</w:t>
      </w:r>
      <w:r>
        <w:t xml:space="preserve"> </w:t>
      </w:r>
      <w:r>
        <w:rPr>
          <w:rStyle w:val="VerbatimChar"/>
        </w:rPr>
        <w:t xml:space="preserve">s11bq*</w:t>
      </w:r>
      <w:r>
        <w:t xml:space="preserve">; waves 2-5 use</w:t>
      </w:r>
      <w:r>
        <w:t xml:space="preserve"> </w:t>
      </w:r>
      <w:r>
        <w:rPr>
          <w:rStyle w:val="VerbatimChar"/>
        </w:rPr>
        <w:t xml:space="preserve">s11b1q*</w:t>
      </w:r>
      <w:r>
        <w:t xml:space="preserve">.</w:t>
      </w:r>
    </w:p>
    <w:p>
      <w:pPr>
        <w:pStyle w:val="Heading3"/>
      </w:pPr>
      <w:bookmarkStart w:id="52" w:name="survey-wave-key-4"/>
      <w:r>
        <w:t xml:space="preserve">1. Survey &amp; wave key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sect11b_plantingw1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s11b1q*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23</w:t>
            </w:r>
          </w:p>
        </w:tc>
        <w:tc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sect11a1_plantingw5</w:t>
            </w:r>
          </w:p>
        </w:tc>
      </w:tr>
    </w:tbl>
    <w:p>
      <w:pPr>
        <w:pStyle w:val="Heading3"/>
      </w:pPr>
      <w:bookmarkStart w:id="53" w:name="tenure-indicators-4"/>
      <w:r>
        <w:t xml:space="preserve">2. Tenure indicators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s11bq4==2</w:t>
            </w:r>
            <w:r>
              <w:t xml:space="preserve"> </w:t>
            </w:r>
            <w:r>
              <w:t xml:space="preserve">- rented for cash/in-kind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inlist(s11b1q4,2,6)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s11bq17==2</w:t>
            </w:r>
            <w:r>
              <w:t xml:space="preserve"> </w:t>
            </w:r>
            <w:r>
              <w:t xml:space="preserve">- main use = rented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inlist(s11b1q28,2,3)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inlist(s11b1q44,2,3)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s11b1q7==1</w:t>
            </w:r>
            <w:r>
              <w:t xml:space="preserve"> </w:t>
            </w:r>
            <w:r>
              <w:t xml:space="preserve">(0 if not owned)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s11b1q8==1</w:t>
            </w:r>
            <w:r>
              <w:t xml:space="preserve"> </w:t>
            </w:r>
            <w:r>
              <w:t xml:space="preserve">(0 if not owned)</w:t>
            </w:r>
          </w:p>
        </w:tc>
      </w:tr>
    </w:tbl>
    <w:p>
      <w:pPr>
        <w:pStyle w:val="Heading3"/>
      </w:pPr>
      <w:bookmarkStart w:id="54" w:name="parcel-area-parcel_area_ha-4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54"/>
    </w:p>
    <w:p>
      <w:pPr>
        <w:pStyle w:val="FirstParagraph"/>
      </w:pPr>
      <w:r>
        <w:t xml:space="preserve">GPS where measured (the</w:t>
      </w:r>
      <w:r>
        <w:t xml:space="preserve"> </w:t>
      </w:r>
      <w:r>
        <w:t xml:space="preserve">“</w:t>
      </w:r>
      <w:r>
        <w:t xml:space="preserve">GPS measured in square meters</w:t>
      </w:r>
      <w:r>
        <w:t xml:space="preserve">”</w:t>
      </w:r>
      <w:r>
        <w:t xml:space="preserve"> </w:t>
      </w:r>
      <w:r>
        <w:t xml:space="preserve">variable × 0.0001 → ha), else</w:t>
      </w:r>
      <w:r>
        <w:t xml:space="preserve"> </w:t>
      </w:r>
      <w:r>
        <w:t xml:space="preserve">self-reported. The GPS variable name shifts by wave:</w:t>
      </w:r>
      <w:r>
        <w:t xml:space="preserve"> </w:t>
      </w:r>
      <w:r>
        <w:rPr>
          <w:b/>
        </w:rPr>
        <w:t xml:space="preserve">w1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s11aq4d</w:t>
      </w:r>
      <w:r>
        <w:rPr>
          <w:b/>
        </w:rPr>
        <w:t xml:space="preserve">, w2-4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s11aq4c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w5</w:t>
      </w:r>
      <w:r>
        <w:rPr>
          <w:b/>
        </w:rPr>
        <w:t xml:space="preserve"> </w:t>
      </w:r>
      <w:r>
        <w:rPr>
          <w:rStyle w:val="VerbatimChar"/>
          <w:b/>
        </w:rPr>
        <w:t xml:space="preserve">s11mq3</w:t>
      </w:r>
      <w:r>
        <w:t xml:space="preserve"> </w:t>
      </w:r>
      <w:r>
        <w:t xml:space="preserve">(there is no</w:t>
      </w:r>
      <w:r>
        <w:t xml:space="preserve"> 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variable in the raw - the upstream pipeline</w:t>
      </w:r>
      <w:r>
        <w:t xml:space="preserve"> </w:t>
      </w:r>
      <w:r>
        <w:t xml:space="preserve">referenced a nonexistent one, so its GPS was effectively unused). Self-reported is in</w:t>
      </w:r>
      <w:r>
        <w:t xml:space="preserve"> </w:t>
      </w:r>
      <w:r>
        <w:t xml:space="preserve">local units with</w:t>
      </w:r>
      <w:r>
        <w:t xml:space="preserve"> </w:t>
      </w:r>
      <w:r>
        <w:rPr>
          <w:b/>
        </w:rPr>
        <w:t xml:space="preserve">region-specific</w:t>
      </w:r>
      <w:r>
        <w:t xml:space="preserve"> </w:t>
      </w:r>
      <w:r>
        <w:t xml:space="preserve">conversion factors (heaps/ridges/stands × the</w:t>
      </w:r>
      <w:r>
        <w:t xml:space="preserve"> </w:t>
      </w:r>
      <w:r>
        <w:t xml:space="preserve">survey zone</w:t>
      </w:r>
      <w:r>
        <w:t xml:space="preserve"> </w:t>
      </w:r>
      <w:r>
        <w:rPr>
          <w:rStyle w:val="VerbatimChar"/>
        </w:rPr>
        <w:t xml:space="preserve">admin_1</w:t>
      </w:r>
      <w:r>
        <w:t xml:space="preserve"> </w:t>
      </w:r>
      <w:r>
        <w:t xml:space="preserve">1-6; plus acres/m²/plot factors); self-reported number =</w:t>
      </w:r>
      <w:r>
        <w:t xml:space="preserve"> </w:t>
      </w:r>
      <w:r>
        <w:rPr>
          <w:rStyle w:val="VerbatimChar"/>
        </w:rPr>
        <w:t xml:space="preserve">s11aq4a</w:t>
      </w:r>
      <w:r>
        <w:t xml:space="preserve"> </w:t>
      </w:r>
      <w:r>
        <w:t xml:space="preserve">(w1-3) /</w:t>
      </w:r>
      <w:r>
        <w:t xml:space="preserve"> </w:t>
      </w:r>
      <w:r>
        <w:rPr>
          <w:rStyle w:val="VerbatimChar"/>
        </w:rPr>
        <w:t xml:space="preserve">s11aq4aa</w:t>
      </w:r>
      <w:r>
        <w:t xml:space="preserve"> </w:t>
      </w:r>
      <w:r>
        <w:t xml:space="preserve">(w4) /</w:t>
      </w:r>
      <w:r>
        <w:t xml:space="preserve"> </w:t>
      </w:r>
      <w:r>
        <w:rPr>
          <w:rStyle w:val="VerbatimChar"/>
        </w:rPr>
        <w:t xml:space="preserve">s11aq3_number</w:t>
      </w:r>
      <w:r>
        <w:t xml:space="preserve"> </w:t>
      </w:r>
      <w:r>
        <w:t xml:space="preserve">(w5), unit</w:t>
      </w:r>
      <w:r>
        <w:t xml:space="preserve"> </w:t>
      </w:r>
      <w:r>
        <w:rPr>
          <w:rStyle w:val="VerbatimChar"/>
        </w:rPr>
        <w:t xml:space="preserve">s11aq4b</w:t>
      </w:r>
      <w:r>
        <w:t xml:space="preserve"> </w:t>
      </w:r>
      <w:r>
        <w:t xml:space="preserve">(w1-4) /</w:t>
      </w:r>
      <w:r>
        <w:t xml:space="preserve"> </w:t>
      </w:r>
      <w:r>
        <w:rPr>
          <w:rStyle w:val="VerbatimChar"/>
        </w:rPr>
        <w:t xml:space="preserve">s11aq3_unit</w:t>
      </w:r>
      <w:r>
        <w:t xml:space="preserve"> </w:t>
      </w:r>
      <w:r>
        <w:t xml:space="preserve">(w5). The region factors are identical across waves (transcribed from the upstream pipeline).</w:t>
      </w:r>
    </w:p>
    <w:p>
      <w:pPr>
        <w:pStyle w:val="Heading3"/>
      </w:pPr>
      <w:bookmarkStart w:id="55" w:name="design-variables-identifiers-4"/>
      <w:r>
        <w:t xml:space="preserve">4. Design variables &amp; identifiers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cons_agg_waveN_visit1/2.dta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totcons_final.dta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wt_wave4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wt_cross_wave5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lga-ea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 /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2013 / 2016 / 2019 / 2023</w:t>
            </w:r>
          </w:p>
        </w:tc>
      </w:tr>
    </w:tbl>
    <w:p>
      <w:pPr>
        <w:pStyle w:val="Heading3"/>
      </w:pPr>
      <w:bookmarkStart w:id="56" w:name="Xb4d582268a3ea5115cbf391ae4ab1d6685f948d"/>
      <w:r>
        <w:t xml:space="preserve">5. Value labels of key source variables (verified for GHS10; consistent instrument)</w:t>
      </w:r>
      <w:bookmarkEnd w:id="56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s11b1q4</w:t>
      </w:r>
      <w:r>
        <w:t xml:space="preserve"> </w:t>
      </w:r>
      <w:r>
        <w:t xml:space="preserve">(w2-5),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was [PLOT] acquired?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rPr>
          <w:b/>
        </w:rPr>
        <w:t xml:space="preserve">1 outright purchase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rented for cash/in-kind</w:t>
      </w:r>
      <w:r>
        <w:t xml:space="preserve"> </w:t>
      </w:r>
      <w:r>
        <w:t xml:space="preserve">· 3 used free of charge ·</w:t>
      </w:r>
      <w:r>
        <w:t xml:space="preserve"> </w:t>
      </w:r>
      <w:r>
        <w:t xml:space="preserve">4 distributed by community/family · (w3+ add code 5 = other ownership; w5 adds further</w:t>
      </w:r>
      <w:r>
        <w:t xml:space="preserve"> </w:t>
      </w:r>
      <w:r>
        <w:t xml:space="preserve">non-owned codes incl. 6 = another rental arrangement).</w:t>
      </w:r>
    </w:p>
    <w:p>
      <w:pPr>
        <w:pStyle w:val="BodyText"/>
      </w:pPr>
      <w:r>
        <w:rPr>
          <w:b/>
        </w:rPr>
        <w:t xml:space="preserve">Rented-out</w:t>
      </w:r>
      <w:r>
        <w:t xml:space="preserve"> </w:t>
      </w:r>
      <w:r>
        <w:t xml:space="preserve">- w1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): 1 left fallow, 2 rented out.</w:t>
      </w:r>
      <w:r>
        <w:t xml:space="preserve"> </w:t>
      </w:r>
      <w:r>
        <w:t xml:space="preserve">w2-4</w:t>
      </w:r>
      <w:r>
        <w:t xml:space="preserve"> </w:t>
      </w:r>
      <w:r>
        <w:rPr>
          <w:rStyle w:val="VerbatimChar"/>
        </w:rPr>
        <w:t xml:space="preserve">s11b1q28</w:t>
      </w:r>
      <w:r>
        <w:t xml:space="preserve"> </w:t>
      </w:r>
      <w:r>
        <w:t xml:space="preserve">/ w5</w:t>
      </w:r>
      <w:r>
        <w:t xml:space="preserve"> </w:t>
      </w:r>
      <w:r>
        <w:rPr>
          <w:rStyle w:val="VerbatimChar"/>
        </w:rPr>
        <w:t xml:space="preserve">s11b1q44</w:t>
      </w:r>
      <w:r>
        <w:t xml:space="preserve"> </w:t>
      </w:r>
      <w:r>
        <w:t xml:space="preserve">(codes 2,3 = rented/leased out).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s11b1q7</w:t>
      </w:r>
      <w:r>
        <w:t xml:space="preserve"> </w:t>
      </w:r>
      <w:r>
        <w:t xml:space="preserve">(w2-4) /</w:t>
      </w:r>
      <w:r>
        <w:t xml:space="preserve"> </w:t>
      </w:r>
      <w:r>
        <w:rPr>
          <w:rStyle w:val="VerbatimChar"/>
        </w:rPr>
        <w:t xml:space="preserve">s11b1q8</w:t>
      </w:r>
      <w:r>
        <w:t xml:space="preserve"> </w:t>
      </w:r>
      <w:r>
        <w:t xml:space="preserve">(w5): 1 yes, 2 no, 3 = missing.</w:t>
      </w:r>
    </w:p>
    <w:p>
      <w:pPr>
        <w:pStyle w:val="Heading3"/>
      </w:pPr>
      <w:bookmarkStart w:id="57" w:name="harmonization-decisions-caveats-nigeria"/>
      <w:r>
        <w:t xml:space="preserve">6. Harmonization decisions &amp; caveats (Nigeria)</w:t>
      </w:r>
      <w:bookmarkEnd w:id="5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Purchase recovered from the acquisition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*q4==1</w:t>
      </w:r>
      <w:r>
        <w:t xml:space="preserve">, outright purchase) -</w:t>
      </w:r>
      <w:r>
        <w:t xml:space="preserve"> </w:t>
      </w:r>
      <w:r>
        <w:t xml:space="preserve">the upstream pipeline built owned/rented but not purchase. Verified against the GHS10</w:t>
      </w:r>
      <w:r>
        <w:t xml:space="preserve"> </w:t>
      </w:r>
      <w:r>
        <w:t xml:space="preserve">value labels; applied to later waves under the consistent GHS instrument (the owned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{1,4}</w:t>
      </w:r>
      <w:r>
        <w:t xml:space="preserve">/</w:t>
      </w:r>
      <w:r>
        <w:rPr>
          <w:rStyle w:val="VerbatimChar"/>
        </w:rPr>
        <w:t xml:space="preserve">{1,4,5}</w:t>
      </w:r>
      <w:r>
        <w:t xml:space="preserve"> </w:t>
      </w:r>
      <w:r>
        <w:t xml:space="preserve">is consistent with 1 = purchase across waves).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Rented-out likely UNDERCOUNTS in wave 1</w:t>
      </w:r>
      <w:r>
        <w:t xml:space="preserve"> </w:t>
      </w:r>
      <w:r>
        <w:t xml:space="preserve">- it comes from the</w:t>
      </w:r>
      <w:r>
        <w:t xml:space="preserve"> 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 </w:t>
      </w:r>
      <w:r>
        <w:t xml:space="preserve">item, and since most plots are cultivated, only ~0.15% are flagged rented out.</w:t>
      </w:r>
      <w:r>
        <w:t xml:space="preserve"> </w:t>
      </w:r>
      <w:r>
        <w:t xml:space="preserve">Waves 2-5 use a dedicated rented-out item (</w:t>
      </w:r>
      <w:r>
        <w:rPr>
          <w:rStyle w:val="VerbatimChar"/>
        </w:rPr>
        <w:t xml:space="preserve">s11b1q28</w:t>
      </w:r>
      <w:r>
        <w:t xml:space="preserve">/</w:t>
      </w:r>
      <w:r>
        <w:rPr>
          <w:rStyle w:val="VerbatimChar"/>
        </w:rPr>
        <w:t xml:space="preserve">s11b1q44</w:t>
      </w:r>
      <w:r>
        <w:t xml:space="preserve">) that should capture</w:t>
      </w:r>
      <w:r>
        <w:t xml:space="preserve"> </w:t>
      </w:r>
      <w:r>
        <w:t xml:space="preserve">more; treat the wave-1 level as a lower bound and mind cross-wave comparability.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Certificate not asked in wave 1</w:t>
      </w:r>
      <w:r>
        <w:t xml:space="preserve"> </w:t>
      </w:r>
      <w:r>
        <w:t xml:space="preserve">-&gt; missing in 2011 (added from wave 2); coded 0</w:t>
      </w:r>
      <w:r>
        <w:t xml:space="preserve"> </w:t>
      </w:r>
      <w:r>
        <w:t xml:space="preserve">for non-owned parcels in later waves (a certificate applies to owned land).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uses GPS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0.0001) else self-reported with Nigeria’s</w:t>
      </w:r>
      <w:r>
        <w:t xml:space="preserve"> </w:t>
      </w:r>
      <w:r>
        <w:t xml:space="preserve">region-specific local-unit conversions; deterministic (no imputation).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Strata/PSU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strataid = 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ea_id = lga-ea</w:t>
      </w:r>
      <w:r>
        <w:t xml:space="preserve">, taken from each wave’s cover with</w:t>
      </w:r>
      <w:r>
        <w:t xml:space="preserve"> </w:t>
      </w:r>
      <w:r>
        <w:t xml:space="preserve">the GHS10 cover as a panel fallback (the panel covers drop ea/lga for non-refresh HHs).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Most complex country</w:t>
      </w:r>
      <w:r>
        <w:t xml:space="preserve"> </w:t>
      </w:r>
      <w:r>
        <w:t xml:space="preserve">- 5 waves, region-specific area conversions, panel geography.</w:t>
      </w:r>
      <w:r>
        <w:t xml:space="preserve"> </w:t>
      </w:r>
      <w:r>
        <w:t xml:space="preserve">The first Stata run is a shakedown: confirm the area GPS source (</w:t>
      </w:r>
      <w:r>
        <w:rPr>
          <w:rStyle w:val="VerbatimChar"/>
        </w:rPr>
        <w:t xml:space="preserve">plot_area</w:t>
      </w:r>
      <w:r>
        <w:t xml:space="preserve">) and the</w:t>
      </w:r>
      <w:r>
        <w:t xml:space="preserve"> </w:t>
      </w:r>
      <w:r>
        <w:t xml:space="preserve">per-wave cover/weight merges resolve as expected.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tanzania-national-panel-survey-nps"/>
      <w:r>
        <w:t xml:space="preserve">TANZANIA — National Panel Survey (NPS)</w:t>
      </w:r>
      <w:bookmarkEnd w:id="58"/>
    </w:p>
    <w:p>
      <w:pPr>
        <w:pStyle w:val="FirstParagraph"/>
      </w:pPr>
      <w:r>
        <w:t xml:space="preserve">Five NPS waves. Waves</w:t>
      </w:r>
      <w:r>
        <w:t xml:space="preserve"> </w:t>
      </w:r>
      <w:r>
        <w:rPr>
          <w:b/>
        </w:rPr>
        <w:t xml:space="preserve">4 (2014/15) and 5 (2019/20) each split into an EXTENDED (long</w:t>
      </w:r>
      <w:r>
        <w:rPr>
          <w:b/>
        </w:rPr>
        <w:t xml:space="preserve"> </w:t>
      </w:r>
      <w:r>
        <w:rPr>
          <w:b/>
        </w:rPr>
        <w:t xml:space="preserve">panel) and a REFRESH subsample</w:t>
      </w:r>
      <w:r>
        <w:t xml:space="preserve"> </w:t>
      </w:r>
      <w:r>
        <w:t xml:space="preserve">- 7 datasets in all, combined here into waves 4 and 5</w:t>
      </w:r>
      <w:r>
        <w:t xml:space="preserve"> </w:t>
      </w:r>
      <w:r>
        <w:t xml:space="preserve">using each subsample’s own weights. Tenure (acquisition &amp; use) is in the plot-inputs</w:t>
      </w:r>
      <w:r>
        <w:t xml:space="preserve"> </w:t>
      </w:r>
      <w:r>
        <w:t xml:space="preserve">module; area is in the plot roster - merged on</w:t>
      </w:r>
      <w:r>
        <w:t xml:space="preserve"> </w:t>
      </w:r>
      <w:r>
        <w:rPr>
          <w:rStyle w:val="VerbatimChar"/>
        </w:rPr>
        <w:t xml:space="preserve">hhid-plotnum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the plot. The household id changes each wave</w:t>
      </w:r>
      <w:r>
        <w:t xml:space="preserve"> </w:t>
      </w:r>
      <w:r>
        <w:t xml:space="preserve">(</w:t>
      </w:r>
      <w:r>
        <w:rPr>
          <w:rStyle w:val="VerbatimChar"/>
        </w:rPr>
        <w:t xml:space="preserve">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y2_hhid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y3_hhid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y4_hhid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sdd_hhid</w:t>
      </w:r>
      <w:r>
        <w:t xml:space="preserve">/</w:t>
      </w:r>
      <w:r>
        <w:rPr>
          <w:rStyle w:val="VerbatimChar"/>
        </w:rPr>
        <w:t xml:space="preserve">y5_hhid</w:t>
      </w:r>
      <w:r>
        <w:t xml:space="preserve">).</w:t>
      </w:r>
    </w:p>
    <w:p>
      <w:pPr>
        <w:pStyle w:val="Heading3"/>
      </w:pPr>
      <w:bookmarkStart w:id="59" w:name="survey-wave-key-5"/>
      <w:r>
        <w:t xml:space="preserve">1. Survey &amp; wave key</w:t>
      </w:r>
      <w:bookmarkEnd w:id="59"/>
    </w:p>
    <w:tbl>
      <w:tblPr>
        <w:tblStyle w:val="Table"/>
        <w:tblW w:type="pct" w:w="5000.0"/>
        <w:tblLook w:firstRow="1"/>
      </w:tblPr>
      <w:tblGrid>
        <w:gridCol w:w="805"/>
        <w:gridCol w:w="2282"/>
        <w:gridCol w:w="1073"/>
        <w:gridCol w:w="2147"/>
        <w:gridCol w:w="16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08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ag3a_24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14 - extended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NPS 14 - refresh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19 - extended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sdd_hhid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NPS 19 - 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y5_hhid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</w:tbl>
    <w:p>
      <w:pPr>
        <w:pStyle w:val="BodyText"/>
      </w:pPr>
      <w:r>
        <w:t xml:space="preserve">Plot roster:</w:t>
      </w:r>
      <w:r>
        <w:t xml:space="preserve"> </w:t>
      </w:r>
      <w:r>
        <w:rPr>
          <w:rStyle w:val="VerbatimChar"/>
        </w:rPr>
        <w:t xml:space="preserve">SEC_2A</w:t>
      </w:r>
      <w:r>
        <w:t xml:space="preserve">/</w:t>
      </w:r>
      <w:r>
        <w:rPr>
          <w:rStyle w:val="VerbatimChar"/>
        </w:rPr>
        <w:t xml:space="preserve">AG_SEC2A</w:t>
      </w:r>
      <w:r>
        <w:t xml:space="preserve">/</w:t>
      </w:r>
      <w:r>
        <w:rPr>
          <w:rStyle w:val="VerbatimChar"/>
        </w:rPr>
        <w:t xml:space="preserve">AG_SEC_2A</w:t>
      </w:r>
      <w:r>
        <w:t xml:space="preserve">/</w:t>
      </w:r>
      <w:r>
        <w:rPr>
          <w:rStyle w:val="VerbatimChar"/>
        </w:rPr>
        <w:t xml:space="preserve">AG_SEC_02</w:t>
      </w:r>
      <w:r>
        <w:t xml:space="preserve">. Weights from the cover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hh_weight</w:t>
      </w:r>
      <w:r>
        <w:t xml:space="preserve">/</w:t>
      </w:r>
      <w:r>
        <w:rPr>
          <w:rStyle w:val="VerbatimChar"/>
        </w:rPr>
        <w:t xml:space="preserve">y2_weight</w:t>
      </w:r>
      <w:r>
        <w:t xml:space="preserve">/</w:t>
      </w:r>
      <w:r>
        <w:rPr>
          <w:rStyle w:val="VerbatimChar"/>
        </w:rPr>
        <w:t xml:space="preserve">y3_weight</w:t>
      </w:r>
      <w:r>
        <w:t xml:space="preserve">/</w:t>
      </w:r>
      <w:r>
        <w:rPr>
          <w:rStyle w:val="VerbatimChar"/>
        </w:rPr>
        <w:t xml:space="preserve">y4_weights</w:t>
      </w:r>
      <w:r>
        <w:t xml:space="preserve">/</w:t>
      </w:r>
      <w:r>
        <w:rPr>
          <w:rStyle w:val="VerbatimChar"/>
        </w:rPr>
        <w:t xml:space="preserve">sdd_weights</w:t>
      </w:r>
      <w:r>
        <w:t xml:space="preserve">/</w:t>
      </w:r>
      <w:r>
        <w:rPr>
          <w:rStyle w:val="VerbatimChar"/>
        </w:rPr>
        <w:t xml:space="preserve">y5_crossweight</w:t>
      </w:r>
      <w:r>
        <w:t xml:space="preserve">).</w:t>
      </w:r>
    </w:p>
    <w:p>
      <w:pPr>
        <w:pStyle w:val="Heading3"/>
      </w:pPr>
      <w:bookmarkStart w:id="60" w:name="tenure-indicators-5"/>
      <w:r>
        <w:t xml:space="preserve">2. Tenure indicators</w:t>
      </w:r>
      <w:bookmarkEnd w:id="60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/</w:t>
            </w:r>
            <w:r>
              <w:rPr>
                <w:rStyle w:val="VerbatimChar"/>
              </w:rPr>
              <w:t xml:space="preserve">ag3a_24</w:t>
            </w:r>
            <w:r>
              <w:t xml:space="preserve">/</w:t>
            </w: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inlist(.,3,4)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inlist(ag3a_25,7,8)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s3aq3</w:t>
            </w:r>
            <w:r>
              <w:t xml:space="preserve">/</w:t>
            </w:r>
            <w:r>
              <w:rPr>
                <w:rStyle w:val="VerbatimChar"/>
              </w:rPr>
              <w:t xml:space="preserve">ag3a_03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2</w:t>
            </w:r>
            <w:r>
              <w:t xml:space="preserve"> </w:t>
            </w:r>
            <w:r>
              <w:t xml:space="preserve">(plot</w:t>
            </w:r>
            <w:r>
              <w:t xml:space="preserve"> </w:t>
            </w:r>
            <w:r>
              <w:t xml:space="preserve">“</w:t>
            </w:r>
            <w:r>
              <w:t xml:space="preserve">rented out</w:t>
            </w:r>
            <w:r>
              <w:t xml:space="preserve">”</w:t>
            </w:r>
            <w:r>
              <w:t xml:space="preserve"> </w:t>
            </w:r>
            <w:r>
              <w:t xml:space="preserve">in the use question)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 acquisition/purchase category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ag3a_25==5</w:t>
            </w:r>
            <w:r>
              <w:t xml:space="preserve"> </w:t>
            </w:r>
            <w:r>
              <w:t xml:space="preserve">-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</w:t>
            </w:r>
          </w:p>
        </w:tc>
        <w:tc>
          <w:p>
            <w:pPr>
              <w:pStyle w:val="Compact"/>
              <w:jc w:val="left"/>
            </w:pPr>
            <w:r>
              <w:t xml:space="preserve">not in {9,10,11} = has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</w:t>
            </w:r>
            <w:r>
              <w:t xml:space="preserve">,</w:t>
            </w:r>
            <w:r>
              <w:rPr>
                <w:rStyle w:val="VerbatimChar"/>
              </w:rPr>
              <w:t xml:space="preserve">ag3a_28d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 in {1,2}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ag3a_28d in 1-5</w:t>
            </w:r>
          </w:p>
        </w:tc>
      </w:tr>
    </w:tbl>
    <w:p>
      <w:pPr>
        <w:pStyle w:val="BodyText"/>
      </w:pPr>
      <w:r>
        <w:t xml:space="preserve">(Certificate set to 0 for non-owned parcels.)</w:t>
      </w:r>
    </w:p>
    <w:p>
      <w:pPr>
        <w:pStyle w:val="Heading3"/>
      </w:pPr>
      <w:bookmarkStart w:id="61" w:name="parcel-area-parcel_area_ha-5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1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Self-reported =</w:t>
      </w:r>
      <w:r>
        <w:t xml:space="preserve"> 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ag2a_04</w:t>
      </w:r>
      <w:r>
        <w:t xml:space="preserve"> </w:t>
      </w:r>
      <w:r>
        <w:t xml:space="preserve">(w2-5); GPS =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ag2a_09</w:t>
      </w:r>
      <w:r>
        <w:t xml:space="preserve"> </w:t>
      </w:r>
      <w:r>
        <w:t xml:space="preserve">(w2-5).</w:t>
      </w:r>
    </w:p>
    <w:p>
      <w:pPr>
        <w:pStyle w:val="Heading3"/>
      </w:pPr>
      <w:bookmarkStart w:id="62" w:name="design-variables-identifiers-5"/>
      <w:r>
        <w:t xml:space="preserve">4. Design variables &amp; identifiers</w:t>
      </w:r>
      <w:bookmarkEnd w:id="62"/>
    </w:p>
    <w:tbl>
      <w:tblPr>
        <w:tblStyle w:val="Table"/>
        <w:tblW w:type="pct" w:w="5000.0"/>
        <w:tblLook w:firstRow="1"/>
      </w:tblPr>
      <w:tblGrid>
        <w:gridCol w:w="1920"/>
        <w:gridCol w:w="720"/>
        <w:gridCol w:w="96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 (</w:t>
            </w:r>
            <w:r>
              <w:rPr>
                <w:rStyle w:val="VerbatimChar"/>
              </w:rPr>
              <w:t xml:space="preserve">HH_SEC_A</w:t>
            </w:r>
            <w:r>
              <w:t xml:space="preserve">/</w:t>
            </w:r>
            <w:r>
              <w:rPr>
                <w:rStyle w:val="VerbatimChar"/>
              </w:rPr>
              <w:t xml:space="preserve">SEC_A_T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wave-specific weight; extended &amp; refresh use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  <w:r>
              <w:t xml:space="preserve"> </w:t>
            </w:r>
            <w:r>
              <w:t xml:space="preserve">(direct)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t xml:space="preserve">cluster/admin vars (region-district-ward-ea), else household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tenure/roster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hhid-plotnum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2011 / 2013 / 2015 / 2019</w:t>
            </w:r>
          </w:p>
        </w:tc>
      </w:tr>
    </w:tbl>
    <w:p>
      <w:pPr>
        <w:pStyle w:val="Heading3"/>
      </w:pPr>
      <w:bookmarkStart w:id="63" w:name="X8b517451fc0444510e3f71dace152c3da4f1fbf"/>
      <w:r>
        <w:t xml:space="preserve">5. Value labels of key source variables (verified)</w:t>
      </w:r>
      <w:bookmarkEnd w:id="63"/>
    </w:p>
    <w:p>
      <w:pPr>
        <w:pStyle w:val="FirstParagraph"/>
      </w:pPr>
      <w:r>
        <w:rPr>
          <w:b/>
        </w:rPr>
        <w:t xml:space="preserve">EARLY ownership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s3aq22</w:t>
      </w:r>
      <w:r>
        <w:t xml:space="preserve">/</w:t>
      </w:r>
      <w:r>
        <w:rPr>
          <w:rStyle w:val="VerbatimChar"/>
        </w:rPr>
        <w:t xml:space="preserve">ag3a_24</w:t>
      </w:r>
      <w:r>
        <w:t xml:space="preserve">/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(w1-3): 1 owned · 2 used free ·</w:t>
      </w:r>
      <w:r>
        <w:t xml:space="preserve"> </w:t>
      </w:r>
      <w:r>
        <w:rPr>
          <w:b/>
        </w:rPr>
        <w:t xml:space="preserve">3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4 shared rent</w:t>
      </w:r>
      <w:r>
        <w:t xml:space="preserve"> </w:t>
      </w:r>
      <w:r>
        <w:t xml:space="preserve">· 5 shared ownership.</w:t>
      </w:r>
      <w:r>
        <w:t xml:space="preserve"> </w:t>
      </w:r>
      <w:r>
        <w:rPr>
          <w:i/>
        </w:rPr>
        <w:t xml:space="preserve">(No purchase category.)</w:t>
      </w:r>
    </w:p>
    <w:p>
      <w:pPr>
        <w:pStyle w:val="BodyText"/>
      </w:pPr>
      <w:r>
        <w:rPr>
          <w:b/>
        </w:rPr>
        <w:t xml:space="preserve">LATE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How was this plot acquired?</w:t>
      </w:r>
      <w:r>
        <w:rPr>
          <w:b/>
        </w:rP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(w4-5): 1 inheritance · 2 gift ·</w:t>
      </w:r>
      <w:r>
        <w:t xml:space="preserve"> </w:t>
      </w:r>
      <w:r>
        <w:t xml:space="preserve">3 borrowing · 4 village allocation ·</w:t>
      </w:r>
      <w:r>
        <w:t xml:space="preserve"> </w:t>
      </w:r>
      <w:r>
        <w:rPr>
          <w:b/>
        </w:rPr>
        <w:t xml:space="preserve">5 PURCHASED</w:t>
      </w:r>
      <w:r>
        <w:t xml:space="preserve"> </w:t>
      </w:r>
      <w:r>
        <w:t xml:space="preserve">· 6 used free ·</w:t>
      </w:r>
      <w:r>
        <w:t xml:space="preserve"> </w:t>
      </w:r>
      <w:r>
        <w:rPr>
          <w:b/>
        </w:rPr>
        <w:t xml:space="preserve">7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8 shared-rent</w:t>
      </w:r>
      <w:r>
        <w:t xml:space="preserve"> </w:t>
      </w:r>
      <w:r>
        <w:t xml:space="preserve">· 9 shared-own · 10 squatting · 11 other.</w:t>
      </w:r>
    </w:p>
    <w:p>
      <w:pPr>
        <w:pStyle w:val="BodyText"/>
      </w:pPr>
      <w:r>
        <w:rPr>
          <w:b/>
        </w:rPr>
        <w:t xml:space="preserve">Use of plot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s3aq3</w:t>
      </w:r>
      <w:r>
        <w:t xml:space="preserve">/</w:t>
      </w:r>
      <w:r>
        <w:rPr>
          <w:rStyle w:val="VerbatimChar"/>
        </w:rPr>
        <w:t xml:space="preserve">ag3a_03</w:t>
      </w:r>
      <w:r>
        <w:t xml:space="preserve">: 1 cultivated ·</w:t>
      </w:r>
      <w:r>
        <w:t xml:space="preserve"> </w:t>
      </w:r>
      <w:r>
        <w:rPr>
          <w:b/>
        </w:rPr>
        <w:t xml:space="preserve">2 rented out</w:t>
      </w:r>
      <w:r>
        <w:t xml:space="preserve"> </w:t>
      </w:r>
      <w:r>
        <w:t xml:space="preserve">· 3 given out ·</w:t>
      </w:r>
      <w:r>
        <w:t xml:space="preserve"> </w:t>
      </w:r>
      <w:r>
        <w:t xml:space="preserve">4 fallow · 5 forest · 6 other.</w:t>
      </w:r>
    </w:p>
    <w:p>
      <w:pPr>
        <w:pStyle w:val="Heading3"/>
      </w:pPr>
      <w:bookmarkStart w:id="64" w:name="harmonization-decisions-caveats-tanzania"/>
      <w:r>
        <w:t xml:space="preserve">6. Harmonization decisions &amp; caveats (Tanzania)</w:t>
      </w:r>
      <w:bookmarkEnd w:id="64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Purchase only measurable from 2015.</w:t>
      </w:r>
      <w:r>
        <w:t xml:space="preserve"> </w:t>
      </w:r>
      <w:r>
        <w:t xml:space="preserve">NPS1-3 ask</w:t>
      </w:r>
      <w:r>
        <w:t xml:space="preserve"> </w:t>
      </w:r>
      <w:r>
        <w:t xml:space="preserve">“</w:t>
      </w:r>
      <w:r>
        <w:t xml:space="preserve">ownership status</w:t>
      </w:r>
      <w:r>
        <w:t xml:space="preserve">”</w:t>
      </w:r>
      <w:r>
        <w:t xml:space="preserve"> </w:t>
      </w:r>
      <w:r>
        <w:t xml:space="preserve">(owned/free/</w:t>
      </w:r>
      <w:r>
        <w:t xml:space="preserve"> </w:t>
      </w:r>
      <w:r>
        <w:t xml:space="preserve">rented/shared) with no acquisition mode,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missing in</w:t>
      </w:r>
      <w:r>
        <w:t xml:space="preserve"> </w:t>
      </w:r>
      <w:r>
        <w:t xml:space="preserve">2009/2011/2013. From NPS4 the question becomes</w:t>
      </w:r>
      <w:r>
        <w:t xml:space="preserve"> </w:t>
      </w:r>
      <w:r>
        <w:t xml:space="preserve">“</w:t>
      </w:r>
      <w:r>
        <w:t xml:space="preserve">how was this plot acquired?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t xml:space="preserve">PURCHASED code (5). The 2015 level is high (~25% in the extended panel) - a</w:t>
      </w:r>
      <w:r>
        <w:t xml:space="preserve"> </w:t>
      </w:r>
      <w:r>
        <w:rPr>
          <w:i/>
        </w:rPr>
        <w:t xml:space="preserve">stock</w:t>
      </w:r>
      <w:r>
        <w:t xml:space="preserve"> </w:t>
      </w:r>
      <w:r>
        <w:t xml:space="preserve">(</w:t>
      </w:r>
      <w:r>
        <w:t xml:space="preserve">“</w:t>
      </w:r>
      <w:r>
        <w:t xml:space="preserve">ever acquired by purchase</w:t>
      </w:r>
      <w:r>
        <w:t xml:space="preserve">”</w:t>
      </w:r>
      <w:r>
        <w:t xml:space="preserve">); scrutinize and mind the level break from the redesign.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Rented-in includes sharecropping</w:t>
      </w:r>
      <w:r>
        <w:t xml:space="preserve"> </w:t>
      </w:r>
      <w:r>
        <w:t xml:space="preserve">(shared-rent: code 4 early / 8 late) alongside</w:t>
      </w:r>
      <w:r>
        <w:t xml:space="preserve"> </w:t>
      </w:r>
      <w:r>
        <w:t xml:space="preserve">cash rental (3 / 7); the upstream pipeline used pure rental only. Shared-OWN (5 / 9)</w:t>
      </w:r>
      <w:r>
        <w:t xml:space="preserve"> </w:t>
      </w:r>
      <w:r>
        <w:t xml:space="preserve">is treated as owned, not rented.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Waves 4 and 5 pool an extended panel and a refresh sample</w:t>
      </w:r>
      <w:r>
        <w:t xml:space="preserve">, each weighted by its</w:t>
      </w:r>
      <w:r>
        <w:t xml:space="preserve"> </w:t>
      </w:r>
      <w:r>
        <w:t xml:space="preserve">own design weight; together they represent the wave’s population.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Rented-out is well-measured</w:t>
      </w:r>
      <w:r>
        <w:t xml:space="preserve"> </w:t>
      </w:r>
      <w:r>
        <w:t xml:space="preserve">(the roster lists plots owned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cultivated, and the</w:t>
      </w:r>
      <w:r>
        <w:t xml:space="preserve"> </w:t>
      </w:r>
      <w:r>
        <w:t xml:space="preserve">“</w:t>
      </w:r>
      <w:r>
        <w:t xml:space="preserve">use</w:t>
      </w:r>
      <w:r>
        <w:t xml:space="preserve">”</w:t>
      </w:r>
      <w:r>
        <w:t xml:space="preserve"> </w:t>
      </w:r>
      <w:r>
        <w:t xml:space="preserve">question flags rented-out) - unlike Mali/Niger.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ea_id</w:t>
      </w:r>
      <w:r>
        <w:t xml:space="preserve"> </w:t>
      </w:r>
      <w:r>
        <w:t xml:space="preserve">is built from the cover’s cluster/admin variables where present, else the</w:t>
      </w:r>
      <w:r>
        <w:t xml:space="preserve"> </w:t>
      </w:r>
      <w:r>
        <w:t xml:space="preserve">household id (a conservative PSU);</w:t>
      </w:r>
      <w:r>
        <w:t xml:space="preserve"> </w:t>
      </w:r>
      <w:r>
        <w:rPr>
          <w:rStyle w:val="VerbatimChar"/>
        </w:rPr>
        <w:t xml:space="preserve">strataid</w:t>
      </w:r>
      <w:r>
        <w:t xml:space="preserve"> </w:t>
      </w:r>
      <w:r>
        <w:t xml:space="preserve">comes directly from the cover.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uganda-national-panel-survey-unps"/>
      <w:r>
        <w:t xml:space="preserve">UGANDA — National Panel Survey (UNPS)</w:t>
      </w:r>
      <w:bookmarkEnd w:id="65"/>
    </w:p>
    <w:p>
      <w:pPr>
        <w:pStyle w:val="FirstParagraph"/>
      </w:pPr>
      <w:r>
        <w:t xml:space="preserve">Seven UNPS rounds (2009/10, 2010/11, 2011/12, 2013/14, 2015/16, 2018/19, 2019/20;</w:t>
      </w:r>
      <w:r>
        <w:t xml:space="preserve"> </w:t>
      </w:r>
      <w:r>
        <w:t xml:space="preserve">internal waves 1-5, 7, 8). The land roster is split into</w:t>
      </w:r>
      <w:r>
        <w:t xml:space="preserve"> </w:t>
      </w:r>
      <w:r>
        <w:rPr>
          <w:b/>
        </w:rPr>
        <w:t xml:space="preserve">two modules per 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= parcels the household</w:t>
      </w:r>
      <w:r>
        <w:t xml:space="preserve"> </w:t>
      </w:r>
      <w:r>
        <w:rPr>
          <w:b/>
        </w:rPr>
        <w:t xml:space="preserve">owns / holds use-rights 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=</w:t>
      </w:r>
      <w:r>
        <w:t xml:space="preserve"> </w:t>
      </w:r>
      <w:r>
        <w:t xml:space="preserve">parcels</w:t>
      </w:r>
      <w:r>
        <w:t xml:space="preserve"> </w:t>
      </w:r>
      <w:r>
        <w:rPr>
          <w:b/>
        </w:rPr>
        <w:t xml:space="preserve">accessed for use but not owned</w:t>
      </w:r>
      <w:r>
        <w:t xml:space="preserve"> </w:t>
      </w:r>
      <w:r>
        <w:t xml:space="preserve">(rented or borrowed in). These are disjoint</w:t>
      </w:r>
      <w:r>
        <w:t xml:space="preserve"> </w:t>
      </w:r>
      <w:r>
        <w:t xml:space="preserve">parcel sets, so the extractor</w:t>
      </w:r>
      <w:r>
        <w:t xml:space="preserve"> </w:t>
      </w:r>
      <w:r>
        <w:rPr>
          <w:b/>
        </w:rPr>
        <w:t xml:space="preserve">stacks</w:t>
      </w:r>
      <w:r>
        <w:t xml:space="preserve"> </w:t>
      </w:r>
      <w:r>
        <w:t xml:space="preserve">them (origin tagged in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:</w:t>
      </w:r>
      <w:r>
        <w:t xml:space="preserve"> </w:t>
      </w:r>
      <w:r>
        <w:rPr>
          <w:rStyle w:val="VerbatimChar"/>
        </w:rPr>
        <w:t xml:space="preserve">-A-</w:t>
      </w:r>
      <w:r>
        <w:t xml:space="preserve"> </w:t>
      </w:r>
      <w:r>
        <w:t xml:space="preserve">owned,</w:t>
      </w:r>
      <w:r>
        <w:t xml:space="preserve"> </w:t>
      </w:r>
      <w:r>
        <w:rPr>
          <w:rStyle w:val="VerbatimChar"/>
        </w:rPr>
        <w:t xml:space="preserve">-B-</w:t>
      </w:r>
      <w:r>
        <w:t xml:space="preserve"> </w:t>
      </w:r>
      <w:r>
        <w:t xml:space="preserve">accessed) rather than merging them on the parcel number.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a parcel record from 2A or 2B. Variable NAMES drift across</w:t>
      </w:r>
      <w:r>
        <w:t xml:space="preserve"> </w:t>
      </w:r>
      <w:r>
        <w:t xml:space="preserve">rounds (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s2aq*</w:t>
      </w:r>
      <w:r>
        <w:t xml:space="preserve">) - notably the</w:t>
      </w:r>
      <w:r>
        <w:t xml:space="preserve"> </w:t>
      </w:r>
      <w:r>
        <w:rPr>
          <w:b/>
        </w:rPr>
        <w:t xml:space="preserve">certificate</w:t>
      </w:r>
      <w:r>
        <w:t xml:space="preserve"> </w:t>
      </w:r>
      <w:r>
        <w:t xml:space="preserve">item moves</w:t>
      </w:r>
      <w:r>
        <w:t xml:space="preserve"> </w:t>
      </w:r>
      <w:r>
        <w:rPr>
          <w:rStyle w:val="VerbatimChar"/>
        </w:rPr>
        <w:t xml:space="preserve">A2aq25</w:t>
      </w:r>
      <w:r>
        <w:t xml:space="preserve"> </w:t>
      </w:r>
      <w:r>
        <w:t xml:space="preserve">(2009/10) →</w:t>
      </w:r>
      <w:r>
        <w:t xml:space="preserve"> </w:t>
      </w:r>
      <w:r>
        <w:rPr>
          <w:rStyle w:val="VerbatimChar"/>
        </w:rPr>
        <w:t xml:space="preserve">a2aq23</w:t>
      </w:r>
      <w:r>
        <w:t xml:space="preserve"> </w:t>
      </w:r>
      <w:r>
        <w:t xml:space="preserve">(2011-2015) →</w:t>
      </w:r>
      <w:r>
        <w:t xml:space="preserve"> </w:t>
      </w:r>
      <w:r>
        <w:rPr>
          <w:rStyle w:val="VerbatimChar"/>
        </w:rPr>
        <w:t xml:space="preserve">s2aq23</w:t>
      </w:r>
      <w:r>
        <w:t xml:space="preserve"> </w:t>
      </w:r>
      <w:r>
        <w:t xml:space="preserve">(2018/19). The household key</w:t>
      </w:r>
      <w:r>
        <w:t xml:space="preserve"> </w:t>
      </w:r>
      <w:r>
        <w:t xml:space="preserve">also changes (</w:t>
      </w:r>
      <w:r>
        <w:rPr>
          <w:rStyle w:val="VerbatimChar"/>
        </w:rPr>
        <w:t xml:space="preserve">Hhid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numeric →</w:t>
      </w:r>
      <w:r>
        <w:t xml:space="preserve"> </w:t>
      </w:r>
      <w:r>
        <w:rPr>
          <w:rStyle w:val="VerbatimChar"/>
        </w:rPr>
        <w:t xml:space="preserve">hh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string → 32-char interview GUID).</w:t>
      </w:r>
    </w:p>
    <w:p>
      <w:pPr>
        <w:pStyle w:val="BlockText"/>
      </w:pPr>
      <w:r>
        <w:rPr>
          <w:b/>
        </w:rPr>
        <w:t xml:space="preserve">Season note.</w:t>
      </w:r>
      <w:r>
        <w:t xml:space="preserve"> </w:t>
      </w:r>
      <w:r>
        <w:t xml:space="preserve">The parcel roster (tenure, certificate, purchase, area) is</w:t>
      </w:r>
      <w:r>
        <w:t xml:space="preserve"> </w:t>
      </w:r>
      <w:r>
        <w:rPr>
          <w:b/>
        </w:rPr>
        <w:t xml:space="preserve">annual</w:t>
      </w:r>
      <w:r>
        <w:t xml:space="preserve"> </w:t>
      </w:r>
      <w:r>
        <w:t xml:space="preserve">and identical across the two cropping seasons;</w:t>
      </w:r>
      <w:r>
        <w:t xml:space="preserve"> </w:t>
      </w:r>
      <w:r>
        <w:rPr>
          <w:b/>
        </w:rPr>
        <w:t xml:space="preserve">only</w:t>
      </w:r>
      <w:r>
        <w:rPr>
          <w:b/>
        </w:rPr>
        <w:t xml:space="preserve"> </w:t>
      </w:r>
      <w:r>
        <w:rPr>
          <w:rStyle w:val="VerbatimChar"/>
          <w:b/>
        </w:rPr>
        <w:t xml:space="preserve">parcel_rentedout</w:t>
      </w:r>
      <w:r>
        <w:rPr>
          <w:b/>
        </w:rPr>
        <w:t xml:space="preserve"> </w:t>
      </w:r>
      <w:r>
        <w:rPr>
          <w:b/>
        </w:rPr>
        <w:t xml:space="preserve">is</w:t>
      </w:r>
      <w:r>
        <w:rPr>
          <w:b/>
        </w:rPr>
        <w:t xml:space="preserve"> </w:t>
      </w:r>
      <w:r>
        <w:rPr>
          <w:b/>
        </w:rPr>
        <w:t xml:space="preserve">season-specific</w:t>
      </w:r>
      <w:r>
        <w:t xml:space="preserve"> </w:t>
      </w:r>
      <w:r>
        <w:t xml:space="preserve">(read from the per-season</w:t>
      </w:r>
      <w:r>
        <w:t xml:space="preserve"> </w:t>
      </w:r>
      <w:r>
        <w:t xml:space="preserve">“</w:t>
      </w:r>
      <w:r>
        <w:t xml:space="preserve">primary use of parcel</w:t>
      </w:r>
      <w:r>
        <w:t xml:space="preserve">”</w:t>
      </w:r>
      <w:r>
        <w:t xml:space="preserve"> </w:t>
      </w:r>
      <w:r>
        <w:t xml:space="preserve">item, code 3). The</w:t>
      </w:r>
      <w:r>
        <w:t xml:space="preserve"> </w:t>
      </w:r>
      <w:r>
        <w:t xml:space="preserve">extractor writes one row per parcel</w:t>
      </w:r>
      <w:r>
        <w:t xml:space="preserve"> </w:t>
      </w:r>
      <w:r>
        <w:rPr>
          <w:b/>
        </w:rPr>
        <w:t xml:space="preserve">× season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= 1, 2) differing only in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, and</w:t>
      </w:r>
      <w:r>
        <w:t xml:space="preserve"> </w:t>
      </w:r>
      <w:r>
        <w:rPr>
          <w:b/>
        </w:rPr>
        <w:t xml:space="preserve">the paper reports season 1</w:t>
      </w:r>
      <w:r>
        <w:t xml:space="preserve">.</w:t>
      </w:r>
      <w:r>
        <w:t xml:space="preserve"> </w:t>
      </w:r>
      <w:r>
        <w:rPr>
          <w:i/>
        </w:rPr>
        <w:t xml:space="preserve">The season order is SWAPPED in</w:t>
      </w:r>
      <w:r>
        <w:rPr>
          <w:i/>
        </w:rPr>
        <w:t xml:space="preserve"> </w:t>
      </w:r>
      <w:r>
        <w:rPr>
          <w:i/>
        </w:rPr>
        <w:t xml:space="preserve">2015, 2018 and 2019:</w:t>
      </w:r>
      <w:r>
        <w:t xml:space="preserve"> </w:t>
      </w:r>
      <w:r>
        <w:t xml:space="preserve">there 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the 1st season and</w:t>
      </w:r>
      <w:r>
        <w:t xml:space="preserve"> </w:t>
      </w:r>
      <w:r>
        <w:t xml:space="preserve">“</w:t>
      </w:r>
      <w:r>
        <w:t xml:space="preserve">…a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2nd (handled per wave).</w:t>
      </w:r>
    </w:p>
    <w:p>
      <w:pPr>
        <w:pStyle w:val="Heading3"/>
      </w:pPr>
      <w:bookmarkStart w:id="66" w:name="survey-wave-key-6"/>
      <w:r>
        <w:t xml:space="preserve">1. Survey &amp; wave key</w:t>
      </w:r>
      <w:bookmarkEnd w:id="6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key (roster ↔ cover)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Cross-sec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09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10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13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(string)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wgt_X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15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h_xwgt_W5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18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19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</w:tbl>
    <w:p>
      <w:pPr>
        <w:pStyle w:val="BodyText"/>
      </w:pPr>
      <w:r>
        <w:t xml:space="preserve">Land roster: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(owned) +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(accessed). Cover:</w:t>
      </w:r>
      <w:r>
        <w:t xml:space="preserve"> </w:t>
      </w:r>
      <w:r>
        <w:rPr>
          <w:rStyle w:val="VerbatimChar"/>
        </w:rPr>
        <w:t xml:space="preserve">GSEC1</w:t>
      </w:r>
      <w:r>
        <w:t xml:space="preserve">. Household keys and</w:t>
      </w:r>
      <w:r>
        <w:t xml:space="preserve"> </w:t>
      </w:r>
      <w:r>
        <w:t xml:space="preserve">their types were verified against the raw files (roster numeric ids are matched to the</w:t>
      </w:r>
      <w:r>
        <w:t xml:space="preserve"> </w:t>
      </w:r>
      <w:r>
        <w:t xml:space="preserve">string cover ids via</w:t>
      </w:r>
      <w:r>
        <w:t xml:space="preserve"> </w:t>
      </w:r>
      <w:r>
        <w:rPr>
          <w:rStyle w:val="VerbatimChar"/>
        </w:rPr>
        <w:t xml:space="preserve">tostring … , format("%17.0f")</w:t>
      </w:r>
      <w:r>
        <w:t xml:space="preserve">, as in the upstream pipeline).</w:t>
      </w:r>
    </w:p>
    <w:p>
      <w:pPr>
        <w:pStyle w:val="Heading3"/>
      </w:pPr>
      <w:bookmarkStart w:id="67" w:name="tenure-indicators-6"/>
      <w:r>
        <w:t xml:space="preserve">2. Tenure indicators</w:t>
      </w:r>
      <w:bookmarkEnd w:id="67"/>
    </w:p>
    <w:tbl>
      <w:tblPr>
        <w:tblStyle w:val="Table"/>
        <w:tblW w:type="pct" w:w="5000.0"/>
        <w:tblLook w:firstRow="1"/>
      </w:tblPr>
      <w:tblGrid>
        <w:gridCol w:w="1342"/>
        <w:gridCol w:w="1073"/>
        <w:gridCol w:w="3624"/>
        <w:gridCol w:w="1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 (across waves)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p>
            <w:pPr>
              <w:pStyle w:val="Compact"/>
              <w:jc w:val="left"/>
            </w:pPr>
            <w:r>
              <w:t xml:space="preserve">rent paid</w:t>
            </w:r>
            <w:r>
              <w:t xml:space="preserve"> 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0</w:t>
            </w:r>
            <w:r>
              <w:t xml:space="preserve"> </w:t>
            </w:r>
            <w:r>
              <w:t xml:space="preserve">(accessed parcel paid for)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(Leased-in)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2A/2B</w:t>
            </w:r>
          </w:p>
        </w:tc>
        <w:tc>
          <w:p>
            <w:pPr>
              <w:pStyle w:val="Compact"/>
              <w:jc w:val="left"/>
            </w:pPr>
            <w:r>
              <w:t xml:space="preserve">per-season primary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Rented-out</w:t>
            </w:r>
            <w:r>
              <w:t xml:space="preserve">”</w:t>
            </w:r>
            <w:r>
              <w:t xml:space="preserve"> </w:t>
            </w:r>
            <w:r>
              <w:t xml:space="preserve">2A /</w:t>
            </w:r>
            <w:r>
              <w:t xml:space="preserve"> </w:t>
            </w:r>
            <w:r>
              <w:t xml:space="preserve">“</w:t>
            </w:r>
            <w:r>
              <w:t xml:space="preserve">Sub-contracted out</w:t>
            </w:r>
            <w:r>
              <w:t xml:space="preserve">”</w:t>
            </w:r>
            <w:r>
              <w:t xml:space="preserve"> </w:t>
            </w:r>
            <w:r>
              <w:t xml:space="preserve">2B)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1</w:t>
            </w:r>
            <w:r>
              <w:t xml:space="preserve"> </w:t>
            </w:r>
            <w:r>
              <w:t xml:space="preserve">Purchased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in 2018)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A2aq25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a2aq23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s2aq23</w:t>
            </w:r>
            <w:r>
              <w:t xml:space="preserve">(18/19)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inlist(1,2,3)</w:t>
            </w:r>
            <w:r>
              <w:t xml:space="preserve">=1;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=0; accessed parcels=0</w:t>
            </w:r>
          </w:p>
        </w:tc>
      </w:tr>
    </w:tbl>
    <w:p>
      <w:pPr>
        <w:pStyle w:val="BodyText"/>
      </w:pPr>
      <w:r>
        <w:t xml:space="preserve">Primary-use</w:t>
      </w:r>
      <w:r>
        <w:t xml:space="preserve"> </w:t>
      </w:r>
      <w:r>
        <w:rPr>
          <w:b/>
        </w:rPr>
        <w:t xml:space="preserve">season-1</w:t>
      </w:r>
      <w:r>
        <w:t xml:space="preserve"> </w:t>
      </w:r>
      <w:r>
        <w:t xml:space="preserve">variable by wave: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(09) ·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(10) ·</w:t>
      </w:r>
      <w:r>
        <w:t xml:space="preserve"> </w:t>
      </w:r>
      <w:r>
        <w:rPr>
          <w:rStyle w:val="VerbatimChar"/>
        </w:rPr>
        <w:t xml:space="preserve">a2aq11a</w:t>
      </w:r>
      <w:r>
        <w:t xml:space="preserve">(11,13) ·</w:t>
      </w:r>
      <w:r>
        <w:t xml:space="preserve"> </w:t>
      </w:r>
      <w:r>
        <w:rPr>
          <w:rStyle w:val="VerbatimChar"/>
        </w:rPr>
        <w:t xml:space="preserve">a2aq11b</w:t>
      </w:r>
      <w:r>
        <w:t xml:space="preserve">(15) ·</w:t>
      </w:r>
      <w:r>
        <w:t xml:space="preserve"> </w:t>
      </w:r>
      <w:r>
        <w:rPr>
          <w:rStyle w:val="VerbatimChar"/>
        </w:rPr>
        <w:t xml:space="preserve">s2aq11b</w:t>
      </w:r>
      <w:r>
        <w:t xml:space="preserve">(18,19) — swapped from 2015. The 2B analogues are</w:t>
      </w:r>
      <w:r>
        <w:t xml:space="preserve"> 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a2bq12*</w:t>
      </w:r>
      <w:r>
        <w:t xml:space="preserve">.</w:t>
      </w:r>
    </w:p>
    <w:p>
      <w:pPr>
        <w:pStyle w:val="Heading3"/>
      </w:pPr>
      <w:bookmarkStart w:id="68" w:name="parcel-area-parcel_area_ha-6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8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GPS =</w:t>
      </w:r>
      <w:r>
        <w:t xml:space="preserve"> 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(2A),</w:t>
      </w:r>
      <w:r>
        <w:t xml:space="preserve"> 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s2aq04</w:t>
      </w:r>
      <w:r>
        <w:t xml:space="preserve"> </w:t>
      </w:r>
      <w:r>
        <w:t xml:space="preserve">(2B); self-reported = the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…5</w:t>
      </w:r>
      <w:r>
        <w:t xml:space="preserve">/</w:t>
      </w:r>
      <w:r>
        <w:rPr>
          <w:rStyle w:val="VerbatimChar"/>
        </w:rPr>
        <w:t xml:space="preserve">…05</w:t>
      </w:r>
      <w:r>
        <w:t xml:space="preserve"> </w:t>
      </w:r>
      <w:r>
        <w:t xml:space="preserve">variable. Top-coded at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ha.</w:t>
      </w:r>
    </w:p>
    <w:p>
      <w:pPr>
        <w:pStyle w:val="Heading3"/>
      </w:pPr>
      <w:bookmarkStart w:id="69" w:name="design-variables-identifiers-6"/>
      <w:r>
        <w:t xml:space="preserve">4. Design variables &amp; identifiers</w:t>
      </w:r>
      <w:bookmarkEnd w:id="69"/>
    </w:p>
    <w:tbl>
      <w:tblPr>
        <w:tblStyle w:val="Table"/>
        <w:tblW w:type="pct" w:w="5000.0"/>
        <w:tblLook w:firstRow="1"/>
      </w:tblPr>
      <w:tblGrid>
        <w:gridCol w:w="2475"/>
        <w:gridCol w:w="1980"/>
        <w:gridCol w:w="346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  <w:r>
              <w:t xml:space="preserve"> </w:t>
            </w:r>
            <w:r>
              <w:rPr>
                <w:rStyle w:val="VerbatimChar"/>
              </w:rPr>
              <w:t xml:space="preserve">GSEC1</w:t>
            </w:r>
          </w:p>
        </w:tc>
        <w:tc>
          <w:p>
            <w:pPr>
              <w:pStyle w:val="Compact"/>
              <w:jc w:val="left"/>
            </w:pPr>
            <w:r>
              <w:t xml:space="preserve">cross-sectional HH weight (see wave key)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group()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sregion</w:t>
            </w:r>
            <w:r>
              <w:t xml:space="preserve"> 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(18/19)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(09-11) /</w:t>
            </w:r>
            <w:r>
              <w:t xml:space="preserve"> </w:t>
            </w:r>
            <w:r>
              <w:rPr>
                <w:rStyle w:val="VerbatimChar"/>
              </w:rPr>
              <w:t xml:space="preserve">ea</w:t>
            </w:r>
            <w:r>
              <w:t xml:space="preserve"> </w:t>
            </w:r>
            <w:r>
              <w:t xml:space="preserve">(13/15);</w:t>
            </w:r>
            <w:r>
              <w:t xml:space="preserve"> </w:t>
            </w:r>
            <w:r>
              <w:rPr>
                <w:b/>
              </w:rPr>
              <w:t xml:space="preserve">blank in 2018/19</w:t>
            </w:r>
            <w:r>
              <w:t xml:space="preserve"> </w:t>
            </w:r>
            <w:r>
              <w:t xml:space="preserve">(no EA on the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 + "-A-"/"-B-" + parcelID</w:t>
            </w:r>
            <w:r>
              <w:t xml:space="preserve"> </w:t>
            </w:r>
            <w:r>
              <w:t xml:space="preserve">(origin-tagged, globally unique)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2010 / 2011 / 2013 / 2015 / 2018 / 2019</w:t>
            </w:r>
          </w:p>
        </w:tc>
      </w:tr>
    </w:tbl>
    <w:p>
      <w:pPr>
        <w:pStyle w:val="Heading3"/>
      </w:pPr>
      <w:bookmarkStart w:id="70" w:name="X41b3da375b96f03c8be77259d3c225da7481aa7"/>
      <w:r>
        <w:t xml:space="preserve">5. Value labels of key source variables (verified against the raw rosters)</w:t>
      </w:r>
      <w:bookmarkEnd w:id="70"/>
    </w:p>
    <w:p>
      <w:pPr>
        <w:pStyle w:val="FirstParagraph"/>
      </w:pPr>
      <w:r>
        <w:rPr>
          <w:b/>
        </w:rPr>
        <w:t xml:space="preserve">Acquisition (2A)</w:t>
      </w:r>
      <w:r>
        <w:t xml:space="preserve"> </w:t>
      </w:r>
      <w:r>
        <w:rPr>
          <w:rStyle w:val="VerbatimChar"/>
        </w:rPr>
        <w:t xml:space="preserve">…aq8</w:t>
      </w:r>
      <w:r>
        <w:t xml:space="preserve">:</w:t>
      </w:r>
      <w:r>
        <w:t xml:space="preserve"> </w:t>
      </w:r>
      <w:r>
        <w:rPr>
          <w:b/>
        </w:rPr>
        <w:t xml:space="preserve">1 Purchased</w:t>
      </w:r>
      <w:r>
        <w:t xml:space="preserve"> </w:t>
      </w:r>
      <w:r>
        <w:t xml:space="preserve">· 2 inherited / received as gift ·</w:t>
      </w:r>
      <w:r>
        <w:t xml:space="preserve"> </w:t>
      </w:r>
      <w:r>
        <w:rPr>
          <w:b/>
        </w:rPr>
        <w:t xml:space="preserve">3 Leased-in</w:t>
      </w:r>
      <w:r>
        <w:t xml:space="preserve"> </w:t>
      </w:r>
      <w:r>
        <w:t xml:space="preserve">·</w:t>
      </w:r>
      <w:r>
        <w:t xml:space="preserve"> </w:t>
      </w:r>
      <w:r>
        <w:t xml:space="preserve">4 just walked in (cleared) · 5 don’t know · 6 other (2018/19 add 7 given by gov / authority ·</w:t>
      </w:r>
      <w:r>
        <w:t xml:space="preserve"> </w:t>
      </w:r>
      <w:r>
        <w:t xml:space="preserve">8 agreement with owner · 9 without agreement · 96 other).</w:t>
      </w:r>
      <w:r>
        <w:t xml:space="preserve"> </w:t>
      </w:r>
      <w:r>
        <w:rPr>
          <w:i/>
        </w:rPr>
        <w:t xml:space="preserve">(2018: entirely missing.)</w:t>
      </w:r>
    </w:p>
    <w:p>
      <w:pPr>
        <w:pStyle w:val="BodyText"/>
      </w:pPr>
      <w:r>
        <w:rPr>
          <w:b/>
        </w:rPr>
        <w:t xml:space="preserve">Certificate / title (2A)</w:t>
      </w:r>
      <w:r>
        <w:t xml:space="preserve"> </w:t>
      </w:r>
      <w:r>
        <w:rPr>
          <w:rStyle w:val="VerbatimChar"/>
        </w:rPr>
        <w:t xml:space="preserve">…aq25</w:t>
      </w:r>
      <w:r>
        <w:t xml:space="preserve">/</w:t>
      </w:r>
      <w:r>
        <w:rPr>
          <w:rStyle w:val="VerbatimChar"/>
        </w:rPr>
        <w:t xml:space="preserve">…aq23</w:t>
      </w:r>
      <w:r>
        <w:t xml:space="preserve">/</w:t>
      </w:r>
      <w:r>
        <w:rPr>
          <w:rStyle w:val="VerbatimChar"/>
        </w:rPr>
        <w:t xml:space="preserve">s2aq23</w:t>
      </w:r>
      <w:r>
        <w:t xml:space="preserve">:</w:t>
      </w:r>
      <w:r>
        <w:t xml:space="preserve"> </w:t>
      </w:r>
      <w:r>
        <w:rPr>
          <w:b/>
        </w:rPr>
        <w:t xml:space="preserve">1 certificate of title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certificate of customary ownership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3 certificate of occupancy</w:t>
      </w:r>
      <w:r>
        <w:t xml:space="preserve"> </w:t>
      </w:r>
      <w:r>
        <w:t xml:space="preserve">· 4 no document.</w:t>
      </w:r>
    </w:p>
    <w:p>
      <w:pPr>
        <w:pStyle w:val="BodyText"/>
      </w:pPr>
      <w:r>
        <w:rPr>
          <w:b/>
        </w:rPr>
        <w:t xml:space="preserve">Primary use of parcel</w:t>
      </w:r>
      <w:r>
        <w:t xml:space="preserve"> </w:t>
      </w:r>
      <w:r>
        <w:t xml:space="preserve">(per season): 1 own-cultivated annual · 2 own-cultivated perennial ·</w:t>
      </w:r>
      <w:r>
        <w:t xml:space="preserve"> </w:t>
      </w:r>
      <w:r>
        <w:rPr>
          <w:b/>
        </w:rPr>
        <w:t xml:space="preserve">3 Rented-out</w:t>
      </w:r>
      <w:r>
        <w:t xml:space="preserve"> </w:t>
      </w:r>
      <w:r>
        <w:t xml:space="preserve">(2A) /</w:t>
      </w:r>
      <w:r>
        <w:t xml:space="preserve"> </w:t>
      </w:r>
      <w:r>
        <w:rPr>
          <w:b/>
        </w:rPr>
        <w:t xml:space="preserve">3 Sub-contracted out</w:t>
      </w:r>
      <w:r>
        <w:t xml:space="preserve"> </w:t>
      </w:r>
      <w:r>
        <w:t xml:space="preserve">(2B) · 4 cultivated by mailo tenant (2A) ·</w:t>
      </w:r>
      <w:r>
        <w:t xml:space="preserve"> </w:t>
      </w:r>
      <w:r>
        <w:t xml:space="preserve">5 fallow · 6 pasture / grazing · 7 woodlot / forest · 96 other.</w:t>
      </w:r>
    </w:p>
    <w:p>
      <w:pPr>
        <w:pStyle w:val="BodyText"/>
      </w:pPr>
      <w:r>
        <w:rPr>
          <w:b/>
        </w:rPr>
        <w:t xml:space="preserve">Tenure system</w:t>
      </w:r>
      <w:r>
        <w:t xml:space="preserve"> </w:t>
      </w:r>
      <w:r>
        <w:rPr>
          <w:rStyle w:val="VerbatimChar"/>
        </w:rPr>
        <w:t xml:space="preserve">…aq7</w:t>
      </w:r>
      <w:r>
        <w:t xml:space="preserve">: 1 freehold · 2 leasehold · 3 mailo · 4 customary · 6 other.</w:t>
      </w:r>
      <w:r>
        <w:t xml:space="preserve"> </w:t>
      </w:r>
      <w:r>
        <w:rPr>
          <w:i/>
        </w:rPr>
        <w:t xml:space="preserve">(Recorded but not used directly; rented-in keys off rent-paid / leased-in acquisition.)</w:t>
      </w:r>
    </w:p>
    <w:p>
      <w:pPr>
        <w:pStyle w:val="Heading3"/>
      </w:pPr>
      <w:bookmarkStart w:id="71" w:name="harmonization-decisions-caveats-uganda"/>
      <w:r>
        <w:t xml:space="preserve">6. Harmonization decisions &amp; caveats (Uganda)</w:t>
      </w:r>
      <w:bookmarkEnd w:id="7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Owned vs accessed are separate modules.</w:t>
      </w:r>
      <w:r>
        <w:t xml:space="preserve"> </w:t>
      </w:r>
      <w:r>
        <w:t xml:space="preserve">2A (owned) supplies purchase, certificate and</w:t>
      </w:r>
      <w:r>
        <w:t xml:space="preserve"> </w:t>
      </w:r>
      <w:r>
        <w:t xml:space="preserve">rented-out; 2B (accessed) supplies rented-in. They are stacked into one parcel frame;</w:t>
      </w:r>
      <w:r>
        <w:t xml:space="preserve"> </w:t>
      </w:r>
      <w:r>
        <w:t xml:space="preserve">accessed parcels carry</w:t>
      </w:r>
      <w:r>
        <w:t xml:space="preserve"> </w:t>
      </w:r>
      <w:r>
        <w:rPr>
          <w:rStyle w:val="VerbatimChar"/>
        </w:rPr>
        <w:t xml:space="preserve">parcel_purchased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 = 0</w:t>
      </w:r>
      <w:r>
        <w:t xml:space="preserve"> </w:t>
      </w:r>
      <w:r>
        <w:t xml:space="preserve">(the household</w:t>
      </w:r>
      <w:r>
        <w:t xml:space="preserve"> </w:t>
      </w:r>
      <w:r>
        <w:t xml:space="preserve">holds no title to a rented-in parcel), so the rates use an all-parcels denominator</w:t>
      </w:r>
      <w:r>
        <w:t xml:space="preserve"> </w:t>
      </w:r>
      <w:r>
        <w:t xml:space="preserve">comparable to the other countries.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Rented-in = paid access.</w:t>
      </w:r>
      <w:r>
        <w:t xml:space="preserve"> </w:t>
      </w:r>
      <w:r>
        <w:t xml:space="preserve">A 2B parcel counts as rented-in when rent paid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(cash or sharecrop); free-borrowed parcels (rent 0) are not rented-in. 2A parcels with</w:t>
      </w:r>
      <w:r>
        <w:t xml:space="preserve"> </w:t>
      </w:r>
      <w:r>
        <w:t xml:space="preserve">acquisition</w:t>
      </w:r>
      <w:r>
        <w:t xml:space="preserve"> </w:t>
      </w:r>
      <w:r>
        <w:t xml:space="preserve">“</w:t>
      </w:r>
      <w:r>
        <w:t xml:space="preserve">Leased-in</w:t>
      </w:r>
      <w:r>
        <w:t xml:space="preserve">”</w:t>
      </w:r>
      <w:r>
        <w:t xml:space="preserve"> </w:t>
      </w:r>
      <w:r>
        <w:t xml:space="preserve">(code 3) are also flagged rented-in.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Rented-out is a lower bound.</w:t>
      </w:r>
      <w:r>
        <w:t xml:space="preserve"> </w:t>
      </w:r>
      <w:r>
        <w:t xml:space="preserve">It is read from the categorical per-season primary use</w:t>
      </w:r>
      <w:r>
        <w:t xml:space="preserve"> </w:t>
      </w:r>
      <w:r>
        <w:t xml:space="preserve">(</w:t>
      </w:r>
      <w:r>
        <w:t xml:space="preserve">“</w:t>
      </w:r>
      <w:r>
        <w:t xml:space="preserve">Rented-out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Sub-contracted out</w:t>
      </w:r>
      <w:r>
        <w:t xml:space="preserve">”</w:t>
      </w:r>
      <w:r>
        <w:t xml:space="preserve">); weighted rates are low (~0.2-1.3 %), as in</w:t>
      </w:r>
      <w:r>
        <w:t xml:space="preserve"> </w:t>
      </w:r>
      <w:r>
        <w:t xml:space="preserve">Mali / Niger. The cash</w:t>
      </w:r>
      <w:r>
        <w:t xml:space="preserve"> </w:t>
      </w:r>
      <w:r>
        <w:t xml:space="preserve">“</w:t>
      </w:r>
      <w:r>
        <w:t xml:space="preserve">rent received</w:t>
      </w:r>
      <w:r>
        <w:t xml:space="preserve">”</w:t>
      </w:r>
      <w:r>
        <w:t xml:space="preserve"> </w:t>
      </w:r>
      <w:r>
        <w:t xml:space="preserve">amount (</w:t>
      </w:r>
      <w:r>
        <w:rPr>
          <w:rStyle w:val="VerbatimChar"/>
        </w:rPr>
        <w:t xml:space="preserve">…aq14</w:t>
      </w:r>
      <w:r>
        <w:t xml:space="preserve">/</w:t>
      </w:r>
      <w:r>
        <w:rPr>
          <w:rStyle w:val="VerbatimChar"/>
        </w:rPr>
        <w:t xml:space="preserve">s2aq14</w:t>
      </w:r>
      <w:r>
        <w:t xml:space="preserve">) corroborates but is not</w:t>
      </w:r>
      <w:r>
        <w:t xml:space="preserve"> </w:t>
      </w:r>
      <w:r>
        <w:t xml:space="preserve">used to define the flag (it is annual, not season-specific).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Purchase missing in 2018.</w:t>
      </w:r>
      <w:r>
        <w:t xml:space="preserve"> </w:t>
      </w:r>
      <w:r>
        <w:t xml:space="preserve">UNPS7 did not record the owned-parcel acquisition 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s2aq8</w:t>
      </w:r>
      <w:r>
        <w:t xml:space="preserve"> </w:t>
      </w:r>
      <w:r>
        <w:t xml:space="preserve">empty),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in 2018 — do not read the 2B-only zeros as</w:t>
      </w:r>
      <w:r>
        <w:t xml:space="preserve"> </w:t>
      </w:r>
      <w:r>
        <w:t xml:space="preserve">a 0 % purchase rate.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Season order swapped in 2015 / 2018 / 2019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season 1);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 </w:t>
      </w:r>
      <w:r>
        <w:t xml:space="preserve">differs across seasons, and the paper reports season 1.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Deterministic area</w:t>
      </w:r>
      <w:r>
        <w:t xml:space="preserve"> </w:t>
      </w:r>
      <w:r>
        <w:t xml:space="preserve">(GPS else self-reported, no pmm imputation, unlike the upstream</w:t>
      </w:r>
      <w:r>
        <w:t xml:space="preserve"> </w:t>
      </w:r>
      <w:r>
        <w:t xml:space="preserve">pipeline); acres → ha via 0.404686; top-coded at 40 ha.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each round’s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household weight;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 </w:t>
      </w:r>
      <w:r>
        <w:t xml:space="preserve">(PSU) is absent</w:t>
      </w:r>
      <w:r>
        <w:t xml:space="preserve"> </w:t>
      </w:r>
      <w:r>
        <w:t xml:space="preserve">on the 2018/2019 cover, so design-based SEs there rest on strata + weights (point</w:t>
      </w:r>
      <w:r>
        <w:t xml:space="preserve"> </w:t>
      </w:r>
      <w:r>
        <w:t xml:space="preserve">estimates are unaffected). Validated by a Python replication of the extractor against the</w:t>
      </w:r>
      <w:r>
        <w:t xml:space="preserve"> </w:t>
      </w:r>
      <w:r>
        <w:t xml:space="preserve">raw data: household-weight match 97-100 % and rates within expected ranges for all waves.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ECVMA1-2, NGA GHS1-5, TZA NPS1-5 incl. refresh, UGA UNPS1-5/7/8) and the raw survey</w:t>
      </w:r>
      <w:r>
        <w:rPr>
          <w:i/>
        </w:rPr>
        <w:t xml:space="preserve"> </w:t>
      </w:r>
      <w:r>
        <w:rPr>
          <w:i/>
        </w:rPr>
        <w:t xml:space="preserve">modules, with source variables, codes, and value labels verified against the data. Extend</w:t>
      </w:r>
      <w:r>
        <w:rPr>
          <w:i/>
        </w:rPr>
        <w:t xml:space="preserve"> </w:t>
      </w:r>
      <w:r>
        <w:rPr>
          <w:i/>
        </w:rPr>
        <w:t xml:space="preserve">with one new country section (1-6)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2026-06-16T09:22:03Z</dcterms:created>
  <dcterms:modified xsi:type="dcterms:W3CDTF">2026-06-16T09:22:03Z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