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ssa-land-rental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else self-reported)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</w:t>
            </w:r>
          </w:p>
        </w:tc>
        <w:tc>
          <w:p>
            <w:pPr>
              <w:pStyle w:val="Compact"/>
              <w:jc w:val="left"/>
            </w:pPr>
            <w:r>
              <w:t xml:space="preserve">Cropping season (1 = single-season country / Uganda season 1; 2 = Uganda season 2)</w:t>
            </w:r>
          </w:p>
        </w:tc>
        <w:tc>
          <w:p>
            <w:pPr>
              <w:pStyle w:val="Compact"/>
              <w:jc w:val="left"/>
            </w:pPr>
            <w:r>
              <w:t xml:space="preserve">1/2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Area cleaning.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top-coded</w:t>
      </w:r>
      <w:r>
        <w:t xml:space="preserve">: values above</w:t>
      </w:r>
      <w:r>
        <w:t xml:space="preserve"> </w:t>
      </w:r>
      <w:r>
        <w:rPr>
          <w:rStyle w:val="VerbatimChar"/>
        </w:rPr>
        <w:t xml:space="preserve">${area_max}</w:t>
      </w:r>
      <w:r>
        <w:t xml:space="preserve"> </w:t>
      </w:r>
      <w:r>
        <w:t xml:space="preserve">(40 ha,</w:t>
      </w:r>
      <w:r>
        <w:t xml:space="preserve"> </w:t>
      </w:r>
      <w:r>
        <w:t xml:space="preserve">set in</w:t>
      </w:r>
      <w:r>
        <w:t xml:space="preserve"> </w:t>
      </w:r>
      <w:r>
        <w:rPr>
          <w:rStyle w:val="VerbatimChar"/>
        </w:rPr>
        <w:t xml:space="preserve">MASTER.do</w:t>
      </w:r>
      <w:r>
        <w:t xml:space="preserve">) are treated as data-entry errors and set missing. Smallholder</w:t>
      </w:r>
      <w:r>
        <w:t xml:space="preserve"> </w:t>
      </w:r>
      <w:r>
        <w:t xml:space="preserve">parcels rarely exceed this, but the raw self-reported areas carry unit-entry outliers</w:t>
      </w:r>
      <w:r>
        <w:t xml:space="preserve"> </w:t>
      </w:r>
      <w:r>
        <w:t xml:space="preserve">(e.g. tens of thousands of</w:t>
      </w:r>
      <w:r>
        <w:t xml:space="preserve"> </w:t>
      </w:r>
      <w:r>
        <w:t xml:space="preserve">“</w:t>
      </w:r>
      <w:r>
        <w:t xml:space="preserve">acres</w:t>
      </w:r>
      <w:r>
        <w:t xml:space="preserve">”</w:t>
      </w:r>
      <w:r>
        <w:t xml:space="preserve">) that otherwise inflate the</w:t>
      </w:r>
      <w:r>
        <w:t xml:space="preserve"> </w:t>
      </w:r>
      <w:r>
        <w:rPr>
          <w:i/>
        </w:rPr>
        <w:t xml:space="preserve">mean</w:t>
      </w:r>
      <w:r>
        <w:t xml:space="preserve"> </w:t>
      </w:r>
      <w:r>
        <w:t xml:space="preserve">(the median is</w:t>
      </w:r>
      <w:r>
        <w:t xml:space="preserve"> </w:t>
      </w:r>
      <w:r>
        <w:t xml:space="preserve">unaffected). This matters most where a parcel falls back to self-reported area because</w:t>
      </w:r>
      <w:r>
        <w:t xml:space="preserve"> </w:t>
      </w:r>
      <w:r>
        <w:t xml:space="preserve">GPS is missing; GPS-measured areas are well-behaved.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82cce94c6d7ebfb6410e6e2cbd31d857430c34f"/>
      <w:r>
        <w:t xml:space="preserve">Missing by design (read this before interpreting the tables)</w:t>
      </w:r>
      <w:bookmarkEnd w:id="22"/>
    </w:p>
    <w:p>
      <w:pPr>
        <w:pStyle w:val="FirstParagraph"/>
      </w:pPr>
      <w:r>
        <w:t xml:space="preserve">Some variables are</w:t>
      </w:r>
      <w:r>
        <w:t xml:space="preserve"> </w:t>
      </w:r>
      <w:r>
        <w:rPr>
          <w:b/>
        </w:rPr>
        <w:t xml:space="preserve">missing (</w:t>
      </w:r>
      <w:r>
        <w:rPr>
          <w:rStyle w:val="VerbatimChar"/>
          <w:b/>
        </w:rPr>
        <w:t xml:space="preserve">.</w:t>
      </w:r>
      <w:r>
        <w:rPr>
          <w:b/>
        </w:rPr>
        <w:t xml:space="preserve">) for entire country-years</w:t>
      </w:r>
      <w:r>
        <w:t xml:space="preserve">. These are</w:t>
      </w:r>
      <w:r>
        <w:t xml:space="preserve"> </w:t>
      </w:r>
      <w:r>
        <w:rPr>
          <w:b/>
        </w:rPr>
        <w:t xml:space="preserve">structural</w:t>
      </w:r>
      <w:r>
        <w:t xml:space="preserve"> </w:t>
      </w:r>
      <w:r>
        <w:t xml:space="preserve">missings: the survey simply did not ask the relevant question that</w:t>
      </w:r>
      <w:r>
        <w:t xml:space="preserve"> </w:t>
      </w:r>
      <w:r>
        <w:t xml:space="preserve">round, so the concept is</w:t>
      </w:r>
      <w:r>
        <w:t xml:space="preserve"> </w:t>
      </w:r>
      <w:r>
        <w:rPr>
          <w:i/>
        </w:rPr>
        <w:t xml:space="preserve">unmeasured</w:t>
      </w:r>
      <w:r>
        <w:t xml:space="preserve">, not zero and not item non-response. A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not collected this wave,</w:t>
      </w:r>
      <w:r>
        <w:t xml:space="preserve">”</w:t>
      </w:r>
      <w:r>
        <w:t xml:space="preserve"> </w:t>
      </w:r>
      <w:r>
        <w:t xml:space="preserve">and these country-years must be</w:t>
      </w:r>
      <w:r>
        <w:t xml:space="preserve"> </w:t>
      </w:r>
      <w:r>
        <w:rPr>
          <w:b/>
        </w:rPr>
        <w:t xml:space="preserve">excluded</w:t>
      </w:r>
      <w:r>
        <w:t xml:space="preserve"> </w:t>
      </w:r>
      <w:r>
        <w:t xml:space="preserve">(not treated as 0) when computing rates or trends. This is why the QC estimates one</w:t>
      </w:r>
      <w:r>
        <w:t xml:space="preserve"> </w:t>
      </w:r>
      <w:r>
        <w:t xml:space="preserve">variable at a time - 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would casewise-drop these whole</w:t>
      </w:r>
      <w:r>
        <w:t xml:space="preserve"> </w:t>
      </w:r>
      <w:r>
        <w:t xml:space="preserve">country-years from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variables too.</w:t>
      </w:r>
    </w:p>
    <w:tbl>
      <w:tblPr>
        <w:tblStyle w:val="Table"/>
        <w:tblW w:type="pct" w:w="5000.0"/>
        <w:tblLook w:firstRow="1"/>
      </w:tblPr>
      <w:tblGrid>
        <w:gridCol w:w="742"/>
        <w:gridCol w:w="1650"/>
        <w:gridCol w:w="1402"/>
        <w:gridCol w:w="41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year(s)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2012, 2014</w:t>
            </w:r>
          </w:p>
        </w:tc>
        <w:tc>
          <w:p>
            <w:pPr>
              <w:pStyle w:val="Compact"/>
              <w:jc w:val="left"/>
            </w:pPr>
            <w:r>
              <w:t xml:space="preserve">ESS11/ESS13 acquisition question had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purchased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 </w:t>
            </w:r>
            <w:r>
              <w:t xml:space="preserve">(code 7) is first offered in wave 3 (2016).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t xml:space="preserve">IHPS 2010 has</w:t>
            </w:r>
            <w:r>
              <w:t xml:space="preserve"> </w:t>
            </w:r>
            <w:r>
              <w:rPr>
                <w:b/>
              </w:rPr>
              <w:t xml:space="preserve">no title/ownership-document question</w:t>
            </w:r>
            <w:r>
              <w:t xml:space="preserve"> </w:t>
            </w:r>
            <w:r>
              <w:t xml:space="preserve">for the plot.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</w:t>
            </w:r>
            <w:r>
              <w:t xml:space="preserve"> </w:t>
            </w:r>
            <w:r>
              <w:t xml:space="preserve">the title/document question.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 the categorical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how acquired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question</w:t>
            </w:r>
            <w:r>
              <w:t xml:space="preserve"> </w:t>
            </w:r>
            <w:r>
              <w:t xml:space="preserve">entirely (only</w:t>
            </w:r>
            <w:r>
              <w:t xml:space="preserve"> </w:t>
            </w:r>
            <w:r>
              <w:t xml:space="preserve">“</w:t>
            </w:r>
            <w:r>
              <w:t xml:space="preserve">from whom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year acquired</w:t>
            </w:r>
            <w:r>
              <w:t xml:space="preserve">”</w:t>
            </w:r>
            <w:r>
              <w:t xml:space="preserve"> </w:t>
            </w:r>
            <w:r>
              <w:t xml:space="preserve">remain), so acquisition mode - including purchase - is not identifiable.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2014, 2017</w:t>
            </w:r>
          </w:p>
        </w:tc>
        <w:tc>
          <w:p>
            <w:pPr>
              <w:pStyle w:val="Compact"/>
              <w:jc w:val="left"/>
            </w:pPr>
            <w:r>
              <w:t xml:space="preserve">EACI surveys only the parcels a household</w:t>
            </w:r>
            <w:r>
              <w:t xml:space="preserve"> </w:t>
            </w:r>
            <w:r>
              <w:rPr>
                <w:b/>
              </w:rPr>
              <w:t xml:space="preserve">operates</w:t>
            </w:r>
            <w:r>
              <w:t xml:space="preserve">, so land rented/lent</w:t>
            </w:r>
            <w:r>
              <w:t xml:space="preserve"> </w:t>
            </w:r>
            <w:r>
              <w:rPr>
                <w:b/>
              </w:rPr>
              <w:t xml:space="preserve">out</w:t>
            </w:r>
            <w:r>
              <w:t xml:space="preserve"> </w:t>
            </w:r>
            <w:r>
              <w:t xml:space="preserve">is out of frame (no rented-out code in 2014; the 2017</w:t>
            </w:r>
            <w:r>
              <w:t xml:space="preserve"> </w:t>
            </w:r>
            <w:r>
              <w:t xml:space="preserve">“</w:t>
            </w:r>
            <w:r>
              <w:t xml:space="preserve">Louee/Pretee</w:t>
            </w:r>
            <w:r>
              <w:t xml:space="preserve">”</w:t>
            </w:r>
            <w:r>
              <w:t xml:space="preserve"> </w:t>
            </w:r>
            <w:r>
              <w:t xml:space="preserve">code flags only 5 of ~24,250 parcels).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t xml:space="preserve">GHS wave 1 has</w:t>
            </w:r>
            <w:r>
              <w:t xml:space="preserve"> </w:t>
            </w:r>
            <w:r>
              <w:rPr>
                <w:b/>
              </w:rPr>
              <w:t xml:space="preserve">no certificate-of-occupancy question</w:t>
            </w:r>
            <w:r>
              <w:t xml:space="preserve"> </w:t>
            </w:r>
            <w:r>
              <w:t xml:space="preserve">in the tenure module (added from wave 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Tanzania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2009, 2011, 2013</w:t>
            </w:r>
          </w:p>
        </w:tc>
        <w:tc>
          <w:p>
            <w:pPr>
              <w:pStyle w:val="Compact"/>
              <w:jc w:val="left"/>
            </w:pPr>
            <w:r>
              <w:t xml:space="preserve">The early NPS</w:t>
            </w:r>
            <w:r>
              <w:t xml:space="preserve"> </w:t>
            </w:r>
            <w:r>
              <w:t xml:space="preserve">“</w:t>
            </w:r>
            <w:r>
              <w:t xml:space="preserve">ownership status</w:t>
            </w:r>
            <w:r>
              <w:t xml:space="preserve">”</w:t>
            </w:r>
            <w:r>
              <w:t xml:space="preserve"> </w:t>
            </w:r>
            <w:r>
              <w:t xml:space="preserve">question has</w:t>
            </w:r>
            <w:r>
              <w:t xml:space="preserve"> </w:t>
            </w:r>
            <w:r>
              <w:rPr>
                <w:b/>
              </w:rPr>
              <w:t xml:space="preserve">no acquisition-mode / purchase category</w:t>
            </w:r>
            <w:r>
              <w:t xml:space="preserve"> </w:t>
            </w:r>
            <w:r>
              <w:t xml:space="preserve">(added when the question was redesigned to</w:t>
            </w:r>
            <w:r>
              <w:t xml:space="preserve"> </w:t>
            </w:r>
            <w:r>
              <w:t xml:space="preserve">“</w:t>
            </w:r>
            <w:r>
              <w:t xml:space="preserve">how was this plot acquired?</w:t>
            </w:r>
            <w:r>
              <w:t xml:space="preserve">”</w:t>
            </w:r>
            <w:r>
              <w:t xml:space="preserve"> </w:t>
            </w:r>
            <w:r>
              <w:t xml:space="preserve">in NPS4, 2015).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p>
            <w:pPr>
              <w:pStyle w:val="Compact"/>
              <w:jc w:val="left"/>
            </w:pPr>
            <w:r>
              <w:t xml:space="preserve">UNPS7 (2018/19) fielded a</w:t>
            </w:r>
            <w:r>
              <w:t xml:space="preserve"> </w:t>
            </w:r>
            <w:r>
              <w:rPr>
                <w:b/>
              </w:rPr>
              <w:t xml:space="preserve">reduced panel re-interview</w:t>
            </w:r>
            <w:r>
              <w:t xml:space="preserve"> </w:t>
            </w:r>
            <w:r>
              <w:t xml:space="preserve">roster for owned parcels: the acquisition item</w:t>
            </w:r>
            <w:r>
              <w:t xml:space="preserve"> </w:t>
            </w:r>
            <w:r>
              <w:rPr>
                <w:rStyle w:val="VerbatimChar"/>
              </w:rPr>
              <w:t xml:space="preserve">s2aq8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rPr>
                <w:b/>
              </w:rPr>
              <w:t xml:space="preserve">not administered</w:t>
            </w:r>
            <w:r>
              <w:t xml:space="preserve"> </w:t>
            </w:r>
            <w:r>
              <w:t xml:space="preserve">(0 of 4,368 parcels), so acquisition mode - including purchase - is unidentifiable. (Area and tenure-system were also only re-collected for the ~25% of parcels that were new or re-measured; see Uganda §6.)</w:t>
            </w:r>
          </w:p>
        </w:tc>
      </w:tr>
    </w:tbl>
    <w:p>
      <w:pPr>
        <w:pStyle w:val="BodyText"/>
      </w:pPr>
      <w:r>
        <w:t xml:space="preserve">All other variables are populated in every country-year shown. (Within a populated</w:t>
      </w:r>
      <w:r>
        <w:t xml:space="preserve"> </w:t>
      </w:r>
      <w:r>
        <w:t xml:space="preserve">country-year, ordinary item non-response is handled the usual way - e.g. a parcel</w:t>
      </w:r>
      <w:r>
        <w:t xml:space="preserve"> </w:t>
      </w:r>
      <w:r>
        <w:t xml:space="preserve">with no usable area is missing on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only.)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00728ba8d2160b74857f05f98b30c703885711f"/>
      <w:r>
        <w:t xml:space="preserve">ETHIOPIA — Ethiopia Socioeconomic Survey (ESS)</w:t>
      </w:r>
      <w:bookmarkEnd w:id="23"/>
    </w:p>
    <w:p>
      <w:pPr>
        <w:pStyle w:val="Heading3"/>
      </w:pPr>
      <w:bookmarkStart w:id="24" w:name="survey-wave-key"/>
      <w:r>
        <w:t xml:space="preserve">1. Survey &amp; wave key</w:t>
      </w:r>
      <w:bookmarkEnd w:id="24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5" w:name="tenure-indicators"/>
      <w:r>
        <w:t xml:space="preserve">2. Tenure indicators</w:t>
      </w:r>
      <w:bookmarkEnd w:id="25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6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6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 Field area =</w:t>
      </w:r>
      <w:r>
        <w:t xml:space="preserve"> </w:t>
      </w:r>
      <w:r>
        <w:rPr>
          <w:b/>
        </w:rPr>
        <w:t xml:space="preserve">GPS where</w:t>
      </w:r>
      <w:r>
        <w:rPr>
          <w:b/>
        </w:rPr>
        <w:t xml:space="preserve"> </w:t>
      </w:r>
      <w:r>
        <w:rPr>
          <w:b/>
        </w:rPr>
        <w:t xml:space="preserve">measured, else self-reported</w:t>
      </w:r>
      <w:r>
        <w:t xml:space="preserve"> </w:t>
      </w:r>
      <w:r>
        <w:t xml:space="preserve">(both in ha); no model-based imputation, so the measure</w:t>
      </w:r>
      <w:r>
        <w:t xml:space="preserve"> </w:t>
      </w:r>
      <w:r>
        <w:t xml:space="preserve">is deterministic and reproducible across languages.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 a</w:t>
      </w:r>
      <w:r>
        <w:t xml:space="preserve"> </w:t>
      </w:r>
      <w:r>
        <w:t xml:space="preserve">non-missing area. Parcels with no cultivated field (e.g. fully rented out) have missing</w:t>
      </w:r>
      <w:r>
        <w:t xml:space="preserve"> </w:t>
      </w:r>
      <w:r>
        <w:t xml:space="preserve">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</w:tbl>
    <w:p>
      <w:pPr>
        <w:pStyle w:val="Heading3"/>
      </w:pPr>
      <w:bookmarkStart w:id="27" w:name="design-variables-identifiers"/>
      <w:r>
        <w:t xml:space="preserve">4. Design variables &amp; identifiers</w:t>
      </w:r>
      <w:bookmarkEnd w:id="27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8" w:name="Xd42d4af8211bb53ced3c89549c738c863b0b1f0"/>
      <w:r>
        <w:t xml:space="preserve">5. Value labels of key source variables (verified against the raw rosters)</w:t>
      </w:r>
      <w:bookmarkEnd w:id="28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9" w:name="harmonization-decisions-caveats-ethiopia"/>
      <w:r>
        <w:t xml:space="preserve">6. Harmonization decisions &amp; caveats (Ethiopia)</w:t>
      </w:r>
      <w:bookmarkEnd w:id="29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field area summed to the parcel, using GPS where measured and</w:t>
      </w:r>
      <w:r>
        <w:t xml:space="preserve"> </w:t>
      </w:r>
      <w:r>
        <w:t xml:space="preserve">self-reported area as a fallback where GPS is missing. The published pipeline instead</w:t>
      </w:r>
      <w:r>
        <w:t xml:space="preserve"> </w:t>
      </w:r>
      <w:r>
        <w:t xml:space="preserve">model-imputes missing GPS (pmm); we use the deterministic GPS-else-self-reported</w:t>
      </w:r>
      <w:r>
        <w:t xml:space="preserve"> </w:t>
      </w:r>
      <w:r>
        <w:t xml:space="preserve">measure so area reproduces exactly across Stata/R/Python. Tenure variables are unaffected.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GPS-else-self-reported measure.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58e7c7fc58aa400ad0a6aeef83d98534c48a47f"/>
      <w:r>
        <w:t xml:space="preserve">MALAWI — Integrated Household Panel Survey (IHPS)</w:t>
      </w:r>
      <w:bookmarkEnd w:id="30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1" w:name="survey-wave-key-1"/>
      <w:r>
        <w:t xml:space="preserve">1. Survey &amp; wave key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2" w:name="tenure-indicators-1"/>
      <w:r>
        <w:t xml:space="preserve">2. Tenure indicators</w:t>
      </w:r>
      <w:bookmarkEnd w:id="32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3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3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Field area =</w:t>
      </w:r>
      <w:r>
        <w:t xml:space="preserve"> </w:t>
      </w:r>
      <w:r>
        <w:t xml:space="preserve">GPS (</w:t>
      </w:r>
      <w:r>
        <w:rPr>
          <w:rStyle w:val="VerbatimChar"/>
        </w:rPr>
        <w:t xml:space="preserve">ag_c04c</w:t>
      </w:r>
      <w:r>
        <w:t xml:space="preserve">) where measured, else self-reported (</w:t>
      </w:r>
      <w:r>
        <w:rPr>
          <w:rStyle w:val="VerbatimChar"/>
        </w:rPr>
        <w:t xml:space="preserve">ag_c04a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</w:t>
      </w:r>
      <w:r>
        <w:t xml:space="preserve"> </w:t>
      </w:r>
      <w:r>
        <w:t xml:space="preserve">1=acre, 2=ha, 3=m²); acres→ha via ×0.404686. No model-based imputation (the published</w:t>
      </w:r>
      <w:r>
        <w:t xml:space="preserve"> </w:t>
      </w:r>
      <w:r>
        <w:t xml:space="preserve">pipeline pmm-imputes missing GPS; we use the deterministic GPS-else-self-reported</w:t>
      </w:r>
      <w:r>
        <w:t xml:space="preserve"> </w:t>
      </w:r>
      <w:r>
        <w:t xml:space="preserve">measure for cross-language reproducibility).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4" w:name="design-variables-identifiers-1"/>
      <w:r>
        <w:t xml:space="preserve">4. Design variables &amp; identifiers</w:t>
      </w:r>
      <w:bookmarkEnd w:id="34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5" w:name="X3c195f35add181f24126d1dac89a38fd1df1287"/>
      <w:r>
        <w:t xml:space="preserve">5. Value labels of key source variables (verified)</w:t>
      </w:r>
      <w:bookmarkEnd w:id="35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6" w:name="harmonization-decisions-caveats-malawi"/>
      <w:r>
        <w:t xml:space="preserve">6. Harmonization decisions &amp; caveats (Malawi)</w:t>
      </w:r>
      <w:bookmarkEnd w:id="3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3efb4428047162bb7c872e735728bee0a77b27e"/>
      <w:r>
        <w:t xml:space="preserve">MALI — Enquete Agricole de Conjoncture Integree (EACI)</w:t>
      </w:r>
      <w:bookmarkEnd w:id="37"/>
    </w:p>
    <w:p>
      <w:pPr>
        <w:pStyle w:val="FirstParagraph"/>
      </w:pPr>
      <w:r>
        <w:t xml:space="preserve">Two separate cross-sectional rounds (not a panel): EACI 2014 and EACI 2017.</w:t>
      </w:r>
      <w:r>
        <w:t xml:space="preserve"> </w:t>
      </w:r>
      <w:r>
        <w:t xml:space="preserve">The 2017 files use a different naming scheme (</w:t>
      </w:r>
      <w:r>
        <w:rPr>
          <w:rStyle w:val="VerbatimChar"/>
        </w:rPr>
        <w:t xml:space="preserve">eaci17_sNNpY</w:t>
      </w:r>
      <w:r>
        <w:t xml:space="preserve">) and variable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s11b…</w:t>
      </w:r>
      <w:r>
        <w:t xml:space="preserve">) than 2014 (</w:t>
      </w:r>
      <w:r>
        <w:rPr>
          <w:rStyle w:val="VerbatimChar"/>
        </w:rPr>
        <w:t xml:space="preserve">EACI…_p1</w:t>
      </w:r>
      <w:r>
        <w:t xml:space="preserve">,</w:t>
      </w:r>
      <w:r>
        <w:t xml:space="preserve"> </w:t>
      </w:r>
      <w:r>
        <w:rPr>
          <w:rStyle w:val="VerbatimChar"/>
        </w:rPr>
        <w:t xml:space="preserve">s1b…</w:t>
      </w:r>
      <w:r>
        <w:t xml:space="preserve">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Everything we use - tenure, acquisition, disposition, and area -</w:t>
      </w:r>
      <w:r>
        <w:t xml:space="preserve"> </w:t>
      </w:r>
      <w:r>
        <w:t xml:space="preserve">sits in the single parcel/exploitation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</w:t>
      </w:r>
      <w:r>
        <w:t xml:space="preserve"> </w:t>
      </w:r>
      <w:r>
        <w:t xml:space="preserve">record and no cross-module merge is needed.</w:t>
      </w:r>
    </w:p>
    <w:p>
      <w:pPr>
        <w:pStyle w:val="Heading3"/>
      </w:pPr>
      <w:bookmarkStart w:id="38" w:name="survey-wave-key-2"/>
      <w:r>
        <w:t xml:space="preserve">1. Survey &amp; wave key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EACIEXPLOI_p1.dta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s1b…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17</w:t>
            </w:r>
          </w:p>
        </w:tc>
        <w:tc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exploitation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eaci17_s11bp1.dta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s11b…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2014</w:t>
      </w:r>
      <w:r>
        <w:t xml:space="preserve"> </w:t>
      </w:r>
      <w:r>
        <w:rPr>
          <w:rStyle w:val="VerbatimChar"/>
        </w:rPr>
        <w:t xml:space="preserve">EACIPOIDS.dta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poids_menage</w:t>
      </w:r>
      <w:r>
        <w:t xml:space="preserve">); 2017</w:t>
      </w:r>
      <w:r>
        <w:t xml:space="preserve"> </w:t>
      </w:r>
      <w:r>
        <w:rPr>
          <w:rStyle w:val="VerbatimChar"/>
        </w:rPr>
        <w:t xml:space="preserve">EACI17_ECHANTILLON.dta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poids_leger</w:t>
      </w:r>
      <w:r>
        <w:t xml:space="preserve">, and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). Cover (2014 strata):</w:t>
      </w:r>
      <w:r>
        <w:t xml:space="preserve"> </w:t>
      </w:r>
      <w:r>
        <w:rPr>
          <w:rStyle w:val="VerbatimChar"/>
        </w:rPr>
        <w:t xml:space="preserve">EACICONTROLE_p1.dta</w:t>
      </w:r>
      <w:r>
        <w:t xml:space="preserve">.</w:t>
      </w:r>
    </w:p>
    <w:p>
      <w:pPr>
        <w:pStyle w:val="Heading3"/>
      </w:pPr>
      <w:bookmarkStart w:id="39" w:name="tenure-indicators-2"/>
      <w:r>
        <w:t xml:space="preserve">2. Tenure indicators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measurable (see §6)</w:t>
            </w:r>
          </w:p>
        </w:tc>
      </w:tr>
    </w:tbl>
    <w:p>
      <w:pPr>
        <w:pStyle w:val="Heading3"/>
      </w:pPr>
      <w:bookmarkStart w:id="40" w:name="parcel-area-parcel_area_ha-2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0"/>
    </w:p>
    <w:p>
      <w:pPr>
        <w:pStyle w:val="FirstParagraph"/>
      </w:pPr>
      <w:r>
        <w:t xml:space="preserve">GPS where measured, else self-reported (deterministic; no imputation). 2014: GPS</w:t>
      </w:r>
      <w:r>
        <w:t xml:space="preserve"> </w:t>
      </w:r>
      <w:r>
        <w:rPr>
          <w:rStyle w:val="VerbatimChar"/>
        </w:rPr>
        <w:t xml:space="preserve">s1bq05a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s1bq10</w:t>
      </w:r>
      <w:r>
        <w:t xml:space="preserve"> </w:t>
      </w:r>
      <w:r>
        <w:t xml:space="preserve">(both treated as ha; value 99 = missing). 2017:</w:t>
      </w:r>
      <w:r>
        <w:t xml:space="preserve"> </w:t>
      </w:r>
      <w:r>
        <w:t xml:space="preserve">GPS</w:t>
      </w:r>
      <w:r>
        <w:t xml:space="preserve"> </w:t>
      </w:r>
      <w:r>
        <w:rPr>
          <w:rStyle w:val="VerbatimChar"/>
        </w:rPr>
        <w:t xml:space="preserve">s11bq07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s11bq11a</w:t>
      </w:r>
      <w:r>
        <w:t xml:space="preserve"> </w:t>
      </w:r>
      <w:r>
        <w:t xml:space="preserve">(× 0.0001 where unit</w:t>
      </w:r>
      <w:r>
        <w:t xml:space="preserve"> </w:t>
      </w:r>
      <w:r>
        <w:rPr>
          <w:rStyle w:val="VerbatimChar"/>
        </w:rPr>
        <w:t xml:space="preserve">s11bq11b==2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parcel records aggregated to the parcel id (typically 1).</w:t>
      </w:r>
    </w:p>
    <w:p>
      <w:pPr>
        <w:pStyle w:val="Heading3"/>
      </w:pPr>
      <w:bookmarkStart w:id="41" w:name="design-variables-identifiers-2"/>
      <w:r>
        <w:t xml:space="preserve">4. Design variables &amp; identifiers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EACIPOIDS.dta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poids_menage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poids_leger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EACICONTROLE_p1.dta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group(s00q01 s00q04)</w:t>
            </w:r>
            <w:r>
              <w:t xml:space="preserve"> </w:t>
            </w:r>
            <w:r>
              <w:t xml:space="preserve">(region × milieu)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grappe-menage-s1bq01-s1bq02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grappe-exploitation-s11bq01-s11bq02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2014 / 2017</w:t>
            </w:r>
          </w:p>
        </w:tc>
      </w:tr>
    </w:tbl>
    <w:p>
      <w:pPr>
        <w:pStyle w:val="Heading3"/>
      </w:pPr>
      <w:bookmarkStart w:id="42" w:name="Xd7b0f06d6741a457572b51c32edd9b036aaa263"/>
      <w:r>
        <w:t xml:space="preserve">5. Value labels of key source variables (verified)</w:t>
      </w:r>
      <w:bookmarkEnd w:id="42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s1bq17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/ propriete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Propriete avec titre · 2 Propriete sans titre · 3 Pret gratuit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5 Metayage</w:t>
      </w:r>
      <w:r>
        <w:t xml:space="preserve"> </w:t>
      </w:r>
      <w:r>
        <w:t xml:space="preserve">· 6 Gage · 7 Autre · (9 / 99 = missing).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s1bq22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s11bq22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d’acquisition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Heritage · 2 Par mariage · 3 Attribution coutumiere · 4 Don · 5 Attribution ODR ·</w:t>
      </w:r>
      <w:r>
        <w:t xml:space="preserve"> </w:t>
      </w:r>
      <w:r>
        <w:t xml:space="preserve">6 Appropriation ·</w:t>
      </w:r>
      <w:r>
        <w:t xml:space="preserve"> </w:t>
      </w:r>
      <w:r>
        <w:rPr>
          <w:b/>
        </w:rPr>
        <w:t xml:space="preserve">7 Achat</w:t>
      </w:r>
      <w:r>
        <w:t xml:space="preserve"> </w:t>
      </w:r>
      <w:r>
        <w:t xml:space="preserve">· 8 Autre.</w:t>
      </w:r>
    </w:p>
    <w:p>
      <w:pPr>
        <w:pStyle w:val="BodyText"/>
      </w:pPr>
      <w:r>
        <w:rPr>
          <w:b/>
        </w:rPr>
        <w:t xml:space="preserve">Disposition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s1bq32</w:t>
      </w:r>
      <w:r>
        <w:t xml:space="preserve"> </w:t>
      </w:r>
      <w:r>
        <w:t xml:space="preserve">(2014): 1 En jachere, 2 Exploitee, 9 missing (no rented-out code).</w:t>
      </w:r>
      <w:r>
        <w:t xml:space="preserve"> </w:t>
      </w:r>
      <w:r>
        <w:rPr>
          <w:rStyle w:val="VerbatimChar"/>
        </w:rPr>
        <w:t xml:space="preserve">s11bq32</w:t>
      </w:r>
      <w:r>
        <w:t xml:space="preserve"> </w:t>
      </w:r>
      <w:r>
        <w:t xml:space="preserve">(2017): 1 Jachere, 2 Louee/Pretee, 3 Exploitee.</w:t>
      </w:r>
    </w:p>
    <w:p>
      <w:pPr>
        <w:pStyle w:val="Heading3"/>
      </w:pPr>
      <w:bookmarkStart w:id="43" w:name="harmonization-decisions-caveats-mali"/>
      <w:r>
        <w:t xml:space="preserve">6. Harmonization decisions &amp; caveats (Mali)</w:t>
      </w:r>
      <w:bookmarkEnd w:id="4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the upstream pipeline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 </w:t>
      </w:r>
      <w:r>
        <w:t xml:space="preserve">for Mali. Rented-in and purchased are constructed</w:t>
      </w:r>
      <w:r>
        <w:t xml:space="preserve"> </w:t>
      </w:r>
      <w:r>
        <w:t xml:space="preserve">from the occupation (</w:t>
      </w:r>
      <w:r>
        <w:rPr>
          <w:rStyle w:val="VerbatimChar"/>
        </w:rPr>
        <w:t xml:space="preserve">*q17</w:t>
      </w:r>
      <w:r>
        <w:t xml:space="preserve">) and acquisition (</w:t>
      </w:r>
      <w:r>
        <w:rPr>
          <w:rStyle w:val="VerbatimChar"/>
        </w:rPr>
        <w:t xml:space="preserve">*q22</w:t>
      </w:r>
      <w:r>
        <w:t xml:space="preserve">) questions.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Rented-out is NOT measurable in EACI (missing both waves).</w:t>
      </w:r>
      <w:r>
        <w:t xml:space="preserve"> </w:t>
      </w:r>
      <w:r>
        <w:t xml:space="preserve">The roster covers the</w:t>
      </w:r>
      <w:r>
        <w:t xml:space="preserve"> </w:t>
      </w:r>
      <w:r>
        <w:t xml:space="preserve">parcels a household</w:t>
      </w:r>
      <w:r>
        <w:t xml:space="preserve"> </w:t>
      </w:r>
      <w:r>
        <w:rPr>
          <w:i/>
        </w:rPr>
        <w:t xml:space="preserve">operates</w:t>
      </w:r>
      <w:r>
        <w:t xml:space="preserve"> </w:t>
      </w:r>
      <w:r>
        <w:t xml:space="preserve">(its exploitation), so land rented/lent OUT is out of</w:t>
      </w:r>
      <w:r>
        <w:t xml:space="preserve"> </w:t>
      </w:r>
      <w:r>
        <w:t xml:space="preserve">frame. 2014 has no rented-out code in the disposition item; 2017’s</w:t>
      </w:r>
      <w:r>
        <w:t xml:space="preserve"> </w:t>
      </w:r>
      <w:r>
        <w:t xml:space="preserve">“</w:t>
      </w:r>
      <w:r>
        <w:t xml:space="preserve">Louee/Pretee</w:t>
      </w:r>
      <w:r>
        <w:t xml:space="preserve">”</w:t>
      </w:r>
      <w:r>
        <w:t xml:space="preserve"> </w:t>
      </w:r>
      <w:r>
        <w:t xml:space="preserve">code flags only 5 of ~24,250 parcels - a structural undercount, not a real ~0% rate.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Location (4) + Metayage (5);</w:t>
      </w:r>
      <w:r>
        <w:t xml:space="preserve"> </w:t>
      </w:r>
      <w:r>
        <w:t xml:space="preserve">“</w:t>
      </w:r>
      <w:r>
        <w:t xml:space="preserve">Pret gratuit</w:t>
      </w:r>
      <w:r>
        <w:t xml:space="preserve">”</w:t>
      </w:r>
      <w:r>
        <w:t xml:space="preserve"> </w:t>
      </w:r>
      <w:r>
        <w:t xml:space="preserve">(3, borrowed free) and</w:t>
      </w:r>
      <w:r>
        <w:t xml:space="preserve"> </w:t>
      </w:r>
      <w:r>
        <w:t xml:space="preserve">“</w:t>
      </w:r>
      <w:r>
        <w:t xml:space="preserve">Gage</w:t>
      </w:r>
      <w:r>
        <w:t xml:space="preserve">”</w:t>
      </w:r>
      <w:r>
        <w:t xml:space="preserve"> </w:t>
      </w:r>
      <w:r>
        <w:t xml:space="preserve">(6, pledge/collateral) are excluded as non-market arrangements.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</w:rPr>
        <w:t xml:space="preserve">owned with a formal title</w:t>
      </w:r>
      <w:r>
        <w:t xml:space="preserve"> </w:t>
      </w:r>
      <w:r>
        <w:t xml:space="preserve">(</w:t>
      </w:r>
      <w:r>
        <w:rPr>
          <w:rStyle w:val="VerbatimChar"/>
        </w:rPr>
        <w:t xml:space="preserve">*q17==1</w:t>
      </w:r>
      <w:r>
        <w:t xml:space="preserve">), the closest EACI</w:t>
      </w:r>
      <w:r>
        <w:t xml:space="preserve"> </w:t>
      </w:r>
      <w:r>
        <w:t xml:space="preserve">analog; a non-owned parcel cannot carry a household title.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Purchase is measurable in both waves</w:t>
      </w:r>
      <w:r>
        <w:t xml:space="preserve"> </w:t>
      </w:r>
      <w:r>
        <w:t xml:space="preserve">(acquisition code 7 = Achat) - unlike Ethiopia</w:t>
      </w:r>
      <w:r>
        <w:t xml:space="preserve"> </w:t>
      </w:r>
      <w:r>
        <w:t xml:space="preserve">(w1-2) and Malawi (2019).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Strata</w:t>
      </w:r>
      <w:r>
        <w:t xml:space="preserve">: 2017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none in its own files, so we</w:t>
      </w:r>
      <w:r>
        <w:t xml:space="preserve"> </w:t>
      </w:r>
      <w:r>
        <w:t xml:space="preserve">build</w:t>
      </w:r>
      <w:r>
        <w:t xml:space="preserve"> </w:t>
      </w:r>
      <w:r>
        <w:rPr>
          <w:rStyle w:val="VerbatimChar"/>
        </w:rPr>
        <w:t xml:space="preserve">group(region milieu)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group(s00q01 s00q04)</w:t>
      </w:r>
      <w:r>
        <w:t xml:space="preserve"> </w:t>
      </w:r>
      <w:r>
        <w:t xml:space="preserve">from the cover as a self-contained</w:t>
      </w:r>
      <w:r>
        <w:t xml:space="preserve"> </w:t>
      </w:r>
      <w:r>
        <w:t xml:space="preserve">design-stratum proxy.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Cross-wave comparability - read levels, not the 2014-&gt;2017 change.</w:t>
      </w:r>
      <w:r>
        <w:t xml:space="preserve"> </w:t>
      </w:r>
      <w:r>
        <w:t xml:space="preserve">EACI 2014 and</w:t>
      </w:r>
      <w:r>
        <w:t xml:space="preserve"> </w:t>
      </w:r>
      <w:r>
        <w:t xml:space="preserve">2017 are</w:t>
      </w:r>
      <w:r>
        <w:t xml:space="preserve"> </w:t>
      </w:r>
      <w:r>
        <w:rPr>
          <w:i/>
        </w:rPr>
        <w:t xml:space="preserve">independent cross-sections</w:t>
      </w:r>
      <w:r>
        <w:t xml:space="preserve"> </w:t>
      </w:r>
      <w:r>
        <w:t xml:space="preserve">(not a panel) with very different sample sizes</w:t>
      </w:r>
      <w:r>
        <w:t xml:space="preserve"> </w:t>
      </w:r>
      <w:r>
        <w:t xml:space="preserve">and frames: 2,299 households / 9,658 parcels in 2014 vs 6,293 / 24,250 in 2017, the</w:t>
      </w:r>
      <w:r>
        <w:t xml:space="preserve"> </w:t>
      </w:r>
      <w:r>
        <w:t xml:space="preserve">latter even more dominated by owner-cultivators (untitled ownership 87% -&gt; 93% of</w:t>
      </w:r>
      <w:r>
        <w:t xml:space="preserve"> </w:t>
      </w:r>
      <w:r>
        <w:t xml:space="preserve">parcels). The</w:t>
      </w:r>
      <w:r>
        <w:t xml:space="preserve"> </w:t>
      </w:r>
      <w:r>
        <w:rPr>
          <w:i/>
        </w:rPr>
        <w:t xml:space="preserve">absolute</w:t>
      </w:r>
      <w:r>
        <w:t xml:space="preserve"> </w:t>
      </w:r>
      <w:r>
        <w:t xml:space="preserve">count of rented-in parcels is essentially unchanged</w:t>
      </w:r>
      <w:r>
        <w:t xml:space="preserve"> </w:t>
      </w:r>
      <w:r>
        <w:t xml:space="preserve">(116 -&gt; 106), so the fall in the rented-in</w:t>
      </w:r>
      <w:r>
        <w:t xml:space="preserve"> </w:t>
      </w:r>
      <w:r>
        <w:rPr>
          <w:i/>
        </w:rPr>
        <w:t xml:space="preserve">rate</w:t>
      </w:r>
      <w:r>
        <w:t xml:space="preserve"> </w:t>
      </w:r>
      <w:r>
        <w:t xml:space="preserve">(1.3% -&gt; 0.4%) is mechanical dilution</w:t>
      </w:r>
      <w:r>
        <w:t xml:space="preserve"> </w:t>
      </w:r>
      <w:r>
        <w:t xml:space="preserve">by a larger, more owner-heavy denominator, not a behavioral decline. Rental is also a</w:t>
      </w:r>
      <w:r>
        <w:t xml:space="preserve"> </w:t>
      </w:r>
      <w:r>
        <w:t xml:space="preserve">rare event (~100 parcels/wave), so the estimates carry wide confidence intervals -</w:t>
      </w:r>
      <w:r>
        <w:t xml:space="preserve"> </w:t>
      </w:r>
      <w:r>
        <w:t xml:space="preserve">check CI overlap before interpreting any cross-wave difference. The robust takeaway is</w:t>
      </w:r>
      <w:r>
        <w:t xml:space="preserve"> </w:t>
      </w:r>
      <w:r>
        <w:t xml:space="preserve">that Mali’s land-rental market is thin (&lt;2% of parcels), consistent with customary tenure.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Encoding</w:t>
      </w:r>
      <w:r>
        <w:t xml:space="preserve">: the 2017 files are Latin-1 (French accents); numeric codes are</w:t>
      </w:r>
      <w:r>
        <w:t xml:space="preserve"> </w:t>
      </w:r>
      <w:r>
        <w:t xml:space="preserve">unaffected, but read with the right encoding outside Stata (e.g. </w:t>
      </w:r>
      <w:r>
        <w:rPr>
          <w:rStyle w:val="VerbatimChar"/>
        </w:rPr>
        <w:t xml:space="preserve">encoding="latin1"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14eb90961d7c4eda69428154c7d8401e18ed92a"/>
      <w:r>
        <w:t xml:space="preserve">NIGER — Enquete Nationale sur les Conditions de Vie (ECVMA)</w:t>
      </w:r>
      <w:bookmarkEnd w:id="44"/>
    </w:p>
    <w:p>
      <w:pPr>
        <w:pStyle w:val="FirstParagraph"/>
      </w:pPr>
      <w:r>
        <w:t xml:space="preserve">Two ECVMA rounds (2011, 2014). The 2014 round uses</w:t>
      </w:r>
      <w:r>
        <w:t xml:space="preserve"> </w:t>
      </w:r>
      <w:r>
        <w:rPr>
          <w:b/>
        </w:rPr>
        <w:t xml:space="preserve">uppercase</w:t>
      </w:r>
      <w:r>
        <w:t xml:space="preserve"> </w:t>
      </w:r>
      <w:r>
        <w:t xml:space="preserve">variable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AS01Q*</w:t>
      </w:r>
      <w:r>
        <w:t xml:space="preserve">) and a 3-part household id; 2011 uses lowercase (</w:t>
      </w:r>
      <w:r>
        <w:rPr>
          <w:rStyle w:val="VerbatimChar"/>
        </w:rPr>
        <w:t xml:space="preserve">as01q*</w:t>
      </w:r>
      <w:r>
        <w:t xml:space="preserve">) and a single</w:t>
      </w:r>
      <w:r>
        <w:t xml:space="preserve"> </w:t>
      </w:r>
      <w:r>
        <w:rPr>
          <w:rStyle w:val="VerbatimChar"/>
        </w:rPr>
        <w:t xml:space="preserve">hid</w:t>
      </w:r>
      <w:r>
        <w:t xml:space="preserve">. Some files are Latin-1 encoded.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Tenure, acquisition, title, disposition, and area all sit in the one</w:t>
      </w:r>
      <w:r>
        <w:t xml:space="preserve"> </w:t>
      </w:r>
      <w:r>
        <w:t xml:space="preserve">parcel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 record and no cross-module merge is needed.</w:t>
      </w:r>
    </w:p>
    <w:p>
      <w:pPr>
        <w:pStyle w:val="Heading3"/>
      </w:pPr>
      <w:bookmarkStart w:id="45" w:name="survey-wave-key-3"/>
      <w:r>
        <w:t xml:space="preserve">1. Survey &amp; wave key</w:t>
      </w:r>
      <w:bookmarkEnd w:id="4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11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ecvmaas1_p1.dta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  <w:r>
              <w:t xml:space="preserve">-</w:t>
            </w:r>
            <w:r>
              <w:rPr>
                <w:rStyle w:val="VerbatimChar"/>
              </w:rPr>
              <w:t xml:space="preserve">EXTENSION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ECVMA2_AS1P1.dta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2011</w:t>
      </w:r>
      <w:r>
        <w:t xml:space="preserve"> </w:t>
      </w:r>
      <w:r>
        <w:rPr>
          <w:rStyle w:val="VerbatimChar"/>
        </w:rPr>
        <w:t xml:space="preserve">ecvmamen_p1_en.dta</w:t>
      </w:r>
      <w:r>
        <w:t xml:space="preserve"> </w:t>
      </w:r>
      <w:r>
        <w:t xml:space="preserve">(housing;</w:t>
      </w:r>
      <w:r>
        <w:t xml:space="preserve"> </w:t>
      </w:r>
      <w:r>
        <w:rPr>
          <w:rStyle w:val="VerbatimChar"/>
        </w:rPr>
        <w:t xml:space="preserve">hhweight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);</w:t>
      </w:r>
      <w:r>
        <w:t xml:space="preserve"> </w:t>
      </w:r>
      <w:r>
        <w:t xml:space="preserve">2014</w:t>
      </w:r>
      <w:r>
        <w:t xml:space="preserve"> </w:t>
      </w:r>
      <w:r>
        <w:rPr>
          <w:rStyle w:val="VerbatimChar"/>
        </w:rPr>
        <w:t xml:space="preserve">ECVMA2014_P1P2_ConsoMen.dta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hhweight</w:t>
      </w:r>
      <w:r>
        <w:t xml:space="preserve">) + cover</w:t>
      </w:r>
      <w:r>
        <w:t xml:space="preserve"> </w:t>
      </w:r>
      <w:r>
        <w:rPr>
          <w:rStyle w:val="VerbatimChar"/>
        </w:rPr>
        <w:t xml:space="preserve">ECVMA2_MS00P1.dta</w:t>
      </w:r>
      <w:r>
        <w:t xml:space="preserve"> </w:t>
      </w:r>
      <w:r>
        <w:t xml:space="preserve">(region).</w:t>
      </w:r>
    </w:p>
    <w:p>
      <w:pPr>
        <w:pStyle w:val="Heading3"/>
      </w:pPr>
      <w:bookmarkStart w:id="46" w:name="tenure-indicators-3"/>
      <w:r>
        <w:t xml:space="preserve">2. Tenure indicators</w:t>
      </w:r>
      <w:bookmarkEnd w:id="46"/>
    </w:p>
    <w:tbl>
      <w:tblPr>
        <w:tblStyle w:val="Table"/>
        <w:tblW w:type="pct" w:w="5000.0"/>
        <w:tblLook w:firstRow="1"/>
      </w:tblPr>
      <w:tblGrid>
        <w:gridCol w:w="1800"/>
        <w:gridCol w:w="540"/>
        <w:gridCol w:w="1440"/>
        <w:gridCol w:w="41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as01q16==4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AS01Q14==3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inlist(as01q18,1,2,3,4)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inlist(AS01Q15,1,2,3,4)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</w:tbl>
    <w:p>
      <w:pPr>
        <w:pStyle w:val="Heading3"/>
      </w:pPr>
      <w:bookmarkStart w:id="47" w:name="parcel-area-parcel_area_ha-3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7"/>
    </w:p>
    <w:p>
      <w:pPr>
        <w:pStyle w:val="FirstParagraph"/>
      </w:pPr>
      <w:r>
        <w:t xml:space="preserve">GPS where measured, else self-reported (deterministic; no imputation). 2011: GPS</w:t>
      </w:r>
      <w:r>
        <w:t xml:space="preserve"> </w:t>
      </w:r>
      <w:r>
        <w:rPr>
          <w:rStyle w:val="VerbatimChar"/>
        </w:rPr>
        <w:t xml:space="preserve">as01q09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as01q08</w:t>
      </w:r>
      <w:r>
        <w:t xml:space="preserve">; 2014: GPS</w:t>
      </w:r>
      <w:r>
        <w:t xml:space="preserve"> </w:t>
      </w:r>
      <w:r>
        <w:rPr>
          <w:rStyle w:val="VerbatimChar"/>
        </w:rPr>
        <w:t xml:space="preserve">AS01Q07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AS01Q06</w:t>
      </w:r>
      <w:r>
        <w:t xml:space="preserve">.</w:t>
      </w:r>
      <w:r>
        <w:t xml:space="preserve"> </w:t>
      </w:r>
      <w:r>
        <w:t xml:space="preserve">All in m² (× 0.0001 → ha); 999999 = missing; GPS 0 = missing.</w:t>
      </w:r>
    </w:p>
    <w:p>
      <w:pPr>
        <w:pStyle w:val="Heading3"/>
      </w:pPr>
      <w:bookmarkStart w:id="48" w:name="design-variables-identifiers-3"/>
      <w:r>
        <w:t xml:space="preserve">4. Design variables &amp; identifiers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ECVMA2014_P1P2_ConsoMen.dta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MS00Q01</w:t>
            </w:r>
            <w:r>
              <w:t xml:space="preserve"> </w:t>
            </w:r>
            <w:r>
              <w:t xml:space="preserve">(region; proxy - no 2014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hid-as01q03-as01q05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GRAPPE-MENAGE-EXTENSION-AS01Q01-AS01Q03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2014</w:t>
            </w:r>
          </w:p>
        </w:tc>
      </w:tr>
    </w:tbl>
    <w:p>
      <w:pPr>
        <w:pStyle w:val="Heading3"/>
      </w:pPr>
      <w:bookmarkStart w:id="49" w:name="X646e8461e11ea76f2f34efa79915905fa78ad77"/>
      <w:r>
        <w:t xml:space="preserve">5. Value labels of key source variables (verified)</w:t>
      </w:r>
      <w:bookmarkEnd w:id="49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as01q16</w:t>
      </w:r>
      <w:r>
        <w:t xml:space="preserve"> </w:t>
      </w:r>
      <w:r>
        <w:t xml:space="preserve">(2011) /</w:t>
      </w:r>
      <w:r>
        <w:t xml:space="preserve"> </w:t>
      </w:r>
      <w:r>
        <w:rPr>
          <w:rStyle w:val="VerbatimChar"/>
        </w:rPr>
        <w:t xml:space="preserve">AS01Q14</w:t>
      </w:r>
      <w:r>
        <w:t xml:space="preserve"> </w:t>
      </w:r>
      <w:r>
        <w:t xml:space="preserve">(2014),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2011: 1 propriete · 2 pret (gratuit) · 3 hypotheque (gage)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 5 autres.</w:t>
      </w:r>
      <w:r>
        <w:t xml:space="preserve"> </w:t>
      </w:r>
      <w:r>
        <w:t xml:space="preserve">2014: 1 propriete · 2 copropriete ·</w:t>
      </w:r>
      <w:r>
        <w:t xml:space="preserve"> </w:t>
      </w:r>
      <w:r>
        <w:rPr>
          <w:b/>
        </w:rPr>
        <w:t xml:space="preserve">3 location</w:t>
      </w:r>
      <w:r>
        <w:t xml:space="preserve"> </w:t>
      </w:r>
      <w:r>
        <w:t xml:space="preserve">· 4 hypotheque · 5 pret · 6 autres.</w:t>
      </w:r>
      <w:r>
        <w:t xml:space="preserve"> </w:t>
      </w:r>
      <w:r>
        <w:rPr>
          <w:i/>
        </w:rPr>
        <w:t xml:space="preserve">(No sharecropping / metayage category in either wave.)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:</w:t>
      </w:r>
      <w:r>
        <w:t xml:space="preserve"> </w:t>
      </w:r>
      <w:r>
        <w:rPr>
          <w:b/>
        </w:rPr>
        <w:t xml:space="preserve">1 Achat</w:t>
      </w:r>
      <w:r>
        <w:t xml:space="preserve"> </w:t>
      </w:r>
      <w:r>
        <w:t xml:space="preserve">· 2 Heritage · 3 Don ·</w:t>
      </w:r>
      <w:r>
        <w:t xml:space="preserve"> </w:t>
      </w:r>
      <w:r>
        <w:t xml:space="preserve">4 Prise de possession simple · 5 Autres · 9 manquant.</w:t>
      </w:r>
    </w:p>
    <w:p>
      <w:pPr>
        <w:pStyle w:val="BodyText"/>
      </w:pPr>
      <w:r>
        <w:rPr>
          <w:b/>
        </w:rPr>
        <w:t xml:space="preserve">Title document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AS01Q15</w:t>
      </w:r>
      <w:r>
        <w:t xml:space="preserve">: 1 titre foncier · 2 certificat coutumier ·</w:t>
      </w:r>
      <w:r>
        <w:t xml:space="preserve"> </w:t>
      </w:r>
      <w:r>
        <w:t xml:space="preserve">3 attestation de vente · 4 autre document · 5 aucun document · 9 manquant.</w:t>
      </w:r>
    </w:p>
    <w:p>
      <w:pPr>
        <w:pStyle w:val="BodyText"/>
      </w:pPr>
      <w:r>
        <w:rPr>
          <w:b/>
        </w:rPr>
        <w:t xml:space="preserve">Disposition (reason for non-cultivation)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as01q41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AS01Q39</w:t>
      </w:r>
      <w:r>
        <w:t xml:space="preserve">: 1 jachere ·</w:t>
      </w:r>
      <w:r>
        <w:t xml:space="preserve"> </w:t>
      </w:r>
      <w:r>
        <w:t xml:space="preserve">2 prete a un autre · 3 hypothequee ·</w:t>
      </w:r>
      <w:r>
        <w:t xml:space="preserve"> </w:t>
      </w:r>
      <w:r>
        <w:rPr>
          <w:b/>
        </w:rPr>
        <w:t xml:space="preserve">4 louee a un autre</w:t>
      </w:r>
      <w:r>
        <w:t xml:space="preserve"> </w:t>
      </w:r>
      <w:r>
        <w:t xml:space="preserve">· 5 autre · 9 manquant.</w:t>
      </w:r>
    </w:p>
    <w:p>
      <w:pPr>
        <w:pStyle w:val="Heading3"/>
      </w:pPr>
      <w:bookmarkStart w:id="50" w:name="harmonization-decisions-caveats-niger"/>
      <w:r>
        <w:t xml:space="preserve">6. Harmonization decisions &amp; caveats (Niger)</w:t>
      </w:r>
      <w:bookmarkEnd w:id="50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upstream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. Rented-in (Location), purchased (Achat) and</w:t>
      </w:r>
      <w:r>
        <w:t xml:space="preserve"> </w:t>
      </w:r>
      <w:r>
        <w:t xml:space="preserve">rented-out (louee a un autre) are constructed from the occupation, acquisition and</w:t>
      </w:r>
      <w:r>
        <w:t xml:space="preserve"> </w:t>
      </w:r>
      <w:r>
        <w:t xml:space="preserve">disposition questions.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Rented-in = rental (Location) only</w:t>
      </w:r>
      <w:r>
        <w:t xml:space="preserve"> </w:t>
      </w:r>
      <w:r>
        <w:t xml:space="preserve">- Niger has no sharecropping category, so</w:t>
      </w:r>
      <w:r>
        <w:t xml:space="preserve"> </w:t>
      </w:r>
      <w:r>
        <w:t xml:space="preserve">unlike Ethiopia/Malawi/Mali the rented-in measure excludes sharecropping. Free loan</w:t>
      </w:r>
      <w:r>
        <w:t xml:space="preserve"> </w:t>
      </w:r>
      <w:r>
        <w:t xml:space="preserve">(pret) and pledge (hypotheque) are also excluded as non-market arrangements.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Rented-out UNDERCOUNTS - treat as a lower bound.</w:t>
      </w:r>
      <w:r>
        <w:t xml:space="preserve"> </w:t>
      </w:r>
      <w:r>
        <w:t xml:space="preserve">It is captured only through the</w:t>
      </w:r>
      <w:r>
        <w:t xml:space="preserve"> </w:t>
      </w:r>
      <w:r>
        <w:t xml:space="preserve">“</w:t>
      </w:r>
      <w:r>
        <w:t xml:space="preserve">reason for non-cultivation</w:t>
      </w:r>
      <w:r>
        <w:t xml:space="preserve">”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as01q41==4</w:t>
      </w:r>
      <w:r>
        <w:t xml:space="preserve">), so parcels rented out are largely</w:t>
      </w:r>
      <w:r>
        <w:t xml:space="preserve"> </w:t>
      </w:r>
      <w:r>
        <w:t xml:space="preserve">under-represented in this operated-parcel roster (weighted rate ~0.0% in 2011, ~0.2%</w:t>
      </w:r>
      <w:r>
        <w:t xml:space="preserve"> </w:t>
      </w:r>
      <w:r>
        <w:t xml:space="preserve">in 2014). The code is real (unlike Mali), but the level is not reliable.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Cross-wave comparability - do not read the rented-in change.</w:t>
      </w:r>
      <w:r>
        <w:t xml:space="preserve"> </w:t>
      </w:r>
      <w:r>
        <w:t xml:space="preserve">2011 and 2014 are</w:t>
      </w:r>
      <w:r>
        <w:t xml:space="preserve"> </w:t>
      </w:r>
      <w:r>
        <w:t xml:space="preserve">independent cross-sections with different occupation-mode category schemes and samples;</w:t>
      </w:r>
      <w:r>
        <w:t xml:space="preserve"> </w:t>
      </w:r>
      <w:r>
        <w:t xml:space="preserve">the rented-in rate falls from ~14% (2011) to ~2.4% (2014), a swing too large to be</w:t>
      </w:r>
      <w:r>
        <w:t xml:space="preserve"> </w:t>
      </w:r>
      <w:r>
        <w:t xml:space="preserve">behavioral and not directly comparable across the redesign. Check CI overlap.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= the parcel has any tenure document (</w:t>
      </w:r>
      <w:r>
        <w:rPr>
          <w:rStyle w:val="VerbatimChar"/>
        </w:rPr>
        <w:t xml:space="preserve">title in {1,2,3,4}</w:t>
      </w:r>
      <w:r>
        <w:t xml:space="preserve">);</w:t>
      </w:r>
      <w:r>
        <w:t xml:space="preserve"> </w:t>
      </w:r>
      <w:r>
        <w:t xml:space="preserve">“</w:t>
      </w:r>
      <w:r>
        <w:t xml:space="preserve">aucun</w:t>
      </w:r>
      <w:r>
        <w:t xml:space="preserve"> </w:t>
      </w:r>
      <w:r>
        <w:t xml:space="preserve">document</w:t>
      </w:r>
      <w:r>
        <w:t xml:space="preserve">”</w:t>
      </w:r>
      <w:r>
        <w:t xml:space="preserve"> </w:t>
      </w:r>
      <w:r>
        <w:t xml:space="preserve">(5) = 0,</w:t>
      </w:r>
      <w:r>
        <w:t xml:space="preserve"> </w:t>
      </w:r>
      <w:r>
        <w:t xml:space="preserve">“</w:t>
      </w:r>
      <w:r>
        <w:t xml:space="preserve">manquant</w:t>
      </w:r>
      <w:r>
        <w:t xml:space="preserve">”</w:t>
      </w:r>
      <w:r>
        <w:t xml:space="preserve"> </w:t>
      </w:r>
      <w:r>
        <w:t xml:space="preserve">(9) = missing.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Strata</w:t>
      </w:r>
      <w:r>
        <w:t xml:space="preserve">: 2011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 </w:t>
      </w:r>
      <w:r>
        <w:t xml:space="preserve">in its files, so we</w:t>
      </w:r>
      <w:r>
        <w:t xml:space="preserve"> </w:t>
      </w:r>
      <w:r>
        <w:t xml:space="preserve">use region (</w:t>
      </w:r>
      <w:r>
        <w:rPr>
          <w:rStyle w:val="VerbatimChar"/>
        </w:rPr>
        <w:t xml:space="preserve">MS00Q01</w:t>
      </w:r>
      <w:r>
        <w:t xml:space="preserve">) as a coarser self-contained stratum proxy.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4370d6f7e22f04e7f2986bdcf7fe062ac53545f"/>
      <w:r>
        <w:t xml:space="preserve">NIGERIA — General Household Survey-Panel (GHS)</w:t>
      </w:r>
      <w:bookmarkEnd w:id="51"/>
    </w:p>
    <w:p>
      <w:pPr>
        <w:pStyle w:val="FirstParagraph"/>
      </w:pPr>
      <w:r>
        <w:t xml:space="preserve">Five GHS-Panel waves (2010/11, 2012/13, 2015/16, 2018/19, 2023). Plot id =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 Tenure (acquisition, rented-out, certificate) is in the tenure</w:t>
      </w:r>
      <w:r>
        <w:t xml:space="preserve"> </w:t>
      </w:r>
      <w:r>
        <w:t xml:space="preserve">module; area is in the plot roster - the two are merged on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the plot record. Tenure variable names shift:</w:t>
      </w:r>
      <w:r>
        <w:t xml:space="preserve"> </w:t>
      </w:r>
      <w:r>
        <w:t xml:space="preserve">wave 1 uses</w:t>
      </w:r>
      <w:r>
        <w:t xml:space="preserve"> </w:t>
      </w:r>
      <w:r>
        <w:rPr>
          <w:rStyle w:val="VerbatimChar"/>
        </w:rPr>
        <w:t xml:space="preserve">s11bq*</w:t>
      </w:r>
      <w:r>
        <w:t xml:space="preserve">; waves 2-5 use</w:t>
      </w:r>
      <w:r>
        <w:t xml:space="preserve"> </w:t>
      </w:r>
      <w:r>
        <w:rPr>
          <w:rStyle w:val="VerbatimChar"/>
        </w:rPr>
        <w:t xml:space="preserve">s11b1q*</w:t>
      </w:r>
      <w:r>
        <w:t xml:space="preserve">.</w:t>
      </w:r>
    </w:p>
    <w:p>
      <w:pPr>
        <w:pStyle w:val="Heading3"/>
      </w:pPr>
      <w:bookmarkStart w:id="52" w:name="survey-wave-key-4"/>
      <w:r>
        <w:t xml:space="preserve">1. Survey &amp; wave key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Plot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10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sect11b_plantingw1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12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s11b1q*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23</w:t>
            </w:r>
          </w:p>
        </w:tc>
        <w:tc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sect11a1_plantingw5</w:t>
            </w:r>
          </w:p>
        </w:tc>
      </w:tr>
    </w:tbl>
    <w:p>
      <w:pPr>
        <w:pStyle w:val="Heading3"/>
      </w:pPr>
      <w:bookmarkStart w:id="53" w:name="tenure-indicators-4"/>
      <w:r>
        <w:t xml:space="preserve">2. Tenure indicators</w:t>
      </w:r>
      <w:bookmarkEnd w:id="5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s11bq4==2</w:t>
            </w:r>
            <w:r>
              <w:t xml:space="preserve"> </w:t>
            </w:r>
            <w:r>
              <w:t xml:space="preserve">- rented for cash/in-kind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inlist(s11b1q4,2,6)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s11bq17==2</w:t>
            </w:r>
            <w:r>
              <w:t xml:space="preserve"> </w:t>
            </w:r>
            <w:r>
              <w:t xml:space="preserve">- main use = rented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inlist(s11b1q28,2,3)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inlist(s11b1q44,2,3)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s11b1q7==1</w:t>
            </w:r>
            <w:r>
              <w:t xml:space="preserve"> </w:t>
            </w:r>
            <w:r>
              <w:t xml:space="preserve">(0 if not owned)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s11b1q8==1</w:t>
            </w:r>
            <w:r>
              <w:t xml:space="preserve"> </w:t>
            </w:r>
            <w:r>
              <w:t xml:space="preserve">(0 if not owned)</w:t>
            </w:r>
          </w:p>
        </w:tc>
      </w:tr>
    </w:tbl>
    <w:p>
      <w:pPr>
        <w:pStyle w:val="Heading3"/>
      </w:pPr>
      <w:bookmarkStart w:id="54" w:name="parcel-area-parcel_area_ha-4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54"/>
    </w:p>
    <w:p>
      <w:pPr>
        <w:pStyle w:val="FirstParagraph"/>
      </w:pPr>
      <w:r>
        <w:t xml:space="preserve">GPS where measured (the</w:t>
      </w:r>
      <w:r>
        <w:t xml:space="preserve"> </w:t>
      </w:r>
      <w:r>
        <w:t xml:space="preserve">“</w:t>
      </w:r>
      <w:r>
        <w:t xml:space="preserve">GPS measured in square meters</w:t>
      </w:r>
      <w:r>
        <w:t xml:space="preserve">”</w:t>
      </w:r>
      <w:r>
        <w:t xml:space="preserve"> </w:t>
      </w:r>
      <w:r>
        <w:t xml:space="preserve">variable × 0.0001 → ha), else</w:t>
      </w:r>
      <w:r>
        <w:t xml:space="preserve"> </w:t>
      </w:r>
      <w:r>
        <w:t xml:space="preserve">self-reported. The GPS variable name shifts by wave:</w:t>
      </w:r>
      <w:r>
        <w:t xml:space="preserve"> </w:t>
      </w:r>
      <w:r>
        <w:rPr>
          <w:b/>
        </w:rPr>
        <w:t xml:space="preserve">w1</w:t>
      </w:r>
      <w:r>
        <w:rPr>
          <w:b/>
        </w:rPr>
        <w:t xml:space="preserve"> </w:t>
      </w:r>
      <w:r>
        <w:rPr>
          <w:rStyle w:val="VerbatimChar"/>
          <w:b/>
        </w:rPr>
        <w:t xml:space="preserve">s11aq4d</w:t>
      </w:r>
      <w:r>
        <w:rPr>
          <w:b/>
        </w:rPr>
        <w:t xml:space="preserve">, w2-4</w:t>
      </w:r>
      <w:r>
        <w:rPr>
          <w:b/>
        </w:rPr>
        <w:t xml:space="preserve"> </w:t>
      </w:r>
      <w:r>
        <w:rPr>
          <w:rStyle w:val="VerbatimChar"/>
          <w:b/>
        </w:rPr>
        <w:t xml:space="preserve">s11aq4c</w:t>
      </w:r>
      <w:r>
        <w:rPr>
          <w:b/>
        </w:rPr>
        <w:t xml:space="preserve">,</w:t>
      </w:r>
      <w:r>
        <w:rPr>
          <w:b/>
        </w:rPr>
        <w:t xml:space="preserve"> </w:t>
      </w:r>
      <w:r>
        <w:rPr>
          <w:b/>
        </w:rPr>
        <w:t xml:space="preserve">w5</w:t>
      </w:r>
      <w:r>
        <w:rPr>
          <w:b/>
        </w:rPr>
        <w:t xml:space="preserve"> </w:t>
      </w:r>
      <w:r>
        <w:rPr>
          <w:rStyle w:val="VerbatimChar"/>
          <w:b/>
        </w:rPr>
        <w:t xml:space="preserve">s11mq3</w:t>
      </w:r>
      <w:r>
        <w:t xml:space="preserve"> </w:t>
      </w:r>
      <w:r>
        <w:t xml:space="preserve">(there is no</w:t>
      </w:r>
      <w:r>
        <w:t xml:space="preserve"> 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variable in the raw - the upstream pipeline</w:t>
      </w:r>
      <w:r>
        <w:t xml:space="preserve"> </w:t>
      </w:r>
      <w:r>
        <w:t xml:space="preserve">referenced a nonexistent one, so its GPS was effectively unused). Self-reported is in</w:t>
      </w:r>
      <w:r>
        <w:t xml:space="preserve"> </w:t>
      </w:r>
      <w:r>
        <w:t xml:space="preserve">local units with</w:t>
      </w:r>
      <w:r>
        <w:t xml:space="preserve"> </w:t>
      </w:r>
      <w:r>
        <w:rPr>
          <w:b/>
        </w:rPr>
        <w:t xml:space="preserve">region-specific</w:t>
      </w:r>
      <w:r>
        <w:t xml:space="preserve"> </w:t>
      </w:r>
      <w:r>
        <w:t xml:space="preserve">conversion factors (heaps/ridges/stands × the</w:t>
      </w:r>
      <w:r>
        <w:t xml:space="preserve"> </w:t>
      </w:r>
      <w:r>
        <w:t xml:space="preserve">survey zone</w:t>
      </w:r>
      <w:r>
        <w:t xml:space="preserve"> </w:t>
      </w:r>
      <w:r>
        <w:rPr>
          <w:rStyle w:val="VerbatimChar"/>
        </w:rPr>
        <w:t xml:space="preserve">admin_1</w:t>
      </w:r>
      <w:r>
        <w:t xml:space="preserve"> </w:t>
      </w:r>
      <w:r>
        <w:t xml:space="preserve">1-6; plus acres/m²/plot factors); self-reported number =</w:t>
      </w:r>
      <w:r>
        <w:t xml:space="preserve"> </w:t>
      </w:r>
      <w:r>
        <w:rPr>
          <w:rStyle w:val="VerbatimChar"/>
        </w:rPr>
        <w:t xml:space="preserve">s11aq4a</w:t>
      </w:r>
      <w:r>
        <w:t xml:space="preserve"> </w:t>
      </w:r>
      <w:r>
        <w:t xml:space="preserve">(w1-3) /</w:t>
      </w:r>
      <w:r>
        <w:t xml:space="preserve"> </w:t>
      </w:r>
      <w:r>
        <w:rPr>
          <w:rStyle w:val="VerbatimChar"/>
        </w:rPr>
        <w:t xml:space="preserve">s11aq4aa</w:t>
      </w:r>
      <w:r>
        <w:t xml:space="preserve"> </w:t>
      </w:r>
      <w:r>
        <w:t xml:space="preserve">(w4) /</w:t>
      </w:r>
      <w:r>
        <w:t xml:space="preserve"> </w:t>
      </w:r>
      <w:r>
        <w:rPr>
          <w:rStyle w:val="VerbatimChar"/>
        </w:rPr>
        <w:t xml:space="preserve">s11aq3_number</w:t>
      </w:r>
      <w:r>
        <w:t xml:space="preserve"> </w:t>
      </w:r>
      <w:r>
        <w:t xml:space="preserve">(w5), unit</w:t>
      </w:r>
      <w:r>
        <w:t xml:space="preserve"> </w:t>
      </w:r>
      <w:r>
        <w:rPr>
          <w:rStyle w:val="VerbatimChar"/>
        </w:rPr>
        <w:t xml:space="preserve">s11aq4b</w:t>
      </w:r>
      <w:r>
        <w:t xml:space="preserve"> </w:t>
      </w:r>
      <w:r>
        <w:t xml:space="preserve">(w1-4) /</w:t>
      </w:r>
      <w:r>
        <w:t xml:space="preserve"> </w:t>
      </w:r>
      <w:r>
        <w:rPr>
          <w:rStyle w:val="VerbatimChar"/>
        </w:rPr>
        <w:t xml:space="preserve">s11aq3_unit</w:t>
      </w:r>
      <w:r>
        <w:t xml:space="preserve"> </w:t>
      </w:r>
      <w:r>
        <w:t xml:space="preserve">(w5). The region factors are identical across waves (transcribed from the upstream pipeline).</w:t>
      </w:r>
    </w:p>
    <w:p>
      <w:pPr>
        <w:pStyle w:val="Heading3"/>
      </w:pPr>
      <w:bookmarkStart w:id="55" w:name="design-variables-identifiers-4"/>
      <w:r>
        <w:t xml:space="preserve">4. Design variables &amp; identifiers</w:t>
      </w:r>
      <w:bookmarkEnd w:id="5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cons_agg_waveN_visit1/2.dta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totcons_final.dta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wt_wave4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wt_cross_wave5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lga-ea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tenure /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hhid-plotid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2013 / 2016 / 2019 / 2023</w:t>
            </w:r>
          </w:p>
        </w:tc>
      </w:tr>
    </w:tbl>
    <w:p>
      <w:pPr>
        <w:pStyle w:val="Heading3"/>
      </w:pPr>
      <w:bookmarkStart w:id="56" w:name="Xb4d582268a3ea5115cbf391ae4ab1d6685f948d"/>
      <w:r>
        <w:t xml:space="preserve">5. Value labels of key source variables (verified for GHS10; consistent instrument)</w:t>
      </w:r>
      <w:bookmarkEnd w:id="56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s11bq4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s11b1q4</w:t>
      </w:r>
      <w:r>
        <w:t xml:space="preserve"> </w:t>
      </w:r>
      <w:r>
        <w:t xml:space="preserve">(w2-5),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was [PLOT] acquired?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rPr>
          <w:b/>
        </w:rPr>
        <w:t xml:space="preserve">1 outright purchase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2 rented for cash/in-kind</w:t>
      </w:r>
      <w:r>
        <w:t xml:space="preserve"> </w:t>
      </w:r>
      <w:r>
        <w:t xml:space="preserve">· 3 used free of charge ·</w:t>
      </w:r>
      <w:r>
        <w:t xml:space="preserve"> </w:t>
      </w:r>
      <w:r>
        <w:t xml:space="preserve">4 distributed by community/family · (w3+ add code 5 = other ownership; w5 adds further</w:t>
      </w:r>
      <w:r>
        <w:t xml:space="preserve"> </w:t>
      </w:r>
      <w:r>
        <w:t xml:space="preserve">non-owned codes incl. 6 = another rental arrangement).</w:t>
      </w:r>
    </w:p>
    <w:p>
      <w:pPr>
        <w:pStyle w:val="BodyText"/>
      </w:pPr>
      <w:r>
        <w:rPr>
          <w:b/>
        </w:rPr>
        <w:t xml:space="preserve">Rented-out</w:t>
      </w:r>
      <w:r>
        <w:t xml:space="preserve"> </w:t>
      </w:r>
      <w:r>
        <w:t xml:space="preserve">- w1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): 1 left fallow, 2 rented out.</w:t>
      </w:r>
      <w:r>
        <w:t xml:space="preserve"> </w:t>
      </w:r>
      <w:r>
        <w:t xml:space="preserve">w2-4</w:t>
      </w:r>
      <w:r>
        <w:t xml:space="preserve"> </w:t>
      </w:r>
      <w:r>
        <w:rPr>
          <w:rStyle w:val="VerbatimChar"/>
        </w:rPr>
        <w:t xml:space="preserve">s11b1q28</w:t>
      </w:r>
      <w:r>
        <w:t xml:space="preserve"> </w:t>
      </w:r>
      <w:r>
        <w:t xml:space="preserve">/ w5</w:t>
      </w:r>
      <w:r>
        <w:t xml:space="preserve"> </w:t>
      </w:r>
      <w:r>
        <w:rPr>
          <w:rStyle w:val="VerbatimChar"/>
        </w:rPr>
        <w:t xml:space="preserve">s11b1q44</w:t>
      </w:r>
      <w:r>
        <w:t xml:space="preserve"> </w:t>
      </w:r>
      <w:r>
        <w:t xml:space="preserve">(codes 2,3 = rented/leased out).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s11b1q7</w:t>
      </w:r>
      <w:r>
        <w:t xml:space="preserve"> </w:t>
      </w:r>
      <w:r>
        <w:t xml:space="preserve">(w2-4) /</w:t>
      </w:r>
      <w:r>
        <w:t xml:space="preserve"> </w:t>
      </w:r>
      <w:r>
        <w:rPr>
          <w:rStyle w:val="VerbatimChar"/>
        </w:rPr>
        <w:t xml:space="preserve">s11b1q8</w:t>
      </w:r>
      <w:r>
        <w:t xml:space="preserve"> </w:t>
      </w:r>
      <w:r>
        <w:t xml:space="preserve">(w5): 1 yes, 2 no, 3 = missing.</w:t>
      </w:r>
    </w:p>
    <w:p>
      <w:pPr>
        <w:pStyle w:val="Heading3"/>
      </w:pPr>
      <w:bookmarkStart w:id="57" w:name="harmonization-decisions-caveats-nigeria"/>
      <w:r>
        <w:t xml:space="preserve">6. Harmonization decisions &amp; caveats (Nigeria)</w:t>
      </w:r>
      <w:bookmarkEnd w:id="5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Purchase recovered from the acquisition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*q4==1</w:t>
      </w:r>
      <w:r>
        <w:t xml:space="preserve">, outright purchase) -</w:t>
      </w:r>
      <w:r>
        <w:t xml:space="preserve"> </w:t>
      </w:r>
      <w:r>
        <w:t xml:space="preserve">the upstream pipeline built owned/rented but not purchase. Verified against the GHS10</w:t>
      </w:r>
      <w:r>
        <w:t xml:space="preserve"> </w:t>
      </w:r>
      <w:r>
        <w:t xml:space="preserve">value labels; applied to later waves under the consistent GHS instrument (the owned</w:t>
      </w:r>
      <w:r>
        <w:t xml:space="preserve"> </w:t>
      </w:r>
      <w:r>
        <w:t xml:space="preserve">recode</w:t>
      </w:r>
      <w:r>
        <w:t xml:space="preserve"> </w:t>
      </w:r>
      <w:r>
        <w:rPr>
          <w:rStyle w:val="VerbatimChar"/>
        </w:rPr>
        <w:t xml:space="preserve">{1,4}</w:t>
      </w:r>
      <w:r>
        <w:t xml:space="preserve">/</w:t>
      </w:r>
      <w:r>
        <w:rPr>
          <w:rStyle w:val="VerbatimChar"/>
        </w:rPr>
        <w:t xml:space="preserve">{1,4,5}</w:t>
      </w:r>
      <w:r>
        <w:t xml:space="preserve"> </w:t>
      </w:r>
      <w:r>
        <w:t xml:space="preserve">is consistent with 1 = purchase across waves).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Rented-out likely UNDERCOUNTS in wave 1</w:t>
      </w:r>
      <w:r>
        <w:t xml:space="preserve"> </w:t>
      </w:r>
      <w:r>
        <w:t xml:space="preserve">- it comes from the</w:t>
      </w:r>
      <w:r>
        <w:t xml:space="preserve"> 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 </w:t>
      </w:r>
      <w:r>
        <w:t xml:space="preserve">item, and since most plots are cultivated, only ~0.15% are flagged rented out.</w:t>
      </w:r>
      <w:r>
        <w:t xml:space="preserve"> </w:t>
      </w:r>
      <w:r>
        <w:t xml:space="preserve">Waves 2-5 use a dedicated rented-out item (</w:t>
      </w:r>
      <w:r>
        <w:rPr>
          <w:rStyle w:val="VerbatimChar"/>
        </w:rPr>
        <w:t xml:space="preserve">s11b1q28</w:t>
      </w:r>
      <w:r>
        <w:t xml:space="preserve">/</w:t>
      </w:r>
      <w:r>
        <w:rPr>
          <w:rStyle w:val="VerbatimChar"/>
        </w:rPr>
        <w:t xml:space="preserve">s11b1q44</w:t>
      </w:r>
      <w:r>
        <w:t xml:space="preserve">) that should capture</w:t>
      </w:r>
      <w:r>
        <w:t xml:space="preserve"> </w:t>
      </w:r>
      <w:r>
        <w:t xml:space="preserve">more; treat the wave-1 level as a lower bound and mind cross-wave comparability.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Certificate not asked in wave 1</w:t>
      </w:r>
      <w:r>
        <w:t xml:space="preserve"> </w:t>
      </w:r>
      <w:r>
        <w:t xml:space="preserve">-&gt; missing in 2011 (added from wave 2); coded 0</w:t>
      </w:r>
      <w:r>
        <w:t xml:space="preserve"> </w:t>
      </w:r>
      <w:r>
        <w:t xml:space="preserve">for non-owned parcels in later waves (a certificate applies to owned land).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uses GPS (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× 0.0001) else self-reported with Nigeria’s</w:t>
      </w:r>
      <w:r>
        <w:t xml:space="preserve"> </w:t>
      </w:r>
      <w:r>
        <w:t xml:space="preserve">region-specific local-unit conversions; deterministic (no imputation).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Strata/PSU</w:t>
      </w:r>
      <w:r>
        <w:t xml:space="preserve">:</w:t>
      </w:r>
      <w:r>
        <w:t xml:space="preserve"> </w:t>
      </w:r>
      <w:r>
        <w:rPr>
          <w:rStyle w:val="VerbatimChar"/>
        </w:rPr>
        <w:t xml:space="preserve">strataid = 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ea_id = lga-ea</w:t>
      </w:r>
      <w:r>
        <w:t xml:space="preserve">, taken from each wave’s cover with</w:t>
      </w:r>
      <w:r>
        <w:t xml:space="preserve"> </w:t>
      </w:r>
      <w:r>
        <w:t xml:space="preserve">the GHS10 cover as a panel fallback (the panel covers drop ea/lga for non-refresh HHs).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Most complex country</w:t>
      </w:r>
      <w:r>
        <w:t xml:space="preserve"> </w:t>
      </w:r>
      <w:r>
        <w:t xml:space="preserve">- 5 waves, region-specific area conversions, panel geography.</w:t>
      </w:r>
      <w:r>
        <w:t xml:space="preserve"> </w:t>
      </w:r>
      <w:r>
        <w:t xml:space="preserve">The first Stata run is a shakedown: confirm the area GPS source (</w:t>
      </w:r>
      <w:r>
        <w:rPr>
          <w:rStyle w:val="VerbatimChar"/>
        </w:rPr>
        <w:t xml:space="preserve">plot_area</w:t>
      </w:r>
      <w:r>
        <w:t xml:space="preserve">) and the</w:t>
      </w:r>
      <w:r>
        <w:t xml:space="preserve"> </w:t>
      </w:r>
      <w:r>
        <w:t xml:space="preserve">per-wave cover/weight merges resolve as expected.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tanzania-national-panel-survey-nps"/>
      <w:r>
        <w:t xml:space="preserve">TANZANIA — National Panel Survey (NPS)</w:t>
      </w:r>
      <w:bookmarkEnd w:id="58"/>
    </w:p>
    <w:p>
      <w:pPr>
        <w:pStyle w:val="FirstParagraph"/>
      </w:pPr>
      <w:r>
        <w:t xml:space="preserve">Five NPS waves. Waves</w:t>
      </w:r>
      <w:r>
        <w:t xml:space="preserve"> </w:t>
      </w:r>
      <w:r>
        <w:rPr>
          <w:b/>
        </w:rPr>
        <w:t xml:space="preserve">4 (2014/15) and 5 (2019/20) each split into an EXTENDED (long</w:t>
      </w:r>
      <w:r>
        <w:rPr>
          <w:b/>
        </w:rPr>
        <w:t xml:space="preserve"> </w:t>
      </w:r>
      <w:r>
        <w:rPr>
          <w:b/>
        </w:rPr>
        <w:t xml:space="preserve">panel) and a REFRESH subsample</w:t>
      </w:r>
      <w:r>
        <w:t xml:space="preserve"> </w:t>
      </w:r>
      <w:r>
        <w:t xml:space="preserve">- 7 datasets in all, combined here into waves 4 and 5</w:t>
      </w:r>
      <w:r>
        <w:t xml:space="preserve"> </w:t>
      </w:r>
      <w:r>
        <w:t xml:space="preserve">using each subsample’s own weights. Tenure (acquisition &amp; use) is in the plot-inputs</w:t>
      </w:r>
      <w:r>
        <w:t xml:space="preserve"> </w:t>
      </w:r>
      <w:r>
        <w:t xml:space="preserve">module; area is in the plot roster - merged on</w:t>
      </w:r>
      <w:r>
        <w:t xml:space="preserve"> </w:t>
      </w:r>
      <w:r>
        <w:rPr>
          <w:rStyle w:val="VerbatimChar"/>
        </w:rPr>
        <w:t xml:space="preserve">hhid-plotnum</w:t>
      </w:r>
      <w:r>
        <w:t xml:space="preserve">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= the plot. The household id changes each wave</w:t>
      </w:r>
      <w:r>
        <w:t xml:space="preserve"> </w:t>
      </w:r>
      <w:r>
        <w:t xml:space="preserve">(</w:t>
      </w:r>
      <w:r>
        <w:rPr>
          <w:rStyle w:val="VerbatimChar"/>
        </w:rPr>
        <w:t xml:space="preserve">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y2_hhid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y3_hhid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y4_hhid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sdd_hhid</w:t>
      </w:r>
      <w:r>
        <w:t xml:space="preserve">/</w:t>
      </w:r>
      <w:r>
        <w:rPr>
          <w:rStyle w:val="VerbatimChar"/>
        </w:rPr>
        <w:t xml:space="preserve">y5_hhid</w:t>
      </w:r>
      <w:r>
        <w:t xml:space="preserve">).</w:t>
      </w:r>
    </w:p>
    <w:p>
      <w:pPr>
        <w:pStyle w:val="Heading3"/>
      </w:pPr>
      <w:bookmarkStart w:id="59" w:name="survey-wave-key-5"/>
      <w:r>
        <w:t xml:space="preserve">1. Survey &amp; wave key</w:t>
      </w:r>
      <w:bookmarkEnd w:id="59"/>
    </w:p>
    <w:tbl>
      <w:tblPr>
        <w:tblStyle w:val="Table"/>
        <w:tblW w:type="pct" w:w="5000.0"/>
        <w:tblLook w:firstRow="1"/>
      </w:tblPr>
      <w:tblGrid>
        <w:gridCol w:w="805"/>
        <w:gridCol w:w="2282"/>
        <w:gridCol w:w="1073"/>
        <w:gridCol w:w="2147"/>
        <w:gridCol w:w="16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var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08</w:t>
            </w:r>
          </w:p>
        </w:tc>
        <w:tc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s3aq22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10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ag3a_24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12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NPS 14 - extended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NPS 14 - refresh</w:t>
            </w:r>
          </w:p>
        </w:tc>
        <w:tc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(late)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NPS 19 - extended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sdd_hhid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NPS 19 - 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y5_hhid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(late)</w:t>
            </w:r>
          </w:p>
        </w:tc>
      </w:tr>
    </w:tbl>
    <w:p>
      <w:pPr>
        <w:pStyle w:val="BodyText"/>
      </w:pPr>
      <w:r>
        <w:t xml:space="preserve">Plot roster:</w:t>
      </w:r>
      <w:r>
        <w:t xml:space="preserve"> </w:t>
      </w:r>
      <w:r>
        <w:rPr>
          <w:rStyle w:val="VerbatimChar"/>
        </w:rPr>
        <w:t xml:space="preserve">SEC_2A</w:t>
      </w:r>
      <w:r>
        <w:t xml:space="preserve">/</w:t>
      </w:r>
      <w:r>
        <w:rPr>
          <w:rStyle w:val="VerbatimChar"/>
        </w:rPr>
        <w:t xml:space="preserve">AG_SEC2A</w:t>
      </w:r>
      <w:r>
        <w:t xml:space="preserve">/</w:t>
      </w:r>
      <w:r>
        <w:rPr>
          <w:rStyle w:val="VerbatimChar"/>
        </w:rPr>
        <w:t xml:space="preserve">AG_SEC_2A</w:t>
      </w:r>
      <w:r>
        <w:t xml:space="preserve">/</w:t>
      </w:r>
      <w:r>
        <w:rPr>
          <w:rStyle w:val="VerbatimChar"/>
        </w:rPr>
        <w:t xml:space="preserve">AG_SEC_02</w:t>
      </w:r>
      <w:r>
        <w:t xml:space="preserve">. Weights from the cover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hh_weight</w:t>
      </w:r>
      <w:r>
        <w:t xml:space="preserve">/</w:t>
      </w:r>
      <w:r>
        <w:rPr>
          <w:rStyle w:val="VerbatimChar"/>
        </w:rPr>
        <w:t xml:space="preserve">y2_weight</w:t>
      </w:r>
      <w:r>
        <w:t xml:space="preserve">/</w:t>
      </w:r>
      <w:r>
        <w:rPr>
          <w:rStyle w:val="VerbatimChar"/>
        </w:rPr>
        <w:t xml:space="preserve">y3_weight</w:t>
      </w:r>
      <w:r>
        <w:t xml:space="preserve">/</w:t>
      </w:r>
      <w:r>
        <w:rPr>
          <w:rStyle w:val="VerbatimChar"/>
        </w:rPr>
        <w:t xml:space="preserve">y4_weights</w:t>
      </w:r>
      <w:r>
        <w:t xml:space="preserve">/</w:t>
      </w:r>
      <w:r>
        <w:rPr>
          <w:rStyle w:val="VerbatimChar"/>
        </w:rPr>
        <w:t xml:space="preserve">sdd_weights</w:t>
      </w:r>
      <w:r>
        <w:t xml:space="preserve">/</w:t>
      </w:r>
      <w:r>
        <w:rPr>
          <w:rStyle w:val="VerbatimChar"/>
        </w:rPr>
        <w:t xml:space="preserve">y5_crossweight</w:t>
      </w:r>
      <w:r>
        <w:t xml:space="preserve">).</w:t>
      </w:r>
    </w:p>
    <w:p>
      <w:pPr>
        <w:pStyle w:val="Heading3"/>
      </w:pPr>
      <w:bookmarkStart w:id="60" w:name="tenure-indicators-5"/>
      <w:r>
        <w:t xml:space="preserve">2. Tenure indicators</w:t>
      </w:r>
      <w:bookmarkEnd w:id="60"/>
    </w:p>
    <w:tbl>
      <w:tblPr>
        <w:tblStyle w:val="Table"/>
        <w:tblW w:type="pct" w:w="5000.0"/>
        <w:tblLook w:firstRow="1"/>
      </w:tblPr>
      <w:tblGrid>
        <w:gridCol w:w="1800"/>
        <w:gridCol w:w="540"/>
        <w:gridCol w:w="1440"/>
        <w:gridCol w:w="41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s3aq22</w:t>
            </w:r>
            <w:r>
              <w:t xml:space="preserve">/</w:t>
            </w:r>
            <w:r>
              <w:rPr>
                <w:rStyle w:val="VerbatimChar"/>
              </w:rPr>
              <w:t xml:space="preserve">ag3a_24</w:t>
            </w:r>
            <w:r>
              <w:t xml:space="preserve">/</w:t>
            </w: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inlist(.,3,4)</w:t>
            </w:r>
            <w:r>
              <w:t xml:space="preserve"> </w:t>
            </w:r>
            <w:r>
              <w:t xml:space="preserve">- rented in + shared-rent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inlist(ag3a_25,7,8)</w:t>
            </w:r>
            <w:r>
              <w:t xml:space="preserve"> </w:t>
            </w:r>
            <w:r>
              <w:t xml:space="preserve">- rented in + shared-rent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s3aq3</w:t>
            </w:r>
            <w:r>
              <w:t xml:space="preserve">/</w:t>
            </w:r>
            <w:r>
              <w:rPr>
                <w:rStyle w:val="VerbatimChar"/>
              </w:rPr>
              <w:t xml:space="preserve">ag3a_03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2</w:t>
            </w:r>
            <w:r>
              <w:t xml:space="preserve"> </w:t>
            </w:r>
            <w:r>
              <w:t xml:space="preserve">(plot</w:t>
            </w:r>
            <w:r>
              <w:t xml:space="preserve"> </w:t>
            </w:r>
            <w:r>
              <w:t xml:space="preserve">“</w:t>
            </w:r>
            <w:r>
              <w:t xml:space="preserve">rented out</w:t>
            </w:r>
            <w:r>
              <w:t xml:space="preserve">”</w:t>
            </w:r>
            <w:r>
              <w:t xml:space="preserve"> </w:t>
            </w:r>
            <w:r>
              <w:t xml:space="preserve">in the use question)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 acquisition/purchase category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ag3a_25==5</w:t>
            </w:r>
            <w:r>
              <w:t xml:space="preserve"> </w:t>
            </w:r>
            <w:r>
              <w:t xml:space="preserve">-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</w:t>
            </w:r>
          </w:p>
        </w:tc>
        <w:tc>
          <w:p>
            <w:pPr>
              <w:pStyle w:val="Compact"/>
              <w:jc w:val="left"/>
            </w:pPr>
            <w:r>
              <w:t xml:space="preserve">not in {9,10,11} = has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ag3a_28a</w:t>
            </w:r>
            <w:r>
              <w:t xml:space="preserve">,</w:t>
            </w:r>
            <w:r>
              <w:rPr>
                <w:rStyle w:val="VerbatimChar"/>
              </w:rPr>
              <w:t xml:space="preserve">ag3a_28d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ag3a_28a in {1,2}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ag3a_28d in 1-5</w:t>
            </w:r>
          </w:p>
        </w:tc>
      </w:tr>
    </w:tbl>
    <w:p>
      <w:pPr>
        <w:pStyle w:val="BodyText"/>
      </w:pPr>
      <w:r>
        <w:t xml:space="preserve">(Certificate set to 0 for non-owned parcels.)</w:t>
      </w:r>
    </w:p>
    <w:p>
      <w:pPr>
        <w:pStyle w:val="Heading3"/>
      </w:pPr>
      <w:bookmarkStart w:id="61" w:name="parcel-area-parcel_area_ha-5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61"/>
    </w:p>
    <w:p>
      <w:pPr>
        <w:pStyle w:val="FirstParagraph"/>
      </w:pPr>
      <w:r>
        <w:t xml:space="preserve">GPS where measured, else self-reported (deterministic; both in</w:t>
      </w:r>
      <w:r>
        <w:t xml:space="preserve"> </w:t>
      </w:r>
      <w:r>
        <w:rPr>
          <w:b/>
        </w:rPr>
        <w:t xml:space="preserve">acres × 0.404686 → ha</w:t>
      </w:r>
      <w:r>
        <w:t xml:space="preserve">).</w:t>
      </w:r>
      <w:r>
        <w:t xml:space="preserve"> </w:t>
      </w:r>
      <w:r>
        <w:t xml:space="preserve">Self-reported =</w:t>
      </w:r>
      <w:r>
        <w:t xml:space="preserve"> </w:t>
      </w:r>
      <w:r>
        <w:rPr>
          <w:rStyle w:val="VerbatimChar"/>
        </w:rPr>
        <w:t xml:space="preserve">s2aq4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ag2a_04</w:t>
      </w:r>
      <w:r>
        <w:t xml:space="preserve"> </w:t>
      </w:r>
      <w:r>
        <w:t xml:space="preserve">(w2-5); GPS =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ag2a_09</w:t>
      </w:r>
      <w:r>
        <w:t xml:space="preserve"> </w:t>
      </w:r>
      <w:r>
        <w:t xml:space="preserve">(w2-5).</w:t>
      </w:r>
    </w:p>
    <w:p>
      <w:pPr>
        <w:pStyle w:val="Heading3"/>
      </w:pPr>
      <w:bookmarkStart w:id="62" w:name="design-variables-identifiers-5"/>
      <w:r>
        <w:t xml:space="preserve">4. Design variables &amp; identifiers</w:t>
      </w:r>
      <w:bookmarkEnd w:id="62"/>
    </w:p>
    <w:tbl>
      <w:tblPr>
        <w:tblStyle w:val="Table"/>
        <w:tblW w:type="pct" w:w="5000.0"/>
        <w:tblLook w:firstRow="1"/>
      </w:tblPr>
      <w:tblGrid>
        <w:gridCol w:w="1920"/>
        <w:gridCol w:w="720"/>
        <w:gridCol w:w="960"/>
        <w:gridCol w:w="4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 (</w:t>
            </w:r>
            <w:r>
              <w:rPr>
                <w:rStyle w:val="VerbatimChar"/>
              </w:rPr>
              <w:t xml:space="preserve">HH_SEC_A</w:t>
            </w:r>
            <w:r>
              <w:t xml:space="preserve">/</w:t>
            </w:r>
            <w:r>
              <w:rPr>
                <w:rStyle w:val="VerbatimChar"/>
              </w:rPr>
              <w:t xml:space="preserve">SEC_A_T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wave-specific weight; extended &amp; refresh use their own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  <w:r>
              <w:t xml:space="preserve"> </w:t>
            </w:r>
            <w:r>
              <w:t xml:space="preserve">(direct)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t xml:space="preserve">cluster/admin vars (region-district-ward-ea), else household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tenure/roster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hhid-plotnum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2009 / 2011 / 2013 / 2015 / 2019</w:t>
            </w:r>
          </w:p>
        </w:tc>
      </w:tr>
    </w:tbl>
    <w:p>
      <w:pPr>
        <w:pStyle w:val="Heading3"/>
      </w:pPr>
      <w:bookmarkStart w:id="63" w:name="X8b517451fc0444510e3f71dace152c3da4f1fbf"/>
      <w:r>
        <w:t xml:space="preserve">5. Value labels of key source variables (verified)</w:t>
      </w:r>
      <w:bookmarkEnd w:id="63"/>
    </w:p>
    <w:p>
      <w:pPr>
        <w:pStyle w:val="FirstParagraph"/>
      </w:pPr>
      <w:r>
        <w:rPr>
          <w:b/>
        </w:rPr>
        <w:t xml:space="preserve">EARLY ownership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s3aq22</w:t>
      </w:r>
      <w:r>
        <w:t xml:space="preserve">/</w:t>
      </w:r>
      <w:r>
        <w:rPr>
          <w:rStyle w:val="VerbatimChar"/>
        </w:rPr>
        <w:t xml:space="preserve">ag3a_24</w:t>
      </w:r>
      <w:r>
        <w:t xml:space="preserve">/</w:t>
      </w:r>
      <w:r>
        <w:rPr>
          <w:rStyle w:val="VerbatimChar"/>
        </w:rPr>
        <w:t xml:space="preserve">ag3a_25</w:t>
      </w:r>
      <w:r>
        <w:t xml:space="preserve"> </w:t>
      </w:r>
      <w:r>
        <w:t xml:space="preserve">(w1-3): 1 owned · 2 used free ·</w:t>
      </w:r>
      <w:r>
        <w:t xml:space="preserve"> </w:t>
      </w:r>
      <w:r>
        <w:rPr>
          <w:b/>
        </w:rPr>
        <w:t xml:space="preserve">3 rented in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4 shared rent</w:t>
      </w:r>
      <w:r>
        <w:t xml:space="preserve"> </w:t>
      </w:r>
      <w:r>
        <w:t xml:space="preserve">· 5 shared ownership.</w:t>
      </w:r>
      <w:r>
        <w:t xml:space="preserve"> </w:t>
      </w:r>
      <w:r>
        <w:rPr>
          <w:i/>
        </w:rPr>
        <w:t xml:space="preserve">(No purchase category.)</w:t>
      </w:r>
    </w:p>
    <w:p>
      <w:pPr>
        <w:pStyle w:val="BodyText"/>
      </w:pPr>
      <w:r>
        <w:rPr>
          <w:b/>
        </w:rPr>
        <w:t xml:space="preserve">LATE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How was this plot acquired?</w:t>
      </w:r>
      <w:r>
        <w:rPr>
          <w:b/>
        </w:rP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ag3a_25</w:t>
      </w:r>
      <w:r>
        <w:t xml:space="preserve"> </w:t>
      </w:r>
      <w:r>
        <w:t xml:space="preserve">(w4-5): 1 inheritance · 2 gift ·</w:t>
      </w:r>
      <w:r>
        <w:t xml:space="preserve"> </w:t>
      </w:r>
      <w:r>
        <w:t xml:space="preserve">3 borrowing · 4 village allocation ·</w:t>
      </w:r>
      <w:r>
        <w:t xml:space="preserve"> </w:t>
      </w:r>
      <w:r>
        <w:rPr>
          <w:b/>
        </w:rPr>
        <w:t xml:space="preserve">5 PURCHASED</w:t>
      </w:r>
      <w:r>
        <w:t xml:space="preserve"> </w:t>
      </w:r>
      <w:r>
        <w:t xml:space="preserve">· 6 used free ·</w:t>
      </w:r>
      <w:r>
        <w:t xml:space="preserve"> </w:t>
      </w:r>
      <w:r>
        <w:rPr>
          <w:b/>
        </w:rPr>
        <w:t xml:space="preserve">7 rented in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8 shared-rent</w:t>
      </w:r>
      <w:r>
        <w:t xml:space="preserve"> </w:t>
      </w:r>
      <w:r>
        <w:t xml:space="preserve">· 9 shared-own · 10 squatting · 11 other.</w:t>
      </w:r>
    </w:p>
    <w:p>
      <w:pPr>
        <w:pStyle w:val="BodyText"/>
      </w:pPr>
      <w:r>
        <w:rPr>
          <w:b/>
        </w:rPr>
        <w:t xml:space="preserve">Use of plot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s3aq3</w:t>
      </w:r>
      <w:r>
        <w:t xml:space="preserve">/</w:t>
      </w:r>
      <w:r>
        <w:rPr>
          <w:rStyle w:val="VerbatimChar"/>
        </w:rPr>
        <w:t xml:space="preserve">ag3a_03</w:t>
      </w:r>
      <w:r>
        <w:t xml:space="preserve">: 1 cultivated ·</w:t>
      </w:r>
      <w:r>
        <w:t xml:space="preserve"> </w:t>
      </w:r>
      <w:r>
        <w:rPr>
          <w:b/>
        </w:rPr>
        <w:t xml:space="preserve">2 rented out</w:t>
      </w:r>
      <w:r>
        <w:t xml:space="preserve"> </w:t>
      </w:r>
      <w:r>
        <w:t xml:space="preserve">· 3 given out ·</w:t>
      </w:r>
      <w:r>
        <w:t xml:space="preserve"> </w:t>
      </w:r>
      <w:r>
        <w:t xml:space="preserve">4 fallow · 5 forest · 6 other.</w:t>
      </w:r>
    </w:p>
    <w:p>
      <w:pPr>
        <w:pStyle w:val="Heading3"/>
      </w:pPr>
      <w:bookmarkStart w:id="64" w:name="harmonization-decisions-caveats-tanzania"/>
      <w:r>
        <w:t xml:space="preserve">6. Harmonization decisions &amp; caveats (Tanzania)</w:t>
      </w:r>
      <w:bookmarkEnd w:id="64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Purchase only measurable from 2015.</w:t>
      </w:r>
      <w:r>
        <w:t xml:space="preserve"> </w:t>
      </w:r>
      <w:r>
        <w:t xml:space="preserve">NPS1-3 ask</w:t>
      </w:r>
      <w:r>
        <w:t xml:space="preserve"> </w:t>
      </w:r>
      <w:r>
        <w:t xml:space="preserve">“</w:t>
      </w:r>
      <w:r>
        <w:t xml:space="preserve">ownership status</w:t>
      </w:r>
      <w:r>
        <w:t xml:space="preserve">”</w:t>
      </w:r>
      <w:r>
        <w:t xml:space="preserve"> </w:t>
      </w:r>
      <w:r>
        <w:t xml:space="preserve">(owned/free/</w:t>
      </w:r>
      <w:r>
        <w:t xml:space="preserve"> </w:t>
      </w:r>
      <w:r>
        <w:t xml:space="preserve">rented/shared) with no acquisition mode,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is missing in</w:t>
      </w:r>
      <w:r>
        <w:t xml:space="preserve"> </w:t>
      </w:r>
      <w:r>
        <w:t xml:space="preserve">2009/2011/2013. From NPS4 the question becomes</w:t>
      </w:r>
      <w:r>
        <w:t xml:space="preserve"> </w:t>
      </w:r>
      <w:r>
        <w:t xml:space="preserve">“</w:t>
      </w:r>
      <w:r>
        <w:t xml:space="preserve">how was this plot acquired?</w:t>
      </w:r>
      <w:r>
        <w:t xml:space="preserve">”</w:t>
      </w:r>
      <w:r>
        <w:t xml:space="preserve"> </w:t>
      </w:r>
      <w:r>
        <w:t xml:space="preserve">with a</w:t>
      </w:r>
      <w:r>
        <w:t xml:space="preserve"> </w:t>
      </w:r>
      <w:r>
        <w:t xml:space="preserve">PURCHASED code (5). The 2015 level is high (~25% in the extended panel) - a</w:t>
      </w:r>
      <w:r>
        <w:t xml:space="preserve"> </w:t>
      </w:r>
      <w:r>
        <w:rPr>
          <w:i/>
        </w:rPr>
        <w:t xml:space="preserve">stock</w:t>
      </w:r>
      <w:r>
        <w:t xml:space="preserve"> </w:t>
      </w:r>
      <w:r>
        <w:t xml:space="preserve">(</w:t>
      </w:r>
      <w:r>
        <w:t xml:space="preserve">“</w:t>
      </w:r>
      <w:r>
        <w:t xml:space="preserve">ever acquired by purchase</w:t>
      </w:r>
      <w:r>
        <w:t xml:space="preserve">”</w:t>
      </w:r>
      <w:r>
        <w:t xml:space="preserve">); scrutinize and mind the level break from the redesign.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Rented-in includes sharecropping</w:t>
      </w:r>
      <w:r>
        <w:t xml:space="preserve"> </w:t>
      </w:r>
      <w:r>
        <w:t xml:space="preserve">(shared-rent: code 4 early / 8 late) alongside</w:t>
      </w:r>
      <w:r>
        <w:t xml:space="preserve"> </w:t>
      </w:r>
      <w:r>
        <w:t xml:space="preserve">cash rental (3 / 7); the upstream pipeline used pure rental only. Shared-OWN (5 / 9)</w:t>
      </w:r>
      <w:r>
        <w:t xml:space="preserve"> </w:t>
      </w:r>
      <w:r>
        <w:t xml:space="preserve">is treated as owned, not rented.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Waves 4 and 5 pool an extended panel and a refresh sample</w:t>
      </w:r>
      <w:r>
        <w:t xml:space="preserve">, each weighted by its</w:t>
      </w:r>
      <w:r>
        <w:t xml:space="preserve"> </w:t>
      </w:r>
      <w:r>
        <w:t xml:space="preserve">own design weight; together they represent the wave’s population.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Rented-out is well-measured</w:t>
      </w:r>
      <w:r>
        <w:t xml:space="preserve"> </w:t>
      </w:r>
      <w:r>
        <w:t xml:space="preserve">(the roster lists plots owned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cultivated, and the</w:t>
      </w:r>
      <w:r>
        <w:t xml:space="preserve"> </w:t>
      </w:r>
      <w:r>
        <w:t xml:space="preserve">“</w:t>
      </w:r>
      <w:r>
        <w:t xml:space="preserve">use</w:t>
      </w:r>
      <w:r>
        <w:t xml:space="preserve">”</w:t>
      </w:r>
      <w:r>
        <w:t xml:space="preserve"> </w:t>
      </w:r>
      <w:r>
        <w:t xml:space="preserve">question flags rented-out) - unlike Mali/Niger.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ea_id</w:t>
      </w:r>
      <w:r>
        <w:t xml:space="preserve"> </w:t>
      </w:r>
      <w:r>
        <w:t xml:space="preserve">is built from the cover’s cluster/admin variables where present, else the</w:t>
      </w:r>
      <w:r>
        <w:t xml:space="preserve"> </w:t>
      </w:r>
      <w:r>
        <w:t xml:space="preserve">household id (a conservative PSU);</w:t>
      </w:r>
      <w:r>
        <w:t xml:space="preserve"> </w:t>
      </w:r>
      <w:r>
        <w:rPr>
          <w:rStyle w:val="VerbatimChar"/>
        </w:rPr>
        <w:t xml:space="preserve">strataid</w:t>
      </w:r>
      <w:r>
        <w:t xml:space="preserve"> </w:t>
      </w:r>
      <w:r>
        <w:t xml:space="preserve">comes directly from the cover.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5" w:name="uganda-national-panel-survey-unps"/>
      <w:r>
        <w:t xml:space="preserve">UGANDA — National Panel Survey (UNPS)</w:t>
      </w:r>
      <w:bookmarkEnd w:id="65"/>
    </w:p>
    <w:p>
      <w:pPr>
        <w:pStyle w:val="FirstParagraph"/>
      </w:pPr>
      <w:r>
        <w:t xml:space="preserve">Seven UNPS rounds (2009/10, 2010/11, 2011/12, 2013/14, 2015/16, 2018/19, 2019/20;</w:t>
      </w:r>
      <w:r>
        <w:t xml:space="preserve"> </w:t>
      </w:r>
      <w:r>
        <w:t xml:space="preserve">internal waves 1-5, 7, 8). The land roster is split into</w:t>
      </w:r>
      <w:r>
        <w:t xml:space="preserve"> </w:t>
      </w:r>
      <w:r>
        <w:rPr>
          <w:b/>
        </w:rPr>
        <w:t xml:space="preserve">two modules per 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AGSEC2A</w:t>
      </w:r>
      <w:r>
        <w:t xml:space="preserve"> </w:t>
      </w:r>
      <w:r>
        <w:t xml:space="preserve">= parcels the household</w:t>
      </w:r>
      <w:r>
        <w:t xml:space="preserve"> </w:t>
      </w:r>
      <w:r>
        <w:rPr>
          <w:b/>
        </w:rPr>
        <w:t xml:space="preserve">owns / holds use-rights to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AGSEC2B</w:t>
      </w:r>
      <w:r>
        <w:t xml:space="preserve"> </w:t>
      </w:r>
      <w:r>
        <w:t xml:space="preserve">=</w:t>
      </w:r>
      <w:r>
        <w:t xml:space="preserve"> </w:t>
      </w:r>
      <w:r>
        <w:t xml:space="preserve">parcels</w:t>
      </w:r>
      <w:r>
        <w:t xml:space="preserve"> </w:t>
      </w:r>
      <w:r>
        <w:rPr>
          <w:b/>
        </w:rPr>
        <w:t xml:space="preserve">accessed for use but not owned</w:t>
      </w:r>
      <w:r>
        <w:t xml:space="preserve"> </w:t>
      </w:r>
      <w:r>
        <w:t xml:space="preserve">(rented or borrowed in). These are disjoint</w:t>
      </w:r>
      <w:r>
        <w:t xml:space="preserve"> </w:t>
      </w:r>
      <w:r>
        <w:t xml:space="preserve">parcel sets, so the extractor</w:t>
      </w:r>
      <w:r>
        <w:t xml:space="preserve"> </w:t>
      </w:r>
      <w:r>
        <w:rPr>
          <w:b/>
        </w:rPr>
        <w:t xml:space="preserve">stacks</w:t>
      </w:r>
      <w:r>
        <w:t xml:space="preserve"> </w:t>
      </w:r>
      <w:r>
        <w:t xml:space="preserve">them (origin tagged in</w:t>
      </w:r>
      <w:r>
        <w:t xml:space="preserve"> </w:t>
      </w:r>
      <w:r>
        <w:rPr>
          <w:rStyle w:val="VerbatimChar"/>
        </w:rPr>
        <w:t xml:space="preserve">parcel_id</w:t>
      </w:r>
      <w:r>
        <w:t xml:space="preserve">:</w:t>
      </w:r>
      <w:r>
        <w:t xml:space="preserve"> </w:t>
      </w:r>
      <w:r>
        <w:rPr>
          <w:rStyle w:val="VerbatimChar"/>
        </w:rPr>
        <w:t xml:space="preserve">-A-</w:t>
      </w:r>
      <w:r>
        <w:t xml:space="preserve"> </w:t>
      </w:r>
      <w:r>
        <w:t xml:space="preserve">owned,</w:t>
      </w:r>
      <w:r>
        <w:t xml:space="preserve"> </w:t>
      </w:r>
      <w:r>
        <w:rPr>
          <w:rStyle w:val="VerbatimChar"/>
        </w:rPr>
        <w:t xml:space="preserve">-B-</w:t>
      </w:r>
      <w:r>
        <w:t xml:space="preserve"> </w:t>
      </w:r>
      <w:r>
        <w:t xml:space="preserve">accessed) rather than merging them on the parcel number.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= a parcel record from 2A or 2B. Variable NAMES drift across</w:t>
      </w:r>
      <w:r>
        <w:t xml:space="preserve"> </w:t>
      </w:r>
      <w:r>
        <w:t xml:space="preserve">rounds (</w:t>
      </w:r>
      <w:r>
        <w:rPr>
          <w:rStyle w:val="VerbatimChar"/>
        </w:rPr>
        <w:t xml:space="preserve">a2aq*</w:t>
      </w:r>
      <w:r>
        <w:t xml:space="preserve">/</w:t>
      </w:r>
      <w:r>
        <w:rPr>
          <w:rStyle w:val="VerbatimChar"/>
        </w:rPr>
        <w:t xml:space="preserve">A2aq*</w:t>
      </w:r>
      <w:r>
        <w:t xml:space="preserve">/</w:t>
      </w:r>
      <w:r>
        <w:rPr>
          <w:rStyle w:val="VerbatimChar"/>
        </w:rPr>
        <w:t xml:space="preserve">s2aq*</w:t>
      </w:r>
      <w:r>
        <w:t xml:space="preserve">) - notably the</w:t>
      </w:r>
      <w:r>
        <w:t xml:space="preserve"> </w:t>
      </w:r>
      <w:r>
        <w:rPr>
          <w:b/>
        </w:rPr>
        <w:t xml:space="preserve">certificate</w:t>
      </w:r>
      <w:r>
        <w:t xml:space="preserve"> </w:t>
      </w:r>
      <w:r>
        <w:t xml:space="preserve">item moves</w:t>
      </w:r>
      <w:r>
        <w:t xml:space="preserve"> </w:t>
      </w:r>
      <w:r>
        <w:rPr>
          <w:rStyle w:val="VerbatimChar"/>
        </w:rPr>
        <w:t xml:space="preserve">A2aq25</w:t>
      </w:r>
      <w:r>
        <w:t xml:space="preserve"> </w:t>
      </w:r>
      <w:r>
        <w:t xml:space="preserve">(2009/10) →</w:t>
      </w:r>
      <w:r>
        <w:t xml:space="preserve"> </w:t>
      </w:r>
      <w:r>
        <w:rPr>
          <w:rStyle w:val="VerbatimChar"/>
        </w:rPr>
        <w:t xml:space="preserve">a2aq23</w:t>
      </w:r>
      <w:r>
        <w:t xml:space="preserve"> </w:t>
      </w:r>
      <w:r>
        <w:t xml:space="preserve">(2011-2015) →</w:t>
      </w:r>
      <w:r>
        <w:t xml:space="preserve"> </w:t>
      </w:r>
      <w:r>
        <w:rPr>
          <w:rStyle w:val="VerbatimChar"/>
        </w:rPr>
        <w:t xml:space="preserve">s2aq23</w:t>
      </w:r>
      <w:r>
        <w:t xml:space="preserve"> </w:t>
      </w:r>
      <w:r>
        <w:t xml:space="preserve">(2018/19). The household key</w:t>
      </w:r>
      <w:r>
        <w:t xml:space="preserve"> </w:t>
      </w:r>
      <w:r>
        <w:t xml:space="preserve">also changes (</w:t>
      </w:r>
      <w:r>
        <w:rPr>
          <w:rStyle w:val="VerbatimChar"/>
        </w:rPr>
        <w:t xml:space="preserve">Hhid</w:t>
      </w:r>
      <w:r>
        <w:t xml:space="preserve">/</w:t>
      </w:r>
      <w:r>
        <w:rPr>
          <w:rStyle w:val="VerbatimChar"/>
        </w:rPr>
        <w:t xml:space="preserve">HHID</w:t>
      </w:r>
      <w:r>
        <w:t xml:space="preserve"> </w:t>
      </w:r>
      <w:r>
        <w:t xml:space="preserve">numeric →</w:t>
      </w:r>
      <w:r>
        <w:t xml:space="preserve"> </w:t>
      </w:r>
      <w:r>
        <w:rPr>
          <w:rStyle w:val="VerbatimChar"/>
        </w:rPr>
        <w:t xml:space="preserve">hh</w:t>
      </w:r>
      <w:r>
        <w:t xml:space="preserve">/</w:t>
      </w:r>
      <w:r>
        <w:rPr>
          <w:rStyle w:val="VerbatimChar"/>
        </w:rPr>
        <w:t xml:space="preserve">hhid</w:t>
      </w:r>
      <w:r>
        <w:t xml:space="preserve"> </w:t>
      </w:r>
      <w:r>
        <w:t xml:space="preserve">string → 32-char interview GUID).</w:t>
      </w:r>
    </w:p>
    <w:p>
      <w:pPr>
        <w:pStyle w:val="BlockText"/>
      </w:pPr>
      <w:r>
        <w:rPr>
          <w:b/>
        </w:rPr>
        <w:t xml:space="preserve">Season note.</w:t>
      </w:r>
      <w:r>
        <w:t xml:space="preserve"> </w:t>
      </w:r>
      <w:r>
        <w:t xml:space="preserve">The parcel roster (tenure, certificate, purchase, area) is</w:t>
      </w:r>
      <w:r>
        <w:t xml:space="preserve"> </w:t>
      </w:r>
      <w:r>
        <w:rPr>
          <w:b/>
        </w:rPr>
        <w:t xml:space="preserve">annual</w:t>
      </w:r>
      <w:r>
        <w:t xml:space="preserve"> </w:t>
      </w:r>
      <w:r>
        <w:t xml:space="preserve">and identical across the two cropping seasons;</w:t>
      </w:r>
      <w:r>
        <w:t xml:space="preserve"> </w:t>
      </w:r>
      <w:r>
        <w:rPr>
          <w:b/>
        </w:rPr>
        <w:t xml:space="preserve">only</w:t>
      </w:r>
      <w:r>
        <w:rPr>
          <w:b/>
        </w:rPr>
        <w:t xml:space="preserve"> </w:t>
      </w:r>
      <w:r>
        <w:rPr>
          <w:rStyle w:val="VerbatimChar"/>
          <w:b/>
        </w:rPr>
        <w:t xml:space="preserve">parcel_rentedout</w:t>
      </w:r>
      <w:r>
        <w:rPr>
          <w:b/>
        </w:rPr>
        <w:t xml:space="preserve"> </w:t>
      </w:r>
      <w:r>
        <w:rPr>
          <w:b/>
        </w:rPr>
        <w:t xml:space="preserve">is</w:t>
      </w:r>
      <w:r>
        <w:rPr>
          <w:b/>
        </w:rPr>
        <w:t xml:space="preserve"> </w:t>
      </w:r>
      <w:r>
        <w:rPr>
          <w:b/>
        </w:rPr>
        <w:t xml:space="preserve">season-specific</w:t>
      </w:r>
      <w:r>
        <w:t xml:space="preserve"> </w:t>
      </w:r>
      <w:r>
        <w:t xml:space="preserve">(read from the per-season</w:t>
      </w:r>
      <w:r>
        <w:t xml:space="preserve"> </w:t>
      </w:r>
      <w:r>
        <w:t xml:space="preserve">“</w:t>
      </w:r>
      <w:r>
        <w:t xml:space="preserve">primary use of parcel</w:t>
      </w:r>
      <w:r>
        <w:t xml:space="preserve">”</w:t>
      </w:r>
      <w:r>
        <w:t xml:space="preserve"> </w:t>
      </w:r>
      <w:r>
        <w:t xml:space="preserve">item, code 3). The</w:t>
      </w:r>
      <w:r>
        <w:t xml:space="preserve"> </w:t>
      </w:r>
      <w:r>
        <w:t xml:space="preserve">extractor writes one row per parcel</w:t>
      </w:r>
      <w:r>
        <w:t xml:space="preserve"> </w:t>
      </w:r>
      <w:r>
        <w:rPr>
          <w:b/>
        </w:rPr>
        <w:t xml:space="preserve">× season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= 1, 2) differing only in</w:t>
      </w:r>
      <w:r>
        <w:t xml:space="preserve"> </w:t>
      </w:r>
      <w:r>
        <w:rPr>
          <w:rStyle w:val="VerbatimChar"/>
        </w:rPr>
        <w:t xml:space="preserve">parcel_rentedout</w:t>
      </w:r>
      <w:r>
        <w:t xml:space="preserve">, and</w:t>
      </w:r>
      <w:r>
        <w:t xml:space="preserve"> </w:t>
      </w:r>
      <w:r>
        <w:rPr>
          <w:b/>
        </w:rPr>
        <w:t xml:space="preserve">the paper reports season 1</w:t>
      </w:r>
      <w:r>
        <w:t xml:space="preserve">.</w:t>
      </w:r>
      <w:r>
        <w:t xml:space="preserve"> </w:t>
      </w:r>
      <w:r>
        <w:rPr>
          <w:i/>
        </w:rPr>
        <w:t xml:space="preserve">The season order is SWAPPED in</w:t>
      </w:r>
      <w:r>
        <w:rPr>
          <w:i/>
        </w:rPr>
        <w:t xml:space="preserve"> </w:t>
      </w:r>
      <w:r>
        <w:rPr>
          <w:i/>
        </w:rPr>
        <w:t xml:space="preserve">2015, 2018 and 2019:</w:t>
      </w:r>
      <w:r>
        <w:t xml:space="preserve"> </w:t>
      </w:r>
      <w:r>
        <w:t xml:space="preserve">there the</w:t>
      </w:r>
      <w:r>
        <w:t xml:space="preserve"> </w:t>
      </w:r>
      <w:r>
        <w:t xml:space="preserve">“</w:t>
      </w:r>
      <w:r>
        <w:t xml:space="preserve">…b</w:t>
      </w:r>
      <w:r>
        <w:t xml:space="preserve">”</w:t>
      </w:r>
      <w:r>
        <w:t xml:space="preserve"> </w:t>
      </w:r>
      <w:r>
        <w:t xml:space="preserve">primary-use variable is the 1st season and</w:t>
      </w:r>
      <w:r>
        <w:t xml:space="preserve"> </w:t>
      </w:r>
      <w:r>
        <w:t xml:space="preserve">“</w:t>
      </w:r>
      <w:r>
        <w:t xml:space="preserve">…a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2nd (handled per wave).</w:t>
      </w:r>
    </w:p>
    <w:p>
      <w:pPr>
        <w:pStyle w:val="Heading3"/>
      </w:pPr>
      <w:bookmarkStart w:id="66" w:name="survey-wave-key-6"/>
      <w:r>
        <w:t xml:space="preserve">1. Survey &amp; wave key</w:t>
      </w:r>
      <w:bookmarkEnd w:id="6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key (roster ↔ cover)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Cross-sec weight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09</w:t>
            </w:r>
          </w:p>
        </w:tc>
        <w:tc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10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11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13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(string)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wgt_X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15</w:t>
            </w:r>
          </w:p>
        </w:tc>
        <w:tc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h_xwgt_W5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18</w:t>
            </w:r>
          </w:p>
        </w:tc>
        <w:tc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(GUID)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19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(GUID)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</w:t>
            </w:r>
          </w:p>
        </w:tc>
      </w:tr>
    </w:tbl>
    <w:p>
      <w:pPr>
        <w:pStyle w:val="BodyText"/>
      </w:pPr>
      <w:r>
        <w:t xml:space="preserve">Land roster:</w:t>
      </w:r>
      <w:r>
        <w:t xml:space="preserve"> </w:t>
      </w:r>
      <w:r>
        <w:rPr>
          <w:rStyle w:val="VerbatimChar"/>
        </w:rPr>
        <w:t xml:space="preserve">AGSEC2A</w:t>
      </w:r>
      <w:r>
        <w:t xml:space="preserve"> </w:t>
      </w:r>
      <w:r>
        <w:t xml:space="preserve">(owned) +</w:t>
      </w:r>
      <w:r>
        <w:t xml:space="preserve"> </w:t>
      </w:r>
      <w:r>
        <w:rPr>
          <w:rStyle w:val="VerbatimChar"/>
        </w:rPr>
        <w:t xml:space="preserve">AGSEC2B</w:t>
      </w:r>
      <w:r>
        <w:t xml:space="preserve"> </w:t>
      </w:r>
      <w:r>
        <w:t xml:space="preserve">(accessed). Cover:</w:t>
      </w:r>
      <w:r>
        <w:t xml:space="preserve"> </w:t>
      </w:r>
      <w:r>
        <w:rPr>
          <w:rStyle w:val="VerbatimChar"/>
        </w:rPr>
        <w:t xml:space="preserve">GSEC1</w:t>
      </w:r>
      <w:r>
        <w:t xml:space="preserve">. Household keys and</w:t>
      </w:r>
      <w:r>
        <w:t xml:space="preserve"> </w:t>
      </w:r>
      <w:r>
        <w:t xml:space="preserve">their types were verified against the raw files (roster numeric ids are matched to the</w:t>
      </w:r>
      <w:r>
        <w:t xml:space="preserve"> </w:t>
      </w:r>
      <w:r>
        <w:t xml:space="preserve">string cover ids via</w:t>
      </w:r>
      <w:r>
        <w:t xml:space="preserve"> </w:t>
      </w:r>
      <w:r>
        <w:rPr>
          <w:rStyle w:val="VerbatimChar"/>
        </w:rPr>
        <w:t xml:space="preserve">tostring … , format("%17.0f")</w:t>
      </w:r>
      <w:r>
        <w:t xml:space="preserve">, as in the upstream pipeline).</w:t>
      </w:r>
    </w:p>
    <w:p>
      <w:pPr>
        <w:pStyle w:val="Heading3"/>
      </w:pPr>
      <w:bookmarkStart w:id="67" w:name="tenure-indicators-6"/>
      <w:r>
        <w:t xml:space="preserve">2. Tenure indicators</w:t>
      </w:r>
      <w:bookmarkEnd w:id="67"/>
    </w:p>
    <w:tbl>
      <w:tblPr>
        <w:tblStyle w:val="Table"/>
        <w:tblW w:type="pct" w:w="5000.0"/>
        <w:tblLook w:firstRow="1"/>
      </w:tblPr>
      <w:tblGrid>
        <w:gridCol w:w="1342"/>
        <w:gridCol w:w="1073"/>
        <w:gridCol w:w="3624"/>
        <w:gridCol w:w="187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 (across waves)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p>
            <w:pPr>
              <w:pStyle w:val="Compact"/>
              <w:jc w:val="left"/>
            </w:pPr>
            <w:r>
              <w:t xml:space="preserve">rent paid</w:t>
            </w:r>
            <w:r>
              <w:t xml:space="preserve"> </w:t>
            </w:r>
            <w:r>
              <w:rPr>
                <w:rStyle w:val="VerbatimChar"/>
              </w:rPr>
              <w:t xml:space="preserve">A2bq9</w:t>
            </w:r>
            <w:r>
              <w:t xml:space="preserve">/</w:t>
            </w:r>
            <w:r>
              <w:rPr>
                <w:rStyle w:val="VerbatimChar"/>
              </w:rPr>
              <w:t xml:space="preserve">a2bq9</w:t>
            </w:r>
            <w:r>
              <w:t xml:space="preserve">/</w:t>
            </w:r>
            <w:r>
              <w:rPr>
                <w:rStyle w:val="VerbatimChar"/>
              </w:rPr>
              <w:t xml:space="preserve">a2bq09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0</w:t>
            </w:r>
            <w:r>
              <w:t xml:space="preserve"> </w:t>
            </w:r>
            <w:r>
              <w:t xml:space="preserve">(accessed parcel paid for)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p>
            <w:pPr>
              <w:pStyle w:val="Compact"/>
              <w:jc w:val="left"/>
            </w:pPr>
            <w:r>
              <w:t xml:space="preserve">acquisition</w:t>
            </w:r>
            <w:r>
              <w:t xml:space="preserve"> 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s2aq8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3</w:t>
            </w:r>
            <w:r>
              <w:t xml:space="preserve"> </w:t>
            </w:r>
            <w:r>
              <w:t xml:space="preserve">(Leased-in)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2A/2B</w:t>
            </w:r>
          </w:p>
        </w:tc>
        <w:tc>
          <w:p>
            <w:pPr>
              <w:pStyle w:val="Compact"/>
              <w:jc w:val="left"/>
            </w:pPr>
            <w:r>
              <w:t xml:space="preserve">per-season primary use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3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Rented-out</w:t>
            </w:r>
            <w:r>
              <w:t xml:space="preserve">”</w:t>
            </w:r>
            <w:r>
              <w:t xml:space="preserve"> </w:t>
            </w:r>
            <w:r>
              <w:t xml:space="preserve">2A /</w:t>
            </w:r>
            <w:r>
              <w:t xml:space="preserve"> </w:t>
            </w:r>
            <w:r>
              <w:t xml:space="preserve">“</w:t>
            </w:r>
            <w:r>
              <w:t xml:space="preserve">Sub-contracted out</w:t>
            </w:r>
            <w:r>
              <w:t xml:space="preserve">”</w:t>
            </w:r>
            <w:r>
              <w:t xml:space="preserve"> </w:t>
            </w:r>
            <w:r>
              <w:t xml:space="preserve">2B)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p>
            <w:pPr>
              <w:pStyle w:val="Compact"/>
              <w:jc w:val="left"/>
            </w:pPr>
            <w:r>
              <w:t xml:space="preserve">acquisition</w:t>
            </w:r>
            <w:r>
              <w:t xml:space="preserve"> 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s2aq8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1</w:t>
            </w:r>
            <w:r>
              <w:t xml:space="preserve"> </w:t>
            </w:r>
            <w:r>
              <w:t xml:space="preserve">Purchased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in 2018)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A2aq25</w:t>
            </w:r>
            <w:r>
              <w:t xml:space="preserve">(09/10) /</w:t>
            </w:r>
            <w:r>
              <w:t xml:space="preserve"> </w:t>
            </w:r>
            <w:r>
              <w:rPr>
                <w:rStyle w:val="VerbatimChar"/>
              </w:rPr>
              <w:t xml:space="preserve">a2aq23</w:t>
            </w:r>
            <w:r>
              <w:t xml:space="preserve">(11-15) /</w:t>
            </w:r>
            <w:r>
              <w:t xml:space="preserve"> </w:t>
            </w:r>
            <w:r>
              <w:rPr>
                <w:rStyle w:val="VerbatimChar"/>
              </w:rPr>
              <w:t xml:space="preserve">s2aq23</w:t>
            </w:r>
            <w:r>
              <w:t xml:space="preserve">(18/19)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inlist(1,2,3)</w:t>
            </w:r>
            <w:r>
              <w:t xml:space="preserve">=1;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=0; accessed parcels=0</w:t>
            </w:r>
          </w:p>
        </w:tc>
      </w:tr>
    </w:tbl>
    <w:p>
      <w:pPr>
        <w:pStyle w:val="BodyText"/>
      </w:pPr>
      <w:r>
        <w:t xml:space="preserve">Primary-use</w:t>
      </w:r>
      <w:r>
        <w:t xml:space="preserve"> </w:t>
      </w:r>
      <w:r>
        <w:rPr>
          <w:b/>
        </w:rPr>
        <w:t xml:space="preserve">season-1</w:t>
      </w:r>
      <w:r>
        <w:t xml:space="preserve"> </w:t>
      </w:r>
      <w:r>
        <w:t xml:space="preserve">variable by wave:</w:t>
      </w:r>
      <w:r>
        <w:t xml:space="preserve"> </w:t>
      </w:r>
      <w:r>
        <w:rPr>
          <w:rStyle w:val="VerbatimChar"/>
        </w:rPr>
        <w:t xml:space="preserve">A2aq13a</w:t>
      </w:r>
      <w:r>
        <w:t xml:space="preserve">(09) ·</w:t>
      </w:r>
      <w:r>
        <w:t xml:space="preserve"> </w:t>
      </w:r>
      <w:r>
        <w:rPr>
          <w:rStyle w:val="VerbatimChar"/>
        </w:rPr>
        <w:t xml:space="preserve">a2aq13a</w:t>
      </w:r>
      <w:r>
        <w:t xml:space="preserve">(10) ·</w:t>
      </w:r>
      <w:r>
        <w:t xml:space="preserve"> </w:t>
      </w:r>
      <w:r>
        <w:rPr>
          <w:rStyle w:val="VerbatimChar"/>
        </w:rPr>
        <w:t xml:space="preserve">a2aq11a</w:t>
      </w:r>
      <w:r>
        <w:t xml:space="preserve">(11,13) ·</w:t>
      </w:r>
      <w:r>
        <w:t xml:space="preserve"> </w:t>
      </w:r>
      <w:r>
        <w:rPr>
          <w:rStyle w:val="VerbatimChar"/>
        </w:rPr>
        <w:t xml:space="preserve">a2aq11b</w:t>
      </w:r>
      <w:r>
        <w:t xml:space="preserve">(15) ·</w:t>
      </w:r>
      <w:r>
        <w:t xml:space="preserve"> </w:t>
      </w:r>
      <w:r>
        <w:rPr>
          <w:rStyle w:val="VerbatimChar"/>
        </w:rPr>
        <w:t xml:space="preserve">s2aq11b</w:t>
      </w:r>
      <w:r>
        <w:t xml:space="preserve">(18,19) — swapped from 2015. The 2B analogues are</w:t>
      </w:r>
      <w:r>
        <w:t xml:space="preserve"> </w:t>
      </w:r>
      <w:r>
        <w:rPr>
          <w:rStyle w:val="VerbatimChar"/>
        </w:rPr>
        <w:t xml:space="preserve">A2bq15*</w:t>
      </w:r>
      <w:r>
        <w:t xml:space="preserve">/</w:t>
      </w:r>
      <w:r>
        <w:rPr>
          <w:rStyle w:val="VerbatimChar"/>
        </w:rPr>
        <w:t xml:space="preserve">a2bq15*</w:t>
      </w:r>
      <w:r>
        <w:t xml:space="preserve">/</w:t>
      </w:r>
      <w:r>
        <w:rPr>
          <w:rStyle w:val="VerbatimChar"/>
        </w:rPr>
        <w:t xml:space="preserve">a2bq12*</w:t>
      </w:r>
      <w:r>
        <w:t xml:space="preserve">.</w:t>
      </w:r>
    </w:p>
    <w:p>
      <w:pPr>
        <w:pStyle w:val="Heading3"/>
      </w:pPr>
      <w:bookmarkStart w:id="68" w:name="parcel-area-parcel_area_ha-6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68"/>
    </w:p>
    <w:p>
      <w:pPr>
        <w:pStyle w:val="FirstParagraph"/>
      </w:pPr>
      <w:r>
        <w:t xml:space="preserve">GPS where measured, else self-reported (deterministic; both in</w:t>
      </w:r>
      <w:r>
        <w:t xml:space="preserve"> </w:t>
      </w:r>
      <w:r>
        <w:rPr>
          <w:b/>
        </w:rPr>
        <w:t xml:space="preserve">acres × 0.404686 → ha</w:t>
      </w:r>
      <w:r>
        <w:t xml:space="preserve">).</w:t>
      </w:r>
      <w:r>
        <w:t xml:space="preserve"> </w:t>
      </w:r>
      <w:r>
        <w:t xml:space="preserve">GPS =</w:t>
      </w:r>
      <w:r>
        <w:t xml:space="preserve"> </w:t>
      </w:r>
      <w:r>
        <w:rPr>
          <w:rStyle w:val="VerbatimChar"/>
        </w:rPr>
        <w:t xml:space="preserve">A2aq4</w:t>
      </w:r>
      <w:r>
        <w:t xml:space="preserve">/</w:t>
      </w:r>
      <w:r>
        <w:rPr>
          <w:rStyle w:val="VerbatimChar"/>
        </w:rPr>
        <w:t xml:space="preserve">a2aq4</w:t>
      </w:r>
      <w:r>
        <w:t xml:space="preserve">/</w:t>
      </w:r>
      <w:r>
        <w:rPr>
          <w:rStyle w:val="VerbatimChar"/>
        </w:rPr>
        <w:t xml:space="preserve">s2aq4</w:t>
      </w:r>
      <w:r>
        <w:t xml:space="preserve"> </w:t>
      </w:r>
      <w:r>
        <w:t xml:space="preserve">(2A),</w:t>
      </w:r>
      <w:r>
        <w:t xml:space="preserve"> </w:t>
      </w:r>
      <w:r>
        <w:rPr>
          <w:rStyle w:val="VerbatimChar"/>
        </w:rPr>
        <w:t xml:space="preserve">A2bq4</w:t>
      </w:r>
      <w:r>
        <w:t xml:space="preserve">/</w:t>
      </w:r>
      <w:r>
        <w:rPr>
          <w:rStyle w:val="VerbatimChar"/>
        </w:rPr>
        <w:t xml:space="preserve">a2bq4</w:t>
      </w:r>
      <w:r>
        <w:t xml:space="preserve">/</w:t>
      </w:r>
      <w:r>
        <w:rPr>
          <w:rStyle w:val="VerbatimChar"/>
        </w:rPr>
        <w:t xml:space="preserve">s2aq04</w:t>
      </w:r>
      <w:r>
        <w:t xml:space="preserve"> </w:t>
      </w:r>
      <w:r>
        <w:t xml:space="preserve">(2B); self-reported = the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…5</w:t>
      </w:r>
      <w:r>
        <w:t xml:space="preserve">/</w:t>
      </w:r>
      <w:r>
        <w:rPr>
          <w:rStyle w:val="VerbatimChar"/>
        </w:rPr>
        <w:t xml:space="preserve">…05</w:t>
      </w:r>
      <w:r>
        <w:t xml:space="preserve"> </w:t>
      </w:r>
      <w:r>
        <w:t xml:space="preserve">variable. Top-coded at</w:t>
      </w:r>
      <w:r>
        <w:t xml:space="preserve"> </w:t>
      </w:r>
      <w:r>
        <w:rPr>
          <w:rStyle w:val="VerbatimChar"/>
        </w:rPr>
        <w:t xml:space="preserve">${area_max}</w:t>
      </w:r>
      <w:r>
        <w:t xml:space="preserve"> </w:t>
      </w:r>
      <w:r>
        <w:t xml:space="preserve">ha.</w:t>
      </w:r>
    </w:p>
    <w:p>
      <w:pPr>
        <w:pStyle w:val="Heading3"/>
      </w:pPr>
      <w:bookmarkStart w:id="69" w:name="design-variables-identifiers-6"/>
      <w:r>
        <w:t xml:space="preserve">4. Design variables &amp; identifiers</w:t>
      </w:r>
      <w:bookmarkEnd w:id="69"/>
    </w:p>
    <w:tbl>
      <w:tblPr>
        <w:tblStyle w:val="Table"/>
        <w:tblW w:type="pct" w:w="5000.0"/>
        <w:tblLook w:firstRow="1"/>
      </w:tblPr>
      <w:tblGrid>
        <w:gridCol w:w="2475"/>
        <w:gridCol w:w="1980"/>
        <w:gridCol w:w="346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  <w:r>
              <w:t xml:space="preserve"> </w:t>
            </w:r>
            <w:r>
              <w:rPr>
                <w:rStyle w:val="VerbatimChar"/>
              </w:rPr>
              <w:t xml:space="preserve">GSEC1</w:t>
            </w:r>
          </w:p>
        </w:tc>
        <w:tc>
          <w:p>
            <w:pPr>
              <w:pStyle w:val="Compact"/>
              <w:jc w:val="left"/>
            </w:pPr>
            <w:r>
              <w:t xml:space="preserve">cross-sectional HH weight (see wave key)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group()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(09/10) /</w:t>
            </w:r>
            <w:r>
              <w:t xml:space="preserve"> </w:t>
            </w:r>
            <w:r>
              <w:rPr>
                <w:rStyle w:val="VerbatimChar"/>
              </w:rPr>
              <w:t xml:space="preserve">sregion</w:t>
            </w:r>
            <w:r>
              <w:t xml:space="preserve"> </w:t>
            </w:r>
            <w:r>
              <w:t xml:space="preserve">(11-15) /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(18/19)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(09-11) /</w:t>
            </w:r>
            <w:r>
              <w:t xml:space="preserve"> </w:t>
            </w:r>
            <w:r>
              <w:rPr>
                <w:rStyle w:val="VerbatimChar"/>
              </w:rPr>
              <w:t xml:space="preserve">ea</w:t>
            </w:r>
            <w:r>
              <w:t xml:space="preserve"> </w:t>
            </w:r>
            <w:r>
              <w:t xml:space="preserve">(13/15);</w:t>
            </w:r>
            <w:r>
              <w:t xml:space="preserve"> </w:t>
            </w:r>
            <w:r>
              <w:rPr>
                <w:b/>
              </w:rPr>
              <w:t xml:space="preserve">blank in 2018/19</w:t>
            </w:r>
            <w:r>
              <w:t xml:space="preserve"> </w:t>
            </w:r>
            <w:r>
              <w:t xml:space="preserve">(no EA on the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 + "-A-"/"-B-" + parcelID</w:t>
            </w:r>
            <w:r>
              <w:t xml:space="preserve"> </w:t>
            </w:r>
            <w:r>
              <w:t xml:space="preserve">(origin-tagged, globally unique)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2009 / 2010 / 2011 / 2013 / 2015 / 2018 / 2019</w:t>
            </w:r>
          </w:p>
        </w:tc>
      </w:tr>
    </w:tbl>
    <w:p>
      <w:pPr>
        <w:pStyle w:val="Heading3"/>
      </w:pPr>
      <w:bookmarkStart w:id="70" w:name="X41b3da375b96f03c8be77259d3c225da7481aa7"/>
      <w:r>
        <w:t xml:space="preserve">5. Value labels of key source variables (verified against the raw rosters)</w:t>
      </w:r>
      <w:bookmarkEnd w:id="70"/>
    </w:p>
    <w:p>
      <w:pPr>
        <w:pStyle w:val="FirstParagraph"/>
      </w:pPr>
      <w:r>
        <w:rPr>
          <w:b/>
        </w:rPr>
        <w:t xml:space="preserve">Acquisition (2A)</w:t>
      </w:r>
      <w:r>
        <w:t xml:space="preserve"> </w:t>
      </w:r>
      <w:r>
        <w:rPr>
          <w:rStyle w:val="VerbatimChar"/>
        </w:rPr>
        <w:t xml:space="preserve">…aq8</w:t>
      </w:r>
      <w:r>
        <w:t xml:space="preserve">:</w:t>
      </w:r>
      <w:r>
        <w:t xml:space="preserve"> </w:t>
      </w:r>
      <w:r>
        <w:rPr>
          <w:b/>
        </w:rPr>
        <w:t xml:space="preserve">1 Purchased</w:t>
      </w:r>
      <w:r>
        <w:t xml:space="preserve"> </w:t>
      </w:r>
      <w:r>
        <w:t xml:space="preserve">· 2 inherited / received as gift ·</w:t>
      </w:r>
      <w:r>
        <w:t xml:space="preserve"> </w:t>
      </w:r>
      <w:r>
        <w:rPr>
          <w:b/>
        </w:rPr>
        <w:t xml:space="preserve">3 Leased-in</w:t>
      </w:r>
      <w:r>
        <w:t xml:space="preserve"> </w:t>
      </w:r>
      <w:r>
        <w:t xml:space="preserve">·</w:t>
      </w:r>
      <w:r>
        <w:t xml:space="preserve"> </w:t>
      </w:r>
      <w:r>
        <w:t xml:space="preserve">4 just walked in (cleared) · 5 don’t know · 6 other (2018/19 add 7 given by gov / authority ·</w:t>
      </w:r>
      <w:r>
        <w:t xml:space="preserve"> </w:t>
      </w:r>
      <w:r>
        <w:t xml:space="preserve">8 agreement with owner · 9 without agreement · 96 other).</w:t>
      </w:r>
      <w:r>
        <w:t xml:space="preserve"> </w:t>
      </w:r>
      <w:r>
        <w:rPr>
          <w:i/>
        </w:rPr>
        <w:t xml:space="preserve">(2018: entirely missing.)</w:t>
      </w:r>
    </w:p>
    <w:p>
      <w:pPr>
        <w:pStyle w:val="BodyText"/>
      </w:pPr>
      <w:r>
        <w:rPr>
          <w:b/>
        </w:rPr>
        <w:t xml:space="preserve">Certificate / title (2A)</w:t>
      </w:r>
      <w:r>
        <w:t xml:space="preserve"> </w:t>
      </w:r>
      <w:r>
        <w:rPr>
          <w:rStyle w:val="VerbatimChar"/>
        </w:rPr>
        <w:t xml:space="preserve">…aq25</w:t>
      </w:r>
      <w:r>
        <w:t xml:space="preserve">/</w:t>
      </w:r>
      <w:r>
        <w:rPr>
          <w:rStyle w:val="VerbatimChar"/>
        </w:rPr>
        <w:t xml:space="preserve">…aq23</w:t>
      </w:r>
      <w:r>
        <w:t xml:space="preserve">/</w:t>
      </w:r>
      <w:r>
        <w:rPr>
          <w:rStyle w:val="VerbatimChar"/>
        </w:rPr>
        <w:t xml:space="preserve">s2aq23</w:t>
      </w:r>
      <w:r>
        <w:t xml:space="preserve">:</w:t>
      </w:r>
      <w:r>
        <w:t xml:space="preserve"> </w:t>
      </w:r>
      <w:r>
        <w:rPr>
          <w:b/>
        </w:rPr>
        <w:t xml:space="preserve">1 certificate of title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2 certificate of customary ownership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3 certificate of occupancy</w:t>
      </w:r>
      <w:r>
        <w:t xml:space="preserve"> </w:t>
      </w:r>
      <w:r>
        <w:t xml:space="preserve">· 4 no document.</w:t>
      </w:r>
    </w:p>
    <w:p>
      <w:pPr>
        <w:pStyle w:val="BodyText"/>
      </w:pPr>
      <w:r>
        <w:rPr>
          <w:b/>
        </w:rPr>
        <w:t xml:space="preserve">Primary use of parcel</w:t>
      </w:r>
      <w:r>
        <w:t xml:space="preserve"> </w:t>
      </w:r>
      <w:r>
        <w:t xml:space="preserve">(per season): 1 own-cultivated annual · 2 own-cultivated perennial ·</w:t>
      </w:r>
      <w:r>
        <w:t xml:space="preserve"> </w:t>
      </w:r>
      <w:r>
        <w:rPr>
          <w:b/>
        </w:rPr>
        <w:t xml:space="preserve">3 Rented-out</w:t>
      </w:r>
      <w:r>
        <w:t xml:space="preserve"> </w:t>
      </w:r>
      <w:r>
        <w:t xml:space="preserve">(2A) /</w:t>
      </w:r>
      <w:r>
        <w:t xml:space="preserve"> </w:t>
      </w:r>
      <w:r>
        <w:rPr>
          <w:b/>
        </w:rPr>
        <w:t xml:space="preserve">3 Sub-contracted out</w:t>
      </w:r>
      <w:r>
        <w:t xml:space="preserve"> </w:t>
      </w:r>
      <w:r>
        <w:t xml:space="preserve">(2B) · 4 cultivated by mailo tenant (2A) ·</w:t>
      </w:r>
      <w:r>
        <w:t xml:space="preserve"> </w:t>
      </w:r>
      <w:r>
        <w:t xml:space="preserve">5 fallow · 6 pasture / grazing · 7 woodlot / forest · 96 other.</w:t>
      </w:r>
    </w:p>
    <w:p>
      <w:pPr>
        <w:pStyle w:val="BodyText"/>
      </w:pPr>
      <w:r>
        <w:rPr>
          <w:b/>
        </w:rPr>
        <w:t xml:space="preserve">Tenure system</w:t>
      </w:r>
      <w:r>
        <w:t xml:space="preserve"> </w:t>
      </w:r>
      <w:r>
        <w:rPr>
          <w:rStyle w:val="VerbatimChar"/>
        </w:rPr>
        <w:t xml:space="preserve">…aq7</w:t>
      </w:r>
      <w:r>
        <w:t xml:space="preserve">: 1 freehold · 2 leasehold · 3 mailo · 4 customary · 6 other.</w:t>
      </w:r>
      <w:r>
        <w:t xml:space="preserve"> </w:t>
      </w:r>
      <w:r>
        <w:rPr>
          <w:i/>
        </w:rPr>
        <w:t xml:space="preserve">(Recorded but not used directly; rented-in keys off rent-paid / leased-in acquisition.)</w:t>
      </w:r>
    </w:p>
    <w:p>
      <w:pPr>
        <w:pStyle w:val="Heading3"/>
      </w:pPr>
      <w:bookmarkStart w:id="71" w:name="harmonization-decisions-caveats-uganda"/>
      <w:r>
        <w:t xml:space="preserve">6. Harmonization decisions &amp; caveats (Uganda)</w:t>
      </w:r>
      <w:bookmarkEnd w:id="71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Owned vs accessed are separate modules.</w:t>
      </w:r>
      <w:r>
        <w:t xml:space="preserve"> </w:t>
      </w:r>
      <w:r>
        <w:t xml:space="preserve">2A (owned) supplies purchase, certificate and</w:t>
      </w:r>
      <w:r>
        <w:t xml:space="preserve"> </w:t>
      </w:r>
      <w:r>
        <w:t xml:space="preserve">rented-out; 2B (accessed) supplies rented-in. They are stacked into one parcel frame;</w:t>
      </w:r>
      <w:r>
        <w:t xml:space="preserve"> </w:t>
      </w:r>
      <w:r>
        <w:t xml:space="preserve">accessed parcels carry</w:t>
      </w:r>
      <w:r>
        <w:t xml:space="preserve"> </w:t>
      </w:r>
      <w:r>
        <w:rPr>
          <w:rStyle w:val="VerbatimChar"/>
        </w:rPr>
        <w:t xml:space="preserve">parcel_purchased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 = 0</w:t>
      </w:r>
      <w:r>
        <w:t xml:space="preserve"> </w:t>
      </w:r>
      <w:r>
        <w:t xml:space="preserve">(the household</w:t>
      </w:r>
      <w:r>
        <w:t xml:space="preserve"> </w:t>
      </w:r>
      <w:r>
        <w:t xml:space="preserve">holds no title to a rented-in parcel), so the rates use an all-parcels denominator</w:t>
      </w:r>
      <w:r>
        <w:t xml:space="preserve"> </w:t>
      </w:r>
      <w:r>
        <w:t xml:space="preserve">comparable to the other countries.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Rented-in = paid access.</w:t>
      </w:r>
      <w:r>
        <w:t xml:space="preserve"> </w:t>
      </w:r>
      <w:r>
        <w:t xml:space="preserve">A 2B parcel counts as rented-in when rent paid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 </w:t>
      </w:r>
      <w:r>
        <w:t xml:space="preserve">(cash or sharecrop); free-borrowed parcels (rent 0) are not rented-in. 2A parcels with</w:t>
      </w:r>
      <w:r>
        <w:t xml:space="preserve"> </w:t>
      </w:r>
      <w:r>
        <w:t xml:space="preserve">acquisition</w:t>
      </w:r>
      <w:r>
        <w:t xml:space="preserve"> </w:t>
      </w:r>
      <w:r>
        <w:t xml:space="preserve">“</w:t>
      </w:r>
      <w:r>
        <w:t xml:space="preserve">Leased-in</w:t>
      </w:r>
      <w:r>
        <w:t xml:space="preserve">”</w:t>
      </w:r>
      <w:r>
        <w:t xml:space="preserve"> </w:t>
      </w:r>
      <w:r>
        <w:t xml:space="preserve">(code 3) are also flagged rented-in.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Rented-out is a lower bound.</w:t>
      </w:r>
      <w:r>
        <w:t xml:space="preserve"> </w:t>
      </w:r>
      <w:r>
        <w:t xml:space="preserve">It is read from the categorical per-season primary use</w:t>
      </w:r>
      <w:r>
        <w:t xml:space="preserve"> </w:t>
      </w:r>
      <w:r>
        <w:t xml:space="preserve">(</w:t>
      </w:r>
      <w:r>
        <w:t xml:space="preserve">“</w:t>
      </w:r>
      <w:r>
        <w:t xml:space="preserve">Rented-out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Sub-contracted out</w:t>
      </w:r>
      <w:r>
        <w:t xml:space="preserve">”</w:t>
      </w:r>
      <w:r>
        <w:t xml:space="preserve">); weighted rates are low (~0.2-1.3 %), as in</w:t>
      </w:r>
      <w:r>
        <w:t xml:space="preserve"> </w:t>
      </w:r>
      <w:r>
        <w:t xml:space="preserve">Mali / Niger. The cash</w:t>
      </w:r>
      <w:r>
        <w:t xml:space="preserve"> </w:t>
      </w:r>
      <w:r>
        <w:t xml:space="preserve">“</w:t>
      </w:r>
      <w:r>
        <w:t xml:space="preserve">rent received</w:t>
      </w:r>
      <w:r>
        <w:t xml:space="preserve">”</w:t>
      </w:r>
      <w:r>
        <w:t xml:space="preserve"> </w:t>
      </w:r>
      <w:r>
        <w:t xml:space="preserve">amount (</w:t>
      </w:r>
      <w:r>
        <w:rPr>
          <w:rStyle w:val="VerbatimChar"/>
        </w:rPr>
        <w:t xml:space="preserve">…aq14</w:t>
      </w:r>
      <w:r>
        <w:t xml:space="preserve">/</w:t>
      </w:r>
      <w:r>
        <w:rPr>
          <w:rStyle w:val="VerbatimChar"/>
        </w:rPr>
        <w:t xml:space="preserve">s2aq14</w:t>
      </w:r>
      <w:r>
        <w:t xml:space="preserve">) corroborates but is not</w:t>
      </w:r>
      <w:r>
        <w:t xml:space="preserve"> </w:t>
      </w:r>
      <w:r>
        <w:t xml:space="preserve">used to define the flag (it is annual, not season-specific).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2018 is a reduced panel re-interview.</w:t>
      </w:r>
      <w:r>
        <w:t xml:space="preserve"> </w:t>
      </w:r>
      <w:r>
        <w:t xml:space="preserve">UNPS7 (2018/19) re-asked owned parcels with a</w:t>
      </w:r>
      <w:r>
        <w:t xml:space="preserve"> </w:t>
      </w:r>
      <w:r>
        <w:t xml:space="preserve">shortened update instrument: most parcel characteristics were carried forward, not</w:t>
      </w:r>
      <w:r>
        <w:t xml:space="preserve"> </w:t>
      </w:r>
      <w:r>
        <w:t xml:space="preserve">re-collected. In</w:t>
      </w:r>
      <w:r>
        <w:t xml:space="preserve"> </w:t>
      </w:r>
      <w:r>
        <w:rPr>
          <w:rStyle w:val="VerbatimChar"/>
        </w:rPr>
        <w:t xml:space="preserve">AGSEC2A</w:t>
      </w:r>
      <w:r>
        <w:t xml:space="preserve"> </w:t>
      </w:r>
      <w:r>
        <w:t xml:space="preserve">the acquisition item</w:t>
      </w:r>
      <w:r>
        <w:t xml:space="preserve"> </w:t>
      </w:r>
      <w:r>
        <w:rPr>
          <w:rStyle w:val="VerbatimChar"/>
        </w:rPr>
        <w:t xml:space="preserve">s2aq8</w:t>
      </w:r>
      <w:r>
        <w:t xml:space="preserve"> </w:t>
      </w:r>
      <w:r>
        <w:t xml:space="preserve">has</w:t>
      </w:r>
      <w:r>
        <w:t xml:space="preserve"> </w:t>
      </w:r>
      <w:r>
        <w:rPr>
          <w:b/>
        </w:rPr>
        <w:t xml:space="preserve">0</w:t>
      </w:r>
      <w:r>
        <w:t xml:space="preserve"> </w:t>
      </w:r>
      <w:r>
        <w:t xml:space="preserve">non-missing values (so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is set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- do not read the 2B-only zeros as 0% purchase), and GPS /</w:t>
      </w:r>
      <w:r>
        <w:t xml:space="preserve"> </w:t>
      </w:r>
      <w:r>
        <w:t xml:space="preserve">self-reported</w:t>
      </w:r>
      <w:r>
        <w:t xml:space="preserve"> </w:t>
      </w:r>
      <w:r>
        <w:rPr>
          <w:b/>
        </w:rPr>
        <w:t xml:space="preserve">area</w:t>
      </w:r>
      <w:r>
        <w:t xml:space="preserve"> </w:t>
      </w:r>
      <w:r>
        <w:t xml:space="preserve">were captured for only ~256 / ~824 of 4,368 parcels (~25%); the</w:t>
      </w:r>
      <w:r>
        <w:t xml:space="preserve"> </w:t>
      </w:r>
      <w:r>
        <w:t xml:space="preserve">tenure-system item likewise (~932). Certificate (</w:t>
      </w:r>
      <w:r>
        <w:rPr>
          <w:rStyle w:val="VerbatimChar"/>
        </w:rPr>
        <w:t xml:space="preserve">s2aq23</w:t>
      </w:r>
      <w:r>
        <w:t xml:space="preserve">), ownership flag, documents,</w:t>
      </w:r>
      <w:r>
        <w:t xml:space="preserve"> </w:t>
      </w:r>
      <w:r>
        <w:t xml:space="preserve">disputes and value WERE re-asked.</w:t>
      </w:r>
      <w:r>
        <w:t xml:space="preserve"> </w:t>
      </w:r>
      <w:r>
        <w:rPr>
          <w:b/>
        </w:rPr>
        <w:t xml:space="preserve">Consequence:</w:t>
      </w:r>
      <w:r>
        <w:t xml:space="preserve"> </w:t>
      </w:r>
      <w:r>
        <w:t xml:space="preserve">2018 owned-parcel area and tenure-</w:t>
      </w:r>
      <w:r>
        <w:t xml:space="preserve"> </w:t>
      </w:r>
      <w:r>
        <w:t xml:space="preserve">system rest on a non-random ~25% (new / re-measured parcels), so treat the 2018 area mean</w:t>
      </w:r>
      <w:r>
        <w:t xml:space="preserve"> </w:t>
      </w:r>
      <w:r>
        <w:t xml:space="preserve">with caution; rented-in (from the separately-administered</w:t>
      </w:r>
      <w:r>
        <w:t xml:space="preserve"> </w:t>
      </w:r>
      <w:r>
        <w:rPr>
          <w:rStyle w:val="VerbatimChar"/>
        </w:rPr>
        <w:t xml:space="preserve">AGSEC2B</w:t>
      </w:r>
      <w:r>
        <w:t xml:space="preserve">), rented-out (primary</w:t>
      </w:r>
      <w:r>
        <w:t xml:space="preserve"> </w:t>
      </w:r>
      <w:r>
        <w:t xml:space="preserve">use) and certificate are well-populated. 2019 (UNPS8) is a full re-administration.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Season order swapped in 2015 / 2018 / 2019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…b</w:t>
      </w:r>
      <w:r>
        <w:t xml:space="preserve">”</w:t>
      </w:r>
      <w:r>
        <w:t xml:space="preserve"> </w:t>
      </w:r>
      <w:r>
        <w:t xml:space="preserve">primary-use variable is season 1);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parcel_rentedout</w:t>
      </w:r>
      <w:r>
        <w:t xml:space="preserve"> </w:t>
      </w:r>
      <w:r>
        <w:t xml:space="preserve">differs across seasons, and the paper reports season 1.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Deterministic area</w:t>
      </w:r>
      <w:r>
        <w:t xml:space="preserve"> </w:t>
      </w:r>
      <w:r>
        <w:t xml:space="preserve">(GPS else self-reported, no pmm imputation, unlike the upstream</w:t>
      </w:r>
      <w:r>
        <w:t xml:space="preserve"> </w:t>
      </w:r>
      <w:r>
        <w:t xml:space="preserve">pipeline); acres → ha via 0.404686; top-coded at 40 ha.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each round’s</w:t>
      </w:r>
      <w:r>
        <w:t xml:space="preserve"> </w:t>
      </w:r>
      <w:r>
        <w:rPr>
          <w:b/>
        </w:rPr>
        <w:t xml:space="preserve">cross-sectional</w:t>
      </w:r>
      <w:r>
        <w:t xml:space="preserve"> </w:t>
      </w:r>
      <w:r>
        <w:t xml:space="preserve">household weight;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 </w:t>
      </w:r>
      <w:r>
        <w:t xml:space="preserve">(PSU) is absent</w:t>
      </w:r>
      <w:r>
        <w:t xml:space="preserve"> </w:t>
      </w:r>
      <w:r>
        <w:t xml:space="preserve">on the 2018/2019 cover, so design-based SEs there rest on strata + weights (point</w:t>
      </w:r>
      <w:r>
        <w:t xml:space="preserve"> </w:t>
      </w:r>
      <w:r>
        <w:t xml:space="preserve">estimates are unaffected). Validated by a Python replication of the extractor against the</w:t>
      </w:r>
      <w:r>
        <w:t xml:space="preserve"> </w:t>
      </w:r>
      <w:r>
        <w:t xml:space="preserve">raw data: household-weight match 97-100 % and rates within expected ranges for all waves.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</w:t>
      </w:r>
      <w:r>
        <w:rPr>
          <w:i/>
        </w:rPr>
        <w:t xml:space="preserve"> </w:t>
      </w:r>
      <w:r>
        <w:rPr>
          <w:i/>
        </w:rPr>
        <w:t xml:space="preserve">(ETH ESS1-5, MWI IHPS1-4, MLI EACI1-2,</w:t>
      </w:r>
      <w:r>
        <w:rPr>
          <w:i/>
        </w:rPr>
        <w:t xml:space="preserve"> </w:t>
      </w:r>
      <w:r>
        <w:rPr>
          <w:i/>
        </w:rPr>
        <w:t xml:space="preserve">NER ECVMA1-2, NGA GHS1-5, TZA NPS1-5 incl. refresh, UGA UNPS1-5/7/8) and the raw survey</w:t>
      </w:r>
      <w:r>
        <w:rPr>
          <w:i/>
        </w:rPr>
        <w:t xml:space="preserve"> </w:t>
      </w:r>
      <w:r>
        <w:rPr>
          <w:i/>
        </w:rPr>
        <w:t xml:space="preserve">modules, with source variables, codes, and value labels verified against the data. Extend</w:t>
      </w:r>
      <w:r>
        <w:rPr>
          <w:i/>
        </w:rPr>
        <w:t xml:space="preserve"> </w:t>
      </w:r>
      <w:r>
        <w:rPr>
          <w:i/>
        </w:rPr>
        <w:t xml:space="preserve">with one new country section (1-6) per 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2026-06-16T09:29:46Z</dcterms:created>
  <dcterms:modified xsi:type="dcterms:W3CDTF">2026-06-16T09:29:46Z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