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Area cleaning.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top-coded</w:t>
      </w:r>
      <w:r>
        <w:t xml:space="preserve">: values above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(40 ha,</w:t>
      </w:r>
      <w:r>
        <w:t xml:space="preserve"> </w:t>
      </w:r>
      <w:r>
        <w:t xml:space="preserve">set 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) are treated as data-entry errors and set missing. Smallholder</w:t>
      </w:r>
      <w:r>
        <w:t xml:space="preserve"> </w:t>
      </w:r>
      <w:r>
        <w:t xml:space="preserve">parcels rarely exceed this, but the raw self-reported areas carry unit-entry outliers</w:t>
      </w:r>
      <w:r>
        <w:t xml:space="preserve"> </w:t>
      </w:r>
      <w:r>
        <w:t xml:space="preserve">(e.g. tens of thousands of</w:t>
      </w:r>
      <w:r>
        <w:t xml:space="preserve"> </w:t>
      </w:r>
      <w:r>
        <w:t xml:space="preserve">“</w:t>
      </w:r>
      <w:r>
        <w:t xml:space="preserve">acres</w:t>
      </w:r>
      <w:r>
        <w:t xml:space="preserve">”</w:t>
      </w:r>
      <w:r>
        <w:t xml:space="preserve">) that otherwise inflate the</w:t>
      </w:r>
      <w:r>
        <w:t xml:space="preserve"> </w:t>
      </w:r>
      <w:r>
        <w:rPr>
          <w:i/>
        </w:rPr>
        <w:t xml:space="preserve">mean</w:t>
      </w:r>
      <w:r>
        <w:t xml:space="preserve"> </w:t>
      </w:r>
      <w:r>
        <w:t xml:space="preserve">(the median is</w:t>
      </w:r>
      <w:r>
        <w:t xml:space="preserve"> </w:t>
      </w:r>
      <w:r>
        <w:t xml:space="preserve">unaffected). This matters most where a parcel falls back to self-reported area because</w:t>
      </w:r>
      <w:r>
        <w:t xml:space="preserve"> </w:t>
      </w:r>
      <w:r>
        <w:t xml:space="preserve">GPS is missing; GPS-measured areas are well-behaved.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14eb90961d7c4eda69428154c7d8401e18ed92a"/>
      <w:r>
        <w:t xml:space="preserve">NIGER — Enquete Nationale sur les Conditions de Vie (ECVMA)</w:t>
      </w:r>
      <w:bookmarkEnd w:id="44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5" w:name="survey-wave-key-3"/>
      <w:r>
        <w:t xml:space="preserve">1. Survey &amp; wave key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6" w:name="tenure-indicators-3"/>
      <w:r>
        <w:t xml:space="preserve">2. Tenure indicators</w:t>
      </w:r>
      <w:bookmarkEnd w:id="46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7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7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8" w:name="design-variables-identifiers-3"/>
      <w:r>
        <w:t xml:space="preserve">4. Design variables &amp; identifiers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49" w:name="X646e8461e11ea76f2f34efa79915905fa78ad77"/>
      <w:r>
        <w:t xml:space="preserve">5. Value labels of key source variables (verified)</w:t>
      </w:r>
      <w:bookmarkEnd w:id="49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0" w:name="harmonization-decisions-caveats-niger"/>
      <w:r>
        <w:t xml:space="preserve">6. Harmonization decisions &amp; caveats (Niger)</w:t>
      </w:r>
      <w:bookmarkEnd w:id="50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4370d6f7e22f04e7f2986bdcf7fe062ac53545f"/>
      <w:r>
        <w:t xml:space="preserve">NIGERIA — General Household Survey-Panel (GHS)</w:t>
      </w:r>
      <w:bookmarkEnd w:id="51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2" w:name="survey-wave-key-4"/>
      <w:r>
        <w:t xml:space="preserve">1. Survey &amp; wave key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3" w:name="tenure-indicators-4"/>
      <w:r>
        <w:t xml:space="preserve">2. Tenure indicators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4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4"/>
    </w:p>
    <w:p>
      <w:pPr>
        <w:pStyle w:val="FirstParagraph"/>
      </w:pPr>
      <w:r>
        <w:t xml:space="preserve">GPS where measured (the</w:t>
      </w:r>
      <w:r>
        <w:t xml:space="preserve"> </w:t>
      </w:r>
      <w:r>
        <w:t xml:space="preserve">“</w:t>
      </w:r>
      <w:r>
        <w:t xml:space="preserve">GPS measured in square meters</w:t>
      </w:r>
      <w:r>
        <w:t xml:space="preserve">”</w:t>
      </w:r>
      <w:r>
        <w:t xml:space="preserve"> </w:t>
      </w:r>
      <w:r>
        <w:t xml:space="preserve">variable × 0.0001 → ha), else</w:t>
      </w:r>
      <w:r>
        <w:t xml:space="preserve"> </w:t>
      </w:r>
      <w:r>
        <w:t xml:space="preserve">self-reported. The GPS variable name shifts by wave:</w:t>
      </w:r>
      <w:r>
        <w:t xml:space="preserve"> </w:t>
      </w:r>
      <w:r>
        <w:rPr>
          <w:b/>
        </w:rPr>
        <w:t xml:space="preserve">w1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s11aq4d</w:t>
      </w:r>
      <w:r>
        <w:rPr>
          <w:b/>
        </w:rPr>
        <w:t xml:space="preserve">, w2-4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s11aq4c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w5</w:t>
      </w:r>
      <w:r>
        <w:rPr>
          <w:b/>
        </w:rPr>
        <w:t xml:space="preserve"> </w:t>
      </w:r>
      <w:r>
        <w:rPr>
          <w:rStyle w:val="VerbatimChar"/>
          <w:b/>
        </w:rPr>
        <w:t xml:space="preserve">s11mq3</w:t>
      </w:r>
      <w:r>
        <w:t xml:space="preserve"> </w:t>
      </w:r>
      <w:r>
        <w:t xml:space="preserve">(there is no</w:t>
      </w:r>
      <w:r>
        <w:t xml:space="preserve"> 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variable in the raw - the upstream pipeline</w:t>
      </w:r>
      <w:r>
        <w:t xml:space="preserve"> </w:t>
      </w:r>
      <w:r>
        <w:t xml:space="preserve">referenced a nonexistent one, so its GPS was effectively unused). Self-reported is in</w:t>
      </w:r>
      <w:r>
        <w:t xml:space="preserve"> </w:t>
      </w:r>
      <w:r>
        <w:t xml:space="preserve">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 the</w:t>
      </w:r>
      <w:r>
        <w:t xml:space="preserve"> </w:t>
      </w:r>
      <w:r>
        <w:t xml:space="preserve">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factors); self-reported number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 </w:t>
      </w:r>
      <w:r>
        <w:t xml:space="preserve">(w1-3) /</w:t>
      </w:r>
      <w:r>
        <w:t xml:space="preserve"> 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(w4) /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(w5),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 </w:t>
      </w:r>
      <w:r>
        <w:t xml:space="preserve">(w1-4) /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(w5). The region factors are identical across waves (transcribed from the upstream pipeline).</w:t>
      </w:r>
    </w:p>
    <w:p>
      <w:pPr>
        <w:pStyle w:val="Heading3"/>
      </w:pPr>
      <w:bookmarkStart w:id="55" w:name="design-variables-identifiers-4"/>
      <w:r>
        <w:t xml:space="preserve">4. Design variables &amp; identifiers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6" w:name="Xb4d582268a3ea5115cbf391ae4ab1d6685f948d"/>
      <w:r>
        <w:t xml:space="preserve">5. Value labels of key source variables (verified for GHS10; consistent instrument)</w:t>
      </w:r>
      <w:bookmarkEnd w:id="56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7" w:name="harmonization-decisions-caveats-nigeria"/>
      <w:r>
        <w:t xml:space="preserve">6. Harmonization decisions &amp; caveats (Nigeria)</w:t>
      </w:r>
      <w:bookmarkEnd w:id="5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GHS1-5) and the raw survey modules, with source variables, codes, and</w:t>
      </w:r>
      <w:r>
        <w:rPr>
          <w:i/>
        </w:rPr>
        <w:t xml:space="preserve"> </w:t>
      </w:r>
      <w:r>
        <w:rPr>
          <w:i/>
        </w:rPr>
        <w:t xml:space="preserve">value labels verified against the data. Extend with one new country section (1-6) per</w:t>
      </w:r>
      <w:r>
        <w:rPr>
          <w:i/>
        </w:rPr>
        <w:t xml:space="preserve"> </w:t>
      </w:r>
      <w:r>
        <w:rPr>
          <w:i/>
        </w:rPr>
        <w:t xml:space="preserve">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2026-06-16T05:49:20Z</dcterms:created>
  <dcterms:modified xsi:type="dcterms:W3CDTF">2026-06-16T05:49:20Z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