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209"/>
      </w:tblGrid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64"/>
              <w:jc w:val="center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</w:r>
            <w:bookmarkStart w:id="0" w:name="_Hlk525220094"/>
            <w:bookmarkStart w:id="1" w:name="_Hlk525220094"/>
            <w:bookmarkEnd w:id="1"/>
          </w:p>
        </w:tc>
        <w:tc>
          <w:tcPr>
            <w:tcW w:w="5209" w:type="dxa"/>
            <w:tcBorders/>
          </w:tcPr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ООО «DD General Insurance»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/>
            </w:pPr>
            <w:r>
              <w:rPr>
                <w:b/>
                <w:color w:val="FF0000"/>
                <w:sz w:val="19"/>
                <w:szCs w:val="19"/>
              </w:rPr>
              <w:t xml:space="preserve">№ </w:t>
            </w:r>
            <w:r>
              <w:rPr>
                <w:b/>
                <w:color w:val="FF0000"/>
                <w:sz w:val="19"/>
                <w:szCs w:val="19"/>
              </w:rPr>
              <w:t>____ от «______» __________ 20__г.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________________     Б.Ш.Убайдуллаев</w:t>
            </w:r>
          </w:p>
        </w:tc>
      </w:tr>
    </w:tbl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/>
      </w:pPr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 №_____________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</w:r>
    </w:p>
    <w:p>
      <w:pPr>
        <w:pStyle w:val="Normal"/>
        <w:spacing w:lineRule="auto" w:line="276"/>
        <w:ind w:left="0" w:right="50" w:firstLine="720"/>
        <w:rPr>
          <w:sz w:val="19"/>
          <w:szCs w:val="19"/>
        </w:rPr>
      </w:pPr>
      <w:r>
        <w:rPr>
          <w:sz w:val="19"/>
          <w:szCs w:val="19"/>
        </w:rPr>
        <w:t>г._________                                                                                                                           «___» _________ 20___ г.</w:t>
      </w:r>
    </w:p>
    <w:p>
      <w:pPr>
        <w:pStyle w:val="Normal"/>
        <w:spacing w:lineRule="auto" w:line="276"/>
        <w:ind w:left="0" w:right="5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jc w:val="both"/>
        <w:rPr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>Общество с ограниченной ответственности «DD General Insurance»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>
        <w:rPr>
          <w:sz w:val="19"/>
          <w:szCs w:val="19"/>
          <w:u w:val="single"/>
          <w:lang w:val="en-US"/>
        </w:rPr>
        <w:t>Surname1 Name1 middlasdc</w:t>
      </w:r>
      <w:r>
        <w:rPr>
          <w:sz w:val="19"/>
          <w:szCs w:val="19"/>
        </w:rPr>
        <w:t xml:space="preserve"> и </w:t>
      </w:r>
      <w:r>
        <w:rPr>
          <w:u w:val="single"/>
          <w:lang w:val="en-US" w:bidi="ar-SA"/>
        </w:rPr>
        <w:t>ФИО страхователя</w:t>
      </w:r>
      <w:r>
        <w:rPr>
          <w:sz w:val="19"/>
          <w:szCs w:val="19"/>
        </w:rPr>
        <w:t xml:space="preserve">, именуемое в дальнейшем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 страхования»</w:t>
      </w:r>
      <w:r>
        <w:rPr>
          <w:sz w:val="19"/>
          <w:szCs w:val="19"/>
        </w:rPr>
        <w:t>) о нижеследующем:</w:t>
      </w:r>
    </w:p>
    <w:p>
      <w:pPr>
        <w:pStyle w:val="Normal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способов обеспечения оплаты таможенных платежей в соответствии с требованиями Таможенного Кодекса, утвержденного </w:t>
      </w:r>
      <w:hyperlink r:id="rId2">
        <w:r>
          <w:rPr>
            <w:color w:val="000000"/>
            <w:sz w:val="19"/>
            <w:szCs w:val="19"/>
            <w:u w:val="none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>» (глава 47.Обеспечение уплаты таможенных платежей, статьи 338, 329, 330, 337, 339, 345,347).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РУз. («Плательщики таможенных платежей»), Плательщиком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находящихся под таможенным контролем. Любое заинтересованное лицо вправе уплатить за плательщика таможенные платежи. 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Согласно Статьи 294 ГТК РУз. («Обязательство по уплате таможенных платежей»), Обязательство по уплате таможенных платежей возникает: при помещении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>
      <w:pPr>
        <w:pStyle w:val="Style33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>
      <w:pPr>
        <w:pStyle w:val="12"/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1.5. Страховая сумма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234234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Страховая премия по Договору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34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страхования в части выплаты страхового возмещения вступают в силу с момента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страхования, выдается Страхователю в течение 3-х дней после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2.1. Страховым случаем, при 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основании требования, претензии или иска (в дальнейшем - требование) со стороны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таможенных платежей;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законодательством Республики Узбекистан порядке и сроки по требованию таможенных органов.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2.3. Факт наступления ответственности Страхователя за неуплату таможенных платежей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Выгодоприобретателю в результате: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Страхователем или его представителем;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ущерб по административным взысканиям, наложенным органами власти на Страхователя, вследствие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вред, причиненный физическим лицам, находящимся со Страхователем в трудовых отношениях, во время исполнения ими трудовых обязанностей в соответствии с договором (контрактом) согласно трудовому законодательству Республики Узбекистан;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неисполнением или ненадлежащим исполнением договорных обязательств;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3.3. Страховым случаем не является, и Страховщик вправе отказать в страховой выплате в случаях если: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наступлении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страхового риска;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>
      <w:pPr>
        <w:pStyle w:val="3"/>
        <w:numPr>
          <w:ilvl w:val="2"/>
          <w:numId w:val="2"/>
        </w:numPr>
        <w:spacing w:lineRule="auto" w:line="276" w:before="100" w:after="10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 ПРАВА И ОБЯЗАННОСТИ СТОРОН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Страховщика информацию, касающуюся ее финансовой устойчивости и не являющейся коммерческой тайной;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считается недействительным, и страховые выплаты по нему не производятся.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>
      <w:pPr>
        <w:pStyle w:val="Normal"/>
        <w:tabs>
          <w:tab w:val="clear" w:pos="720"/>
          <w:tab w:val="left" w:pos="2355" w:leader="none"/>
        </w:tabs>
        <w:spacing w:lineRule="auto" w:line="276"/>
        <w:jc w:val="both"/>
        <w:rPr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Страховщику, при заключении Договора страхования,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страхования в отношении данного риска с другими страховыми организациями, а также ответить на все письменные запросы Страховщика;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письменный отказ от уплаты дополнительной премии и изменения условий Договора;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сохранять неизменными все записи, документы, устройства или предметы, которые каким-либо образом явились причиной нанесения ущерба;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предоставить Страховщику возможность изучать документы, связанные со страховым случаем, а также получать информацию от лиц, знающих обстоятельства дела.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давать указания Страхователю о совершении необходимых действий в связи со страховым случаем.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степени риска при существенном изменении условий страхования;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fill="FFFFFF" w:val="clear"/>
        </w:rPr>
        <w:t>ри нарушениях Таможенного Кодекса заплатить таможенные платежи за Страхователя согласно условий настоящего договора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Республики Узбекистан;</w:t>
      </w:r>
    </w:p>
    <w:p>
      <w:pPr>
        <w:pStyle w:val="Normal"/>
        <w:numPr>
          <w:ilvl w:val="0"/>
          <w:numId w:val="5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>
      <w:pPr>
        <w:pStyle w:val="Style33"/>
        <w:numPr>
          <w:ilvl w:val="1"/>
          <w:numId w:val="5"/>
        </w:numPr>
        <w:tabs>
          <w:tab w:val="clear" w:pos="720"/>
          <w:tab w:val="left" w:pos="0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5.1.1. незамедлительно, но не позднее 48 (сорока 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официальной претензии (требовании) о возмещении, о начале действий компетентных органов по факту причинения ущерба.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доказывания наступления страхового случая, а также причиненных им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выплате страхового возмещения, а также оригиналы или заверенные копии следующих документов: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обстоятельств, причин и размера причиненного вреда: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документы, полученные от компетентных государственных органов;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 xml:space="preserve">5.2. После получения всех необходимых документов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>
      <w:pPr>
        <w:pStyle w:val="12"/>
        <w:numPr>
          <w:ilvl w:val="1"/>
          <w:numId w:val="9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платежей.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6.3. В размер 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6.4. Общая сумма выплат страхового возмещения при наступлении одного или нескольких 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>
      <w:pPr>
        <w:pStyle w:val="12"/>
        <w:tabs>
          <w:tab w:val="clear" w:pos="720"/>
          <w:tab w:val="left" w:pos="-284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в рамках заключенного Договора страхования.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 по закону или по настоящему Договору полностью или частично лишает их права на страховое возмещение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страховой выплаты, если Страхователем не оплачивается дополнительная страховая премия для восстановления страховой суммы.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Страховщику на расчетный счет сумму произведенной страховой выплаты.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сообщения Страхователем Страховщику заведомо ложных сведений об объекте страхования, страховом риске, обстоятельствах наступления страхового случая и его связи с наступившим результатом (последствиями);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 страхового случая и установления размера причиненного ущерба;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отказа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Страховщик вправе требовать ее возврата полностью или частично;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Страховщик обязан принять решение об осуществлении страховой выплаты и направить Страхователю письменное уведомление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Страховщик вправе отсрочить выплату страхового возмещения, если: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>
      <w:pPr>
        <w:pStyle w:val="12"/>
        <w:tabs>
          <w:tab w:val="clear" w:pos="720"/>
          <w:tab w:val="left" w:pos="-284" w:leader="none"/>
          <w:tab w:val="left" w:pos="567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прекращается в случаях: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  <w:softHyphen/>
        <w:t>тельством Республики Узбекистан;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принятия судом решения о признании Договора недействительным;</w:t>
      </w:r>
    </w:p>
    <w:p>
      <w:pPr>
        <w:pStyle w:val="Normal"/>
        <w:numPr>
          <w:ilvl w:val="2"/>
          <w:numId w:val="7"/>
        </w:numPr>
        <w:tabs>
          <w:tab w:val="clear" w:pos="720"/>
          <w:tab w:val="left" w:pos="851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  <w:softHyphen/>
        <w:t>тельством Республики Узбекистан.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Страховщика, а также по соглашению Сторон.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Договора.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Style17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rPr/>
        <w:t>страховой</w:t>
      </w:r>
      <w:r>
        <w:rPr>
          <w:rStyle w:val="Style17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выплат в отношении данного объекта страхования по настоящему Договору.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Договора страхования, обусловленном нарушением Страхователем своих обязательств, уплаченная страховая премия возврату не подлежит.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Договор страхования может быть аннулирован как несостоявшийся, если страховая премия не будет уплачена в течение 30 дней со дня подписания договора страхования.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РУз. «О договорно-правовой базе хозяйствующих субъектов» ведет к одностороннему расторжению договора страхования со стороны Страховщика.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средств, которые Страхователь должен был выплатить в виде таможенных платежей по требованию таможенных органов. 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Стороны не несут ответственность за частичное или полное невыполнение своих обязательств по договору страхования на период действия форс-мажорных обстоятельств.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 также решения правительства и прочее), если эти обстоятельства повлияли непосредственно на исполнение договора страхования.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обязательств Сторонами отодвигается соразмерно времени, в течение которого действуют форс-мажорные обстоятельства.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рассматривается в порядке, предусмотренном законодательством Республики Узбекистан.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изменения и дополнения к Договору имеют юридическую силу при условии их письменного оформления и подписания уполномоченными представителями обеих Сторон.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>
      <w:pPr>
        <w:pStyle w:val="Normal"/>
        <w:tabs>
          <w:tab w:val="clear" w:pos="720"/>
          <w:tab w:val="left" w:pos="709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РЕКВИЗИТЫ И ПОДПИСИ СТОРОН</w:t>
      </w:r>
    </w:p>
    <w:tbl>
      <w:tblPr>
        <w:tblW w:w="1034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244"/>
      </w:tblGrid>
      <w:tr>
        <w:trPr>
          <w:trHeight w:val="2665" w:hRule="atLeast"/>
        </w:trPr>
        <w:tc>
          <w:tcPr>
            <w:tcW w:w="5104" w:type="dxa"/>
            <w:tcBorders/>
          </w:tcPr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СТРАХОВЩИК:</w:t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«DD GENERAL INSURANCE»</w:t>
            </w:r>
          </w:p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>:</w:t>
            </w:r>
            <w:r>
              <w:rPr>
                <w:rFonts w:eastAsia="Times New Roman" w:cs="Times New Roman"/>
                <w:color w:val="auto"/>
                <w:sz w:val="20"/>
                <w:szCs w:val="20"/>
                <w:u w:val="single"/>
                <w:lang w:val="en-US" w:bidi="ar-SA"/>
              </w:rPr>
              <w:t>Ташкент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>
              <w:rPr>
                <w:sz w:val="20"/>
                <w:szCs w:val="20"/>
                <w:lang w:val="en-US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СТРАХОВАТЕЛЬ: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 w:bidi="ar-SA"/>
              </w:rPr>
              <w:t>Юр адрес страхователя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 w:bidi="ar-SA"/>
              </w:rPr>
              <w:t>5555551234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</w:rPr>
              <w:t>sdfvsdfv</w:t>
            </w:r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sdvfsdfvs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dfvsdvsdfv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dvdsvf</w:t>
            </w:r>
          </w:p>
        </w:tc>
      </w:tr>
      <w:tr>
        <w:trPr/>
        <w:tc>
          <w:tcPr>
            <w:tcW w:w="10348" w:type="dxa"/>
            <w:gridSpan w:val="2"/>
            <w:tcBorders/>
          </w:tcPr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snapToGrid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ПОДПИСИ СТОРОН:</w:t>
            </w:r>
          </w:p>
        </w:tc>
      </w:tr>
      <w:tr>
        <w:trPr/>
        <w:tc>
          <w:tcPr>
            <w:tcW w:w="510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Страховщика: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Cs/>
                <w:lang w:val="ru-RU"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Surname1 Name1 middlasdc</w:t>
            </w:r>
          </w:p>
          <w:p>
            <w:pPr>
              <w:pStyle w:val="Normal"/>
              <w:widowControl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t>должность                       Ф.И.О.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Страхователя: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lang w:val="ru-RU" w:eastAsia="ru-RU"/>
              </w:rPr>
              <w:t>_________________</w:t>
            </w:r>
            <w:r>
              <w:rPr>
                <w:u w:val="single"/>
                <w:lang w:val="en-US" w:eastAsia="ru-RU" w:bidi="ar-SA"/>
              </w:rPr>
              <w:t>ФИО страхователя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</w:tc>
      </w:tr>
      <w:tr>
        <w:trPr/>
        <w:tc>
          <w:tcPr>
            <w:tcW w:w="510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                   м.п.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i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</w:t>
              <w:tab/>
              <w:tab/>
              <w:t xml:space="preserve">     м.п.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8" w:header="382" w:top="439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BalticaUz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Wingdings">
    <w:charset w:val="cc"/>
    <w:family w:val="roman"/>
    <w:pitch w:val="variable"/>
  </w:font>
  <w:font w:name="Futuris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ahoma">
    <w:charset w:val="cc"/>
    <w:family w:val="roman"/>
    <w:pitch w:val="variable"/>
  </w:font>
  <w:font w:name="consolas">
    <w:altName w:val="lucida console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4677"/>
        <w:tab w:val="clear" w:pos="9355"/>
        <w:tab w:val="left" w:pos="1042" w:leader="none"/>
      </w:tabs>
      <w:rPr/>
    </w:pPr>
    <w:r>
      <w:rPr/>
      <w:tab/>
    </w:r>
  </w:p>
  <w:tbl>
    <w:tblPr>
      <w:tblW w:w="1045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09"/>
      <w:gridCol w:w="8146"/>
    </w:tblGrid>
    <w:tr>
      <w:trPr>
        <w:trHeight w:val="712" w:hRule="atLeast"/>
        <w:cantSplit w:val="true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</w:rPr>
          </w:pPr>
          <w:r>
            <w:rPr/>
            <w:drawing>
              <wp:inline distT="0" distB="0" distL="0" distR="0">
                <wp:extent cx="1002665" cy="36703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Normal"/>
            <w:widowControl w:val="false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PAGE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NUMPAGES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>
    <w:pPr>
      <w:pStyle w:val="Style30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sz w:val="19"/>
        <w:i w:val="false"/>
        <w:u w:val="none"/>
        <w:b/>
        <w:szCs w:val="19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val="ru-RU" w:eastAsia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sz w:val="19"/>
      <w:szCs w:val="19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b w:val="false"/>
      <w:sz w:val="19"/>
      <w:szCs w:val="19"/>
    </w:rPr>
  </w:style>
  <w:style w:type="character" w:styleId="WW8Num5z0">
    <w:name w:val="WW8Num5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b w:val="false"/>
      <w:sz w:val="19"/>
      <w:szCs w:val="19"/>
    </w:rPr>
  </w:style>
  <w:style w:type="character" w:styleId="WW8Num7z0">
    <w:name w:val="WW8Num7z0"/>
    <w:qFormat/>
    <w:rPr>
      <w:sz w:val="19"/>
      <w:szCs w:val="19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b w:val="false"/>
    </w:rPr>
  </w:style>
  <w:style w:type="character" w:styleId="WW8Num9z0">
    <w:name w:val="WW8Num9z0"/>
    <w:qFormat/>
    <w:rPr>
      <w:sz w:val="19"/>
      <w:szCs w:val="19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1">
    <w:name w:val="WW8Num7z1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b w:val="false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b w:val="false"/>
      <w:sz w:val="19"/>
      <w:szCs w:val="19"/>
    </w:rPr>
  </w:style>
  <w:style w:type="character" w:styleId="WW8Num16z0">
    <w:name w:val="WW8Num16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17z0">
    <w:name w:val="WW8Num17z0"/>
    <w:qFormat/>
    <w:rPr>
      <w:rFonts w:ascii="Times New Roman" w:hAnsi="Times New Roman" w:cs="Times New Roman"/>
      <w:b/>
      <w:i w:val="false"/>
      <w:sz w:val="22"/>
      <w:szCs w:val="22"/>
      <w:u w:val="non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Futuris" w:hAnsi="Futuris" w:cs="Futuris"/>
      <w:b/>
      <w:i w:val="false"/>
      <w:sz w:val="20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cs="Times New Roman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Symbol" w:hAnsi="Symbol" w:cs="Symbol"/>
    </w:rPr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Arial" w:hAnsi="Arial" w:cs="Arial"/>
      <w:b/>
      <w:i w:val="false"/>
      <w:sz w:val="20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>
      <w:b w:val="false"/>
      <w:sz w:val="19"/>
      <w:szCs w:val="19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0z8">
    <w:name w:val="WW8Num40z8"/>
    <w:qFormat/>
    <w:rPr>
      <w:b/>
    </w:rPr>
  </w:style>
  <w:style w:type="character" w:styleId="WW8Num41z0">
    <w:name w:val="WW8Num41z0"/>
    <w:qFormat/>
    <w:rPr/>
  </w:style>
  <w:style w:type="character" w:styleId="WW8Num41z1">
    <w:name w:val="WW8Num41z1"/>
    <w:qFormat/>
    <w:rPr>
      <w:b w:val="false"/>
    </w:rPr>
  </w:style>
  <w:style w:type="character" w:styleId="WW8Num42z0">
    <w:name w:val="WW8Num42z0"/>
    <w:qFormat/>
    <w:rPr>
      <w:rFonts w:cs="Aria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>
      <w:b w:val="false"/>
    </w:rPr>
  </w:style>
  <w:style w:type="character" w:styleId="WW8Num47z0">
    <w:name w:val="WW8Num47z0"/>
    <w:qFormat/>
    <w:rPr/>
  </w:style>
  <w:style w:type="character" w:styleId="WW8Num48z0">
    <w:name w:val="WW8Num48z0"/>
    <w:qFormat/>
    <w:rPr>
      <w:rFonts w:ascii="Times New Roman" w:hAnsi="Times New Roman" w:cs="Times New Roman"/>
      <w:b w:val="false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50z0">
    <w:name w:val="WW8Num50z0"/>
    <w:qFormat/>
    <w:rPr>
      <w:sz w:val="19"/>
      <w:szCs w:val="19"/>
    </w:rPr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Верхний колонтитул Знак"/>
    <w:basedOn w:val="Style11"/>
    <w:qFormat/>
    <w:rPr/>
  </w:style>
  <w:style w:type="character" w:styleId="Style14">
    <w:name w:val="Нижний колонтитул Знак"/>
    <w:basedOn w:val="Style11"/>
    <w:qFormat/>
    <w:rPr/>
  </w:style>
  <w:style w:type="character" w:styleId="51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32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Style16">
    <w:name w:val="Выделение"/>
    <w:qFormat/>
    <w:rPr>
      <w:rFonts w:ascii="Calibri" w:hAnsi="Calibri" w:cs="Calibri"/>
      <w:iCs/>
    </w:rPr>
  </w:style>
  <w:style w:type="character" w:styleId="Style17">
    <w:name w:val="Личный стиль ответа"/>
    <w:qFormat/>
    <w:rPr>
      <w:rFonts w:ascii="Arial" w:hAnsi="Arial" w:cs="Arial"/>
      <w:color w:val="000000"/>
      <w:sz w:val="20"/>
    </w:rPr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8">
    <w:name w:val="Интернет-ссылка"/>
    <w:rPr>
      <w:color w:val="0000FF"/>
      <w:u w:val="single"/>
    </w:rPr>
  </w:style>
  <w:style w:type="character" w:styleId="Showcontext">
    <w:name w:val="show_context"/>
    <w:basedOn w:val="Style11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9">
    <w:name w:val="Без интервала Знак"/>
    <w:qFormat/>
    <w:rPr>
      <w:lang w:val="ru-RU" w:bidi="ar-SA"/>
    </w:rPr>
  </w:style>
  <w:style w:type="character" w:styleId="34">
    <w:name w:val="Основной текст (3)_"/>
    <w:qFormat/>
    <w:rPr>
      <w:rFonts w:ascii="Segoe UI" w:hAnsi="Segoe UI" w:cs="Segoe UI"/>
      <w:b/>
      <w:sz w:val="19"/>
      <w:shd w:fill="FFFFFF" w:val="clear"/>
    </w:rPr>
  </w:style>
  <w:style w:type="paragraph" w:styleId="Style20">
    <w:name w:val="Заголовок"/>
    <w:basedOn w:val="Normal"/>
    <w:next w:val="Style21"/>
    <w:qFormat/>
    <w:pPr>
      <w:jc w:val="center"/>
    </w:pPr>
    <w:rPr>
      <w:b/>
      <w:sz w:val="22"/>
    </w:rPr>
  </w:style>
  <w:style w:type="paragraph" w:styleId="Style21">
    <w:name w:val="Body Text"/>
    <w:basedOn w:val="Normal"/>
    <w:pPr>
      <w:jc w:val="both"/>
    </w:pPr>
    <w:rPr>
      <w:sz w:val="22"/>
    </w:rPr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ONormal">
    <w:name w:val="LO-Normal"/>
    <w:qFormat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7">
    <w:name w:val="Body Text Indent"/>
    <w:basedOn w:val="Normal"/>
    <w:pPr>
      <w:spacing w:before="0" w:after="120"/>
      <w:ind w:left="283" w:right="0" w:hanging="0"/>
    </w:pPr>
    <w:rPr/>
  </w:style>
  <w:style w:type="paragraph" w:styleId="2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/>
  </w:style>
  <w:style w:type="paragraph" w:styleId="21">
    <w:name w:val="Основной текст 2"/>
    <w:basedOn w:val="Normal"/>
    <w:qFormat/>
    <w:pPr>
      <w:spacing w:lineRule="auto" w:line="480" w:before="0" w:after="120"/>
    </w:pPr>
    <w:rPr/>
  </w:style>
  <w:style w:type="paragraph" w:styleId="Style28">
    <w:name w:val="Маркированный список"/>
    <w:basedOn w:val="Normal"/>
    <w:qFormat/>
    <w:pPr>
      <w:numPr>
        <w:ilvl w:val="0"/>
        <w:numId w:val="3"/>
      </w:numPr>
    </w:pPr>
    <w:rPr/>
  </w:style>
  <w:style w:type="paragraph" w:styleId="Style2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0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31">
    <w:name w:val="Текст"/>
    <w:basedOn w:val="Normal"/>
    <w:qFormat/>
    <w:pPr/>
    <w:rPr>
      <w:rFonts w:ascii="Courier New" w:hAnsi="Courier New" w:cs="Courier New"/>
    </w:rPr>
  </w:style>
  <w:style w:type="paragraph" w:styleId="35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36">
    <w:name w:val="Основной текст с отступом 3"/>
    <w:basedOn w:val="Normal"/>
    <w:qFormat/>
    <w:pPr>
      <w:spacing w:lineRule="auto" w:line="276" w:before="0" w:after="120"/>
      <w:ind w:left="283" w:right="0" w:hanging="0"/>
    </w:pPr>
    <w:rPr>
      <w:rFonts w:ascii="Calibri" w:hAnsi="Calibri" w:cs="Calibri"/>
      <w:sz w:val="16"/>
      <w:szCs w:val="16"/>
    </w:rPr>
  </w:style>
  <w:style w:type="paragraph" w:styleId="Style32">
    <w:name w:val="Абзац списка"/>
    <w:basedOn w:val="Normal"/>
    <w:qFormat/>
    <w:pPr>
      <w:ind w:left="708" w:right="0" w:hanging="0"/>
    </w:pPr>
    <w:rPr/>
  </w:style>
  <w:style w:type="paragraph" w:styleId="Style33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37">
    <w:name w:val="Основной текст (3)"/>
    <w:basedOn w:val="Normal"/>
    <w:qFormat/>
    <w:pPr>
      <w:widowControl w:val="false"/>
      <w:shd w:val="clear" w:fill="FFFFFF"/>
      <w:spacing w:lineRule="exact" w:line="254" w:before="660" w:after="0"/>
      <w:jc w:val="center"/>
    </w:pPr>
    <w:rPr>
      <w:rFonts w:ascii="Segoe UI" w:hAnsi="Segoe UI" w:cs="Segoe UI"/>
      <w:b/>
      <w:sz w:val="19"/>
    </w:rPr>
  </w:style>
  <w:style w:type="paragraph" w:styleId="211">
    <w:name w:val="Основной текст 21"/>
    <w:basedOn w:val="Normal"/>
    <w:qFormat/>
    <w:pPr>
      <w:jc w:val="both"/>
    </w:pPr>
    <w:rPr>
      <w:sz w:val="24"/>
      <w:szCs w:val="24"/>
    </w:rPr>
  </w:style>
  <w:style w:type="paragraph" w:styleId="BodyText2">
    <w:name w:val="Body Text 2"/>
    <w:basedOn w:val="Normal"/>
    <w:qFormat/>
    <w:pPr>
      <w:widowControl w:val="false"/>
      <w:overflowPunct w:val="false"/>
      <w:ind w:left="480" w:right="0" w:hanging="0"/>
      <w:jc w:val="both"/>
      <w:textAlignment w:val="baseline"/>
    </w:pPr>
    <w:rPr>
      <w:sz w:val="24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x.uz/pages/getpage.aspx?lact_id=2876115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LibreOffice/7.0.1.2$Windows_X86_64 LibreOffice_project/7cbcfc562f6eb6708b5ff7d7397325de9e764452</Application>
  <Pages>7</Pages>
  <Words>2956</Words>
  <Characters>22071</Characters>
  <CharactersWithSpaces>25056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2019-06-13T08:49:00Z</dcterms:created>
  <dc:creator>Kariev</dc:creator>
  <dc:description/>
  <dc:language>ru-RU</dc:language>
  <cp:lastModifiedBy/>
  <cp:lastPrinted>1995-11-21T17:41:00Z</cp:lastPrinted>
  <dcterms:modified xsi:type="dcterms:W3CDTF">2021-03-22T19:52:22Z</dcterms:modified>
  <cp:revision>16</cp:revision>
  <dc:subject/>
  <dc:title>Dog-OGO</dc:title>
</cp:coreProperties>
</file>