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2211705</wp:posOffset>
            </wp:positionH>
            <wp:positionV relativeFrom="paragraph">
              <wp:posOffset>-213357</wp:posOffset>
            </wp:positionV>
            <wp:extent cx="965835" cy="140779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0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CURSO TÉCNICO EM ADMINISTRAÇÃO INTEGRADO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UNIDADE CURRICULAR: PROJETO INTEGRADOR I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PROFESSORES ORIENTA</w:t>
      </w:r>
      <w:r w:rsidDel="00000000" w:rsidR="00000000" w:rsidRPr="00000000">
        <w:rPr>
          <w:rFonts w:ascii="Arial" w:cs="Arial" w:eastAsia="Arial" w:hAnsi="Arial"/>
          <w:rtl w:val="0"/>
        </w:rPr>
        <w:t xml:space="preserve">DORES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ANDRÉ LUIZ DE MORAES, </w:t>
      </w:r>
      <w:r w:rsidDel="00000000" w:rsidR="00000000" w:rsidRPr="00000000">
        <w:rPr>
          <w:rFonts w:ascii="Arial" w:cs="Arial" w:eastAsia="Arial" w:hAnsi="Arial"/>
          <w:rtl w:val="0"/>
        </w:rPr>
        <w:t xml:space="preserve">JOÃO NAVACHI DA SILVEIRA, MARIANA REIS LEAL FERNANDES,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RODRIGO CANDIDO DA SILVA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PROJETO INTEGRADOR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POR QUE A MÚSICA POPULAR É POPULAR?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Enricky Cardoso Hipólito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Pedro Silva Chaves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Djonatan Luiz Matos da Rosa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Nosso projeto tem a intenção de criar um artigo informativo, buscando apenas o conhecimento, é um objeto de estudo tanto para nós que iremos realizar, tanto para quem irá lê-lo.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“Por que a Música Popular é Popular” é sim, um título redundante, porém, é uma pergunta que nem todos se fazem, mas é curioso pensar, por que são? O que faz essas músicas tão chamativas e tão ouvidas? O que elas têm em comum? Será que existem algum padrão? são perguntas que tentaremos responder por meio deste artigo. Em contrapartida fazer o oposto, tentar identificar características que fazem uma música “nichada” ser “nichada”.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Objetivos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Analisar e discutir o que faz com as músicas populares atuais se tornem populares e identificar os seus padrões e realizar demonstrações práticas.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Arial" w:cs="Arial" w:eastAsia="Arial" w:hAnsi="Arial"/>
        </w:rPr>
      </w:pPr>
      <w:bookmarkStart w:colFirst="0" w:colLast="0" w:name="_heading=h.59trmf48jkh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METODOLOGIA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primeira etapa será a coleta de informações. Ouvir diversas músicas populares, analisar e entender como é feita sua composição, em questões melódicas, harmônicas e ritimicas. Gravaremos vídeos e utilizaremos o programa Guitar Pro 7 da Arobas Music para realizar demonstrações práticas de padrões encontrados nas músicas, como músicas que possuem as mesmas harmonias por exemplo. E também faremos paralelos com músicas menos convencionais. Após juntarmos todas as informações, iniciaremos a escrita do artigo.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Quadro 1 – Cronograma de execução do projeto integrador I</w:t>
      </w:r>
    </w:p>
    <w:p w:rsidR="00000000" w:rsidDel="00000000" w:rsidP="00000000" w:rsidRDefault="00000000" w:rsidRPr="00000000" w14:paraId="0000002C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8.51968503937" w:type="dxa"/>
        <w:jc w:val="left"/>
        <w:tblInd w:w="424.0" w:type="dxa"/>
        <w:tblLayout w:type="fixed"/>
        <w:tblLook w:val="0000"/>
      </w:tblPr>
      <w:tblGrid>
        <w:gridCol w:w="3206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tblGridChange w:id="0">
          <w:tblGrid>
            <w:gridCol w:w="3206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</w:tblGrid>
        </w:tblGridChange>
      </w:tblGrid>
      <w:tr>
        <w:trPr>
          <w:trHeight w:val="3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Atividades/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rodada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Desenvolvimento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Estudo 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Montar roteiro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Escrever o Artigo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e Correções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 (R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elatório parcial do PI)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Entrega do relatório final no Sigaa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Apresentação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pelos autores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REFERÊNCIAS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Insira aqui a listagem de todo material que foi citado no projeto. Os autores devem aparecer em ordem alfabética, seguindo as normas da ABNT. Formatação: Fonte Arial ou Times New Roman, tamanho 12. Alinhamento à esquerda, espaço simples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 Apagar tudo que está em vermelho e todo os exemplos abaixo.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Seguem alguns modelos (usem apenas para se b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44"/>
          <w:szCs w:val="44"/>
          <w:rtl w:val="0"/>
        </w:rPr>
        <w:t xml:space="preserve">asearem e depois apaguem)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exemplos a seguir estão em conformidade com a norma NBR 6023, que sofreu alterações em 2018. Exclua todos eles e mais esse texto para elaboração de suas referências.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(um autor somente)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ABBAGNANO, Nicola.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Dicionário de Filosofia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6. ed. São Paulo: Martins Fontes, 2012.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(um autor somente, com grau de parentesco no sobrenome)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ROSA NETO, Francisco.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avaliação motora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Porto Alegre: Artmed, 2002.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com subtítulo (um autor somente)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Empirismo e subjetividade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ensaio sobre a natureza humana segundo Hume. 2. ed. São Paulo: Editora 34, 2012.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(dois autores)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Gilles; PARNET, Claire.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Diálogos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Lisboa: Relógio D´Água Editores, 2004.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(três autores)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FEUERSTEIN, Reuven; FEUERSTEIN, Rafael S.; FALIK, Louis H.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da inteligência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aprendizagem mediada e a capacidade de mudança do cérebro. Rio de Janeiro: Vozes, 2014.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(mais de três autores). Note que et al passou a ser grafado em itálico em 2018, na alteração da NBR 6023.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TEIXEIRA, Suzana Maria Ferreira Gomes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Administração aplicada às unidades de alimentação e nutrição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São Paulo: Atheneu, 2007.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capítulo de livro (obs: na norma anterior, in não recebia grifo e org era grafado com a inicial maiúscula).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BRANDÃO, Carlos Rodrigues. A pesquisa participante e a participação da pesquisa: um olhar entre tempos e espaços a partir da América Latina.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BRANDÃO, Carlos Rodrigues; STRECK, Danilo R. (org.). Pesquisa-participante: a partilha do saber. Aparecida, SP: Ideias &amp; Letras, 2006. p. 21-54.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material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Obs.: na norma anterior, havia os sinais de &lt; e &gt; na URL. Não há mais.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DEMO, Pedro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Rumos da educação no novo milênio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[2012]. Disponível em: http://pedrodemo.blogspot.com.br/2012/08/rumos-da-educacao-no-novo-milenio.html. Acesso em: 12 jun. 2016.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 de revista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FALCÃO JÚNIOR, Marcos Antônio Gomes; SANTOS, Raimundo Nonato Macedo dos. A gestão de processos na análise das atividades de seleções públicas simplificadas: estudo de caso em uma prefeitura.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Florianópolis, v. 6, n. 2, p. 6-19, abr./jun. 2016.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 apresentado em evento (obs.: os portugueses chamam de Atas, no Brasil Anais e para os americanos são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Eli Lopes da; WERLANG, Elisabete.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Professorpesquisador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necessidade de parcerias: cooperação entre Instituições de Ensino Superior e a Iniciativa Privada.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CONGRESSO DA SOCIEDADE PORTUGUESA DE CIÊNCIAS DA EDUCAÇÃO (SPCE), 12., 2014, Vila Real.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Atas do XX Congresso da SPCE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Vila Real: UTAD, 2014. p. 2742-2751.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lei federal publicada no DOU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BRASIL. Lei nº. 13.005 de 25 de junho de 2014. Aprova o Plano Nacional de Educação - PNE e dá outras providências.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Diário Oficial da União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Brasília, DF, seção 1, p. 1-8, 26 jun. 2014.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lei federal disponível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nº. 8.069 de 13 de julho de 1990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Dispõe sobre o Estatuto da Criança e do Adolescente e dá outras providências. 1990. Disponível em: http://www.planalto.gov.br/ccivil_03/leis/L8069.htm. Acesso em: 12 jun. 2018.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de várias obras de mesmo autor: inserir em ordem cronológica.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Currículos - teorias e práticas. Rio de Janeiro: LTC, 2012.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Pesquisa-formação na cibercultura. Santo Tirso: Whitebooks, 2014.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Mídias e tecnologias na educação presencial e a distância. Rio de Janeiro: LTC, 2016.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de várias obras de mesmo  autor e ano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Conversações. 2. ed. São Paulo: Editora 34, 2010a.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Proust e os signos. 2. ed. Rio de Janeiro: Forense Universitária, 2010b.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Eli Lopes da.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de trabalhos acadêmicos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normas, dicas e erros comuns. 2. ed. Florianópolis: Ed. do autor, 2019.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134" w:top="1701" w:left="1701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Liberation Serif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B">
    <w:pPr>
      <w:jc w:val="right"/>
      <w:rPr>
        <w:color w:val="d9d9d9"/>
      </w:rPr>
    </w:pPr>
    <w:r w:rsidDel="00000000" w:rsidR="00000000" w:rsidRPr="00000000">
      <w:rPr>
        <w:color w:val="d9d9d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0">
    <w:name w:val="Título 1"/>
    <w:basedOn w:val="Título1"/>
    <w:next w:val="Corpodetexto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ítulo2">
    <w:name w:val="Título 2"/>
    <w:basedOn w:val="Título1"/>
    <w:next w:val="Corpodetexto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after="120" w:before="200" w:line="1" w:lineRule="atLeast"/>
      <w:ind w:leftChars="-1" w:rightChars="0" w:firstLineChars="-1"/>
      <w:textDirection w:val="btLr"/>
      <w:textAlignment w:val="top"/>
      <w:outlineLvl w:val="1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hi-IN" w:eastAsia="zh-CN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after="120" w:before="140" w:line="1" w:lineRule="atLeast"/>
      <w:ind w:leftChars="-1" w:rightChars="0" w:firstLineChars="-1"/>
      <w:textDirection w:val="btLr"/>
      <w:textAlignment w:val="top"/>
      <w:outlineLvl w:val="2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acteresdenotaderodapé">
    <w:name w:val="Caracteres de nota de rodapé"/>
    <w:next w:val="Caracteresdenotaderodapé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aracteresdenotadefim">
    <w:name w:val="Caracteres de nota de fim"/>
    <w:next w:val="Caracteres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WW-Caracteresdenotadefim">
    <w:name w:val="WW-Caracteres de nota de fim"/>
    <w:next w:val="WW-Caracteresdenotadefi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Âncoradenotaderodapé">
    <w:name w:val="Âncora de nota de rodapé"/>
    <w:next w:val="Âncora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Âncoradenotadefim">
    <w:name w:val="Âncora de nota de fim"/>
    <w:next w:val="Âncora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fim">
    <w:name w:val="Ref. de nota de fim"/>
    <w:next w:val="Ref.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="339" w:right="0" w:leftChars="-1" w:rightChars="0" w:hanging="339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hi-IN" w:eastAsia="zh-CN" w:val="pt-BR"/>
    </w:rPr>
  </w:style>
  <w:style w:type="paragraph" w:styleId="Unipampa-TítulodeCapítulo">
    <w:name w:val="Unipampa - Título de Capítulo"/>
    <w:basedOn w:val="Normal"/>
    <w:next w:val="Unipampa-TítulodeCapítulo"/>
    <w:autoRedefine w:val="0"/>
    <w:hidden w:val="0"/>
    <w:qFormat w:val="0"/>
    <w:pPr>
      <w:widowControl w:val="0"/>
      <w:suppressAutoHyphens w:val="0"/>
      <w:spacing w:after="0" w:before="1701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Unipampa-ParágrafodoResumo">
    <w:name w:val="Unipampa - Parágrafo do Resumo"/>
    <w:basedOn w:val="Normal"/>
    <w:next w:val="Unipampa-ParágrafodoResum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texto">
    <w:name w:val="1 texto"/>
    <w:basedOn w:val="Normal"/>
    <w:next w:val="1texto"/>
    <w:autoRedefine w:val="0"/>
    <w:hidden w:val="0"/>
    <w:qFormat w:val="0"/>
    <w:pPr>
      <w:widowControl w:val="0"/>
      <w:suppressAutoHyphens w:val="0"/>
      <w:spacing w:line="360" w:lineRule="auto"/>
      <w:ind w:left="0" w:right="0" w:leftChars="-1" w:rightChars="0" w:firstLine="1134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3TítulodeSeção">
    <w:name w:val="63 Título de Seção"/>
    <w:basedOn w:val="1texto"/>
    <w:next w:val="63TítulodeSeção"/>
    <w:autoRedefine w:val="0"/>
    <w:hidden w:val="0"/>
    <w:qFormat w:val="0"/>
    <w:pPr>
      <w:widowControl w:val="0"/>
      <w:suppressAutoHyphens w:val="0"/>
      <w:spacing w:after="0" w:before="0" w:line="36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b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2citaçãolonga">
    <w:name w:val="2 citação longa"/>
    <w:basedOn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="2268" w:right="0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5tabelafonte">
    <w:name w:val="55 tabela fonte"/>
    <w:basedOn w:val="Normal"/>
    <w:next w:val="55tabelafonte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1tabelaàesquerda">
    <w:name w:val="51 tabela à esquerda"/>
    <w:basedOn w:val="Normal"/>
    <w:next w:val="51tabelaàesquerd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3tabelaàdireita">
    <w:name w:val="53 tabela à direita"/>
    <w:basedOn w:val="51tabelaàesquerda"/>
    <w:next w:val="53tabelaàdireit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2tabelacentralizado">
    <w:name w:val="52 tabela centralizado"/>
    <w:basedOn w:val="53tabelaàdireita"/>
    <w:next w:val="52tabelacentralizado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1títulodoartigo">
    <w:name w:val="61 título do artigo"/>
    <w:basedOn w:val="Normal"/>
    <w:next w:val="61títulodoartig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cap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1resumos">
    <w:name w:val="11 resumos"/>
    <w:basedOn w:val="Normal"/>
    <w:next w:val="11resumos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4referência">
    <w:name w:val="4 referência"/>
    <w:basedOn w:val="2citaçãolonga"/>
    <w:next w:val="4referência"/>
    <w:autoRedefine w:val="0"/>
    <w:hidden w:val="0"/>
    <w:qFormat w:val="0"/>
    <w:pPr>
      <w:widowControl w:val="0"/>
      <w:suppressAutoHyphens w:val="0"/>
      <w:spacing w:after="240" w:before="0" w:line="1" w:lineRule="atLeast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QuebradePágina">
    <w:name w:val="Quebra de Página"/>
    <w:basedOn w:val="Normal"/>
    <w:next w:val="QuebradePágin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itações">
    <w:name w:val="Citações"/>
    <w:basedOn w:val="Normal"/>
    <w:next w:val="Citações"/>
    <w:autoRedefine w:val="0"/>
    <w:hidden w:val="0"/>
    <w:qFormat w:val="0"/>
    <w:pPr>
      <w:widowControl w:val="0"/>
      <w:suppressAutoHyphens w:val="0"/>
      <w:spacing w:after="283" w:before="0" w:line="1" w:lineRule="atLeast"/>
      <w:ind w:left="567" w:right="567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">
    <w:name w:val="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NavusCorpo">
    <w:name w:val="Navus Corpo"/>
    <w:basedOn w:val="Normal"/>
    <w:next w:val="NavusCorpo"/>
    <w:autoRedefine w:val="0"/>
    <w:hidden w:val="0"/>
    <w:qFormat w:val="0"/>
    <w:pPr>
      <w:widowControl w:val="1"/>
      <w:suppressAutoHyphens w:val="1"/>
      <w:spacing w:line="276" w:lineRule="auto"/>
      <w:ind w:leftChars="-1" w:rightChars="0" w:firstLine="720" w:firstLineChars="-1"/>
      <w:jc w:val="both"/>
      <w:textDirection w:val="btLr"/>
      <w:textAlignment w:val="top"/>
      <w:outlineLvl w:val="0"/>
    </w:pPr>
    <w:rPr>
      <w:rFonts w:ascii="Myriad Pro" w:cs="Times New Roman" w:eastAsia="Calibri" w:hAnsi="Myriad Pro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character" w:styleId="NavusCorpoChar">
    <w:name w:val="Navus Corpo Char"/>
    <w:next w:val="NavusCorpoChar"/>
    <w:autoRedefine w:val="0"/>
    <w:hidden w:val="0"/>
    <w:qFormat w:val="0"/>
    <w:rPr>
      <w:rFonts w:ascii="Myriad Pro" w:eastAsia="Calibri" w:hAnsi="Myriad Pro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R9awlqGqxs93kIPfpCZWkhcTkw==">AMUW2mUMvb7FcPSzvaSaMiqqKe6vVbriMu6DuS3y6qeOXtl6kvHnfGSik/qTW8PGQCyjJNZmXHoAuaJT7Z+uax4yoFEQjR4zKMaPn9QWWowgbI1f0VTITe0geI86P+fVYgVFv6HVDf5WNVxslyMz0fZQPJeXjmYOSQ==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2021-02-17T00:29:00Z</dcterms:created>
  <dc:creator>Renata.Garcia</dc:creator>
</cp:coreProperties>
</file>